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A34740">
      <w:pPr>
        <w:jc w:val="center"/>
        <w:rPr>
          <w:rFonts w:ascii="Times New Roman" w:hAnsi="Times New Roman"/>
          <w:sz w:val="28"/>
          <w:szCs w:val="28"/>
        </w:rPr>
      </w:pPr>
      <w:r>
        <w:rPr>
          <w:rFonts w:hint="eastAsia" w:ascii="Times New Roman" w:hAnsi="Times New Roman"/>
          <w:kern w:val="0"/>
          <w:sz w:val="28"/>
          <w:szCs w:val="28"/>
          <w:shd w:val="clear" w:color="auto" w:fill="FFFFFF"/>
        </w:rPr>
        <w:t>安全评价报告</w:t>
      </w:r>
      <w:r>
        <w:rPr>
          <w:rFonts w:ascii="Times New Roman" w:hAnsi="Times New Roman"/>
          <w:kern w:val="0"/>
          <w:sz w:val="28"/>
          <w:szCs w:val="28"/>
          <w:shd w:val="clear" w:color="auto" w:fill="FFFFFF"/>
        </w:rPr>
        <w:t>公开信息表</w:t>
      </w:r>
    </w:p>
    <w:tbl>
      <w:tblPr>
        <w:tblStyle w:val="23"/>
        <w:tblW w:w="9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588"/>
        <w:gridCol w:w="952"/>
        <w:gridCol w:w="5574"/>
        <w:gridCol w:w="2115"/>
      </w:tblGrid>
      <w:tr w14:paraId="7650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7" w:hRule="atLeast"/>
          <w:jc w:val="center"/>
        </w:trPr>
        <w:tc>
          <w:tcPr>
            <w:tcW w:w="588" w:type="dxa"/>
            <w:tcBorders>
              <w:tl2br w:val="nil"/>
              <w:tr2bl w:val="nil"/>
            </w:tcBorders>
            <w:shd w:val="clear" w:color="auto" w:fill="FFFFFF"/>
            <w:vAlign w:val="center"/>
          </w:tcPr>
          <w:p w14:paraId="182FB0BF">
            <w:pPr>
              <w:widowControl/>
              <w:spacing w:after="150"/>
              <w:jc w:val="center"/>
              <w:rPr>
                <w:rFonts w:ascii="宋体" w:hAnsi="宋体" w:cs="宋体"/>
                <w:sz w:val="24"/>
              </w:rPr>
            </w:pPr>
            <w:r>
              <w:rPr>
                <w:rFonts w:hint="eastAsia" w:ascii="宋体" w:hAnsi="宋体" w:cs="宋体"/>
                <w:kern w:val="0"/>
                <w:sz w:val="24"/>
                <w:shd w:val="clear" w:color="auto" w:fill="FFFFFF"/>
              </w:rPr>
              <w:t>项目名称</w:t>
            </w:r>
          </w:p>
        </w:tc>
        <w:tc>
          <w:tcPr>
            <w:tcW w:w="8641" w:type="dxa"/>
            <w:gridSpan w:val="3"/>
            <w:tcBorders>
              <w:tl2br w:val="nil"/>
              <w:tr2bl w:val="nil"/>
            </w:tcBorders>
            <w:shd w:val="clear" w:color="auto" w:fill="FFFFFF"/>
            <w:vAlign w:val="center"/>
          </w:tcPr>
          <w:p w14:paraId="61A650FF">
            <w:pPr>
              <w:widowControl/>
              <w:spacing w:after="150"/>
              <w:jc w:val="center"/>
              <w:rPr>
                <w:rFonts w:ascii="宋体" w:hAnsi="宋体" w:cs="宋体"/>
                <w:sz w:val="24"/>
              </w:rPr>
            </w:pPr>
            <w:r>
              <w:rPr>
                <w:rFonts w:hint="eastAsia" w:ascii="宋体" w:hAnsi="宋体" w:cs="宋体"/>
                <w:kern w:val="0"/>
                <w:sz w:val="24"/>
                <w:shd w:val="clear" w:color="auto" w:fill="FFFFFF"/>
                <w:lang w:val="en-US" w:eastAsia="zh-CN"/>
              </w:rPr>
              <w:t>新余赣锋锂业有限公司在役危险化学品生产装置</w:t>
            </w:r>
            <w:r>
              <w:rPr>
                <w:rFonts w:hint="eastAsia" w:ascii="宋体" w:hAnsi="宋体" w:eastAsia="宋体" w:cs="宋体"/>
                <w:kern w:val="0"/>
                <w:sz w:val="24"/>
                <w:shd w:val="clear" w:color="auto" w:fill="FFFFFF"/>
                <w:lang w:eastAsia="zh-CN"/>
              </w:rPr>
              <w:t>安全</w:t>
            </w:r>
            <w:r>
              <w:rPr>
                <w:rFonts w:hint="eastAsia" w:ascii="宋体" w:hAnsi="宋体" w:cs="宋体"/>
                <w:kern w:val="0"/>
                <w:sz w:val="24"/>
                <w:shd w:val="clear" w:color="auto" w:fill="FFFFFF"/>
                <w:lang w:val="en-US" w:eastAsia="zh-CN"/>
              </w:rPr>
              <w:t>现状</w:t>
            </w:r>
            <w:r>
              <w:rPr>
                <w:rFonts w:hint="eastAsia" w:ascii="宋体" w:hAnsi="宋体" w:eastAsia="宋体" w:cs="宋体"/>
                <w:kern w:val="0"/>
                <w:sz w:val="24"/>
                <w:shd w:val="clear" w:color="auto" w:fill="FFFFFF"/>
                <w:lang w:eastAsia="zh-CN"/>
              </w:rPr>
              <w:t>评价</w:t>
            </w:r>
          </w:p>
        </w:tc>
      </w:tr>
      <w:tr w14:paraId="54265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7" w:hRule="atLeast"/>
          <w:jc w:val="center"/>
        </w:trPr>
        <w:tc>
          <w:tcPr>
            <w:tcW w:w="588" w:type="dxa"/>
            <w:tcBorders>
              <w:tl2br w:val="nil"/>
              <w:tr2bl w:val="nil"/>
            </w:tcBorders>
            <w:shd w:val="clear" w:color="auto" w:fill="FFFFFF"/>
            <w:vAlign w:val="center"/>
          </w:tcPr>
          <w:p w14:paraId="232A0674">
            <w:pPr>
              <w:widowControl/>
              <w:spacing w:after="150"/>
              <w:jc w:val="center"/>
              <w:rPr>
                <w:rFonts w:ascii="宋体" w:hAnsi="宋体" w:cs="宋体"/>
                <w:sz w:val="24"/>
              </w:rPr>
            </w:pPr>
            <w:r>
              <w:rPr>
                <w:rFonts w:hint="eastAsia" w:ascii="宋体" w:hAnsi="宋体" w:cs="宋体"/>
                <w:kern w:val="0"/>
                <w:sz w:val="24"/>
                <w:shd w:val="clear" w:color="auto" w:fill="FFFFFF"/>
              </w:rPr>
              <w:t>完成时间</w:t>
            </w:r>
          </w:p>
        </w:tc>
        <w:tc>
          <w:tcPr>
            <w:tcW w:w="8641" w:type="dxa"/>
            <w:gridSpan w:val="3"/>
            <w:tcBorders>
              <w:tl2br w:val="nil"/>
              <w:tr2bl w:val="nil"/>
            </w:tcBorders>
            <w:shd w:val="clear" w:color="auto" w:fill="FFFFFF"/>
            <w:vAlign w:val="center"/>
          </w:tcPr>
          <w:p w14:paraId="0D6A2948">
            <w:pPr>
              <w:widowControl/>
              <w:spacing w:after="150"/>
              <w:jc w:val="center"/>
              <w:rPr>
                <w:rFonts w:hint="default" w:ascii="宋体" w:hAnsi="宋体" w:eastAsia="宋体" w:cs="宋体"/>
                <w:sz w:val="24"/>
                <w:lang w:val="en-US" w:eastAsia="zh-CN"/>
              </w:rPr>
            </w:pPr>
            <w:r>
              <w:rPr>
                <w:rFonts w:hint="eastAsia" w:ascii="宋体" w:hAnsi="宋体" w:cs="宋体"/>
                <w:sz w:val="24"/>
              </w:rPr>
              <w:t>202</w:t>
            </w:r>
            <w:r>
              <w:rPr>
                <w:rFonts w:hint="eastAsia" w:ascii="宋体" w:hAnsi="宋体" w:cs="宋体"/>
                <w:sz w:val="24"/>
                <w:lang w:val="en-US" w:eastAsia="zh-CN"/>
              </w:rPr>
              <w:t>6</w:t>
            </w:r>
            <w:r>
              <w:rPr>
                <w:rFonts w:hint="eastAsia" w:ascii="宋体" w:hAnsi="宋体" w:cs="宋体"/>
                <w:sz w:val="24"/>
              </w:rPr>
              <w:t>年</w:t>
            </w:r>
            <w:r>
              <w:rPr>
                <w:rFonts w:hint="eastAsia" w:ascii="宋体" w:hAnsi="宋体" w:cs="宋体"/>
                <w:sz w:val="24"/>
                <w:lang w:val="en-US" w:eastAsia="zh-CN"/>
              </w:rPr>
              <w:t>9</w:t>
            </w:r>
            <w:r>
              <w:rPr>
                <w:rFonts w:hint="eastAsia" w:ascii="宋体" w:hAnsi="宋体" w:cs="宋体"/>
                <w:sz w:val="24"/>
              </w:rPr>
              <w:t>月</w:t>
            </w:r>
          </w:p>
        </w:tc>
      </w:tr>
      <w:tr w14:paraId="2AD87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7" w:hRule="atLeast"/>
          <w:jc w:val="center"/>
        </w:trPr>
        <w:tc>
          <w:tcPr>
            <w:tcW w:w="9229" w:type="dxa"/>
            <w:gridSpan w:val="4"/>
            <w:tcBorders>
              <w:tl2br w:val="nil"/>
              <w:tr2bl w:val="nil"/>
            </w:tcBorders>
            <w:shd w:val="clear" w:color="auto" w:fill="FFFFFF"/>
            <w:vAlign w:val="center"/>
          </w:tcPr>
          <w:p w14:paraId="3EE647F2">
            <w:pPr>
              <w:widowControl/>
              <w:spacing w:after="150"/>
              <w:jc w:val="center"/>
              <w:rPr>
                <w:rFonts w:ascii="宋体" w:hAnsi="宋体" w:cs="宋体"/>
                <w:kern w:val="0"/>
                <w:sz w:val="24"/>
                <w:shd w:val="clear" w:color="auto" w:fill="FFFFFF"/>
              </w:rPr>
            </w:pPr>
            <w:r>
              <w:rPr>
                <w:rFonts w:hint="eastAsia" w:ascii="宋体" w:hAnsi="宋体" w:cs="宋体"/>
                <w:kern w:val="0"/>
                <w:sz w:val="24"/>
                <w:shd w:val="clear" w:color="auto" w:fill="FFFFFF"/>
              </w:rPr>
              <w:t>评价人员</w:t>
            </w:r>
          </w:p>
        </w:tc>
      </w:tr>
      <w:tr w14:paraId="316E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7" w:hRule="atLeast"/>
          <w:jc w:val="center"/>
        </w:trPr>
        <w:tc>
          <w:tcPr>
            <w:tcW w:w="588" w:type="dxa"/>
            <w:tcBorders>
              <w:tl2br w:val="nil"/>
              <w:tr2bl w:val="nil"/>
            </w:tcBorders>
            <w:shd w:val="clear" w:color="auto" w:fill="FFFFFF"/>
            <w:vAlign w:val="center"/>
          </w:tcPr>
          <w:p w14:paraId="10B93473">
            <w:pPr>
              <w:jc w:val="center"/>
              <w:rPr>
                <w:rFonts w:ascii="宋体" w:hAnsi="宋体" w:cs="宋体"/>
                <w:sz w:val="24"/>
              </w:rPr>
            </w:pPr>
          </w:p>
        </w:tc>
        <w:tc>
          <w:tcPr>
            <w:tcW w:w="952" w:type="dxa"/>
            <w:tcBorders>
              <w:tl2br w:val="nil"/>
              <w:tr2bl w:val="nil"/>
            </w:tcBorders>
            <w:shd w:val="clear" w:color="auto" w:fill="FFFFFF"/>
            <w:vAlign w:val="center"/>
          </w:tcPr>
          <w:p w14:paraId="476FDDF2">
            <w:pPr>
              <w:widowControl/>
              <w:spacing w:after="150"/>
              <w:jc w:val="center"/>
              <w:rPr>
                <w:rFonts w:ascii="宋体" w:hAnsi="宋体" w:cs="宋体"/>
                <w:sz w:val="24"/>
              </w:rPr>
            </w:pPr>
            <w:r>
              <w:rPr>
                <w:rFonts w:hint="eastAsia" w:ascii="宋体" w:hAnsi="宋体" w:cs="宋体"/>
                <w:kern w:val="0"/>
                <w:sz w:val="24"/>
                <w:shd w:val="clear" w:color="auto" w:fill="FFFFFF"/>
              </w:rPr>
              <w:t>姓名</w:t>
            </w:r>
          </w:p>
        </w:tc>
        <w:tc>
          <w:tcPr>
            <w:tcW w:w="5574" w:type="dxa"/>
            <w:tcBorders>
              <w:tl2br w:val="nil"/>
              <w:tr2bl w:val="nil"/>
            </w:tcBorders>
            <w:shd w:val="clear" w:color="auto" w:fill="FFFFFF"/>
            <w:vAlign w:val="center"/>
          </w:tcPr>
          <w:p w14:paraId="41DE2DD7">
            <w:pPr>
              <w:widowControl/>
              <w:spacing w:after="150"/>
              <w:jc w:val="center"/>
              <w:rPr>
                <w:rFonts w:ascii="宋体" w:hAnsi="宋体" w:cs="宋体"/>
                <w:sz w:val="24"/>
              </w:rPr>
            </w:pPr>
            <w:r>
              <w:rPr>
                <w:rFonts w:hint="eastAsia" w:ascii="宋体" w:hAnsi="宋体" w:cs="宋体"/>
                <w:kern w:val="0"/>
                <w:sz w:val="24"/>
                <w:shd w:val="clear" w:color="auto" w:fill="FFFFFF"/>
              </w:rPr>
              <w:t>资格证书号</w:t>
            </w:r>
          </w:p>
        </w:tc>
        <w:tc>
          <w:tcPr>
            <w:tcW w:w="2115" w:type="dxa"/>
            <w:tcBorders>
              <w:tl2br w:val="nil"/>
              <w:tr2bl w:val="nil"/>
            </w:tcBorders>
            <w:shd w:val="clear" w:color="auto" w:fill="FFFFFF"/>
            <w:vAlign w:val="center"/>
          </w:tcPr>
          <w:p w14:paraId="48A34EEA">
            <w:pPr>
              <w:widowControl/>
              <w:spacing w:after="150"/>
              <w:jc w:val="center"/>
              <w:rPr>
                <w:rFonts w:ascii="宋体" w:hAnsi="宋体" w:cs="宋体"/>
                <w:sz w:val="24"/>
              </w:rPr>
            </w:pPr>
            <w:r>
              <w:rPr>
                <w:rFonts w:hint="eastAsia" w:ascii="宋体" w:hAnsi="宋体" w:cs="宋体"/>
                <w:kern w:val="0"/>
                <w:sz w:val="24"/>
                <w:shd w:val="clear" w:color="auto" w:fill="FFFFFF"/>
              </w:rPr>
              <w:t>从业号</w:t>
            </w:r>
          </w:p>
        </w:tc>
      </w:tr>
      <w:tr w14:paraId="29A83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32" w:hRule="atLeast"/>
          <w:jc w:val="center"/>
        </w:trPr>
        <w:tc>
          <w:tcPr>
            <w:tcW w:w="588" w:type="dxa"/>
            <w:tcBorders>
              <w:tl2br w:val="nil"/>
              <w:tr2bl w:val="nil"/>
            </w:tcBorders>
            <w:shd w:val="clear" w:color="auto" w:fill="FFFFFF"/>
            <w:vAlign w:val="center"/>
          </w:tcPr>
          <w:p w14:paraId="1FB23008">
            <w:pPr>
              <w:jc w:val="center"/>
              <w:rPr>
                <w:rFonts w:ascii="宋体" w:hAnsi="宋体" w:cs="宋体"/>
                <w:sz w:val="24"/>
              </w:rPr>
            </w:pPr>
            <w:r>
              <w:rPr>
                <w:rFonts w:hint="eastAsia" w:ascii="宋体" w:hAnsi="宋体" w:cs="宋体"/>
                <w:sz w:val="24"/>
              </w:rPr>
              <w:t>项目负责人</w:t>
            </w:r>
          </w:p>
        </w:tc>
        <w:tc>
          <w:tcPr>
            <w:tcW w:w="952" w:type="dxa"/>
            <w:tcBorders>
              <w:tl2br w:val="nil"/>
              <w:tr2bl w:val="nil"/>
            </w:tcBorders>
            <w:shd w:val="clear" w:color="auto" w:fill="FFFFFF"/>
            <w:vAlign w:val="center"/>
          </w:tcPr>
          <w:p w14:paraId="56565DEB">
            <w:pPr>
              <w:spacing w:before="156" w:beforeLines="50" w:after="156" w:afterLines="50" w:line="300" w:lineRule="exact"/>
              <w:jc w:val="center"/>
              <w:rPr>
                <w:rFonts w:hint="default" w:ascii="Calibri" w:hAnsi="Calibri" w:eastAsia="宋体" w:cs="Times New Roman"/>
                <w:kern w:val="2"/>
                <w:sz w:val="24"/>
                <w:szCs w:val="24"/>
                <w:lang w:val="en-US" w:eastAsia="zh-CN" w:bidi="ar-SA"/>
              </w:rPr>
            </w:pPr>
            <w:r>
              <w:rPr>
                <w:rFonts w:hint="eastAsia"/>
                <w:sz w:val="24"/>
              </w:rPr>
              <w:t>黎财荣</w:t>
            </w:r>
          </w:p>
        </w:tc>
        <w:tc>
          <w:tcPr>
            <w:tcW w:w="5574" w:type="dxa"/>
            <w:tcBorders>
              <w:tl2br w:val="nil"/>
              <w:tr2bl w:val="nil"/>
            </w:tcBorders>
            <w:shd w:val="clear" w:color="auto" w:fill="FFFFFF"/>
            <w:vAlign w:val="center"/>
          </w:tcPr>
          <w:p w14:paraId="74203271">
            <w:pPr>
              <w:spacing w:line="360" w:lineRule="exact"/>
              <w:jc w:val="center"/>
              <w:rPr>
                <w:rFonts w:hint="default" w:ascii="宋体" w:hAnsi="宋体" w:eastAsia="宋体" w:cs="宋体"/>
                <w:kern w:val="2"/>
                <w:sz w:val="24"/>
                <w:szCs w:val="24"/>
                <w:lang w:val="en-US" w:eastAsia="zh-CN" w:bidi="zh-TW"/>
              </w:rPr>
            </w:pPr>
            <w:r>
              <w:rPr>
                <w:rFonts w:hint="eastAsia" w:ascii="宋体" w:hAnsi="宋体" w:cs="宋体"/>
                <w:sz w:val="24"/>
                <w:lang w:bidi="zh-TW"/>
              </w:rPr>
              <w:t>0800000000204012</w:t>
            </w:r>
          </w:p>
        </w:tc>
        <w:tc>
          <w:tcPr>
            <w:tcW w:w="2115" w:type="dxa"/>
            <w:tcBorders>
              <w:tl2br w:val="nil"/>
              <w:tr2bl w:val="nil"/>
            </w:tcBorders>
            <w:shd w:val="clear" w:color="auto" w:fill="FFFFFF"/>
            <w:vAlign w:val="center"/>
          </w:tcPr>
          <w:p w14:paraId="3EA9A323">
            <w:pPr>
              <w:spacing w:before="156" w:beforeLines="50" w:after="156" w:afterLines="50" w:line="360" w:lineRule="exact"/>
              <w:jc w:val="center"/>
              <w:rPr>
                <w:rFonts w:hint="default" w:ascii="宋体" w:hAnsi="宋体" w:eastAsia="宋体" w:cs="宋体"/>
                <w:kern w:val="2"/>
                <w:sz w:val="24"/>
                <w:szCs w:val="24"/>
                <w:lang w:val="en-US" w:eastAsia="zh-CN" w:bidi="ar-SA"/>
              </w:rPr>
            </w:pPr>
            <w:r>
              <w:rPr>
                <w:rFonts w:ascii="宋体" w:hAnsi="宋体" w:eastAsia="宋体" w:cs="宋体"/>
                <w:sz w:val="24"/>
                <w:lang w:bidi="zh-TW"/>
              </w:rPr>
              <w:t>013051</w:t>
            </w:r>
          </w:p>
        </w:tc>
      </w:tr>
      <w:tr w14:paraId="42A37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19" w:hRule="atLeast"/>
          <w:jc w:val="center"/>
        </w:trPr>
        <w:tc>
          <w:tcPr>
            <w:tcW w:w="588" w:type="dxa"/>
            <w:vMerge w:val="restart"/>
            <w:tcBorders>
              <w:tl2br w:val="nil"/>
              <w:tr2bl w:val="nil"/>
            </w:tcBorders>
            <w:shd w:val="clear" w:color="auto" w:fill="FFFFFF"/>
            <w:vAlign w:val="center"/>
          </w:tcPr>
          <w:p w14:paraId="4A4D7CCA">
            <w:pPr>
              <w:jc w:val="center"/>
              <w:rPr>
                <w:rFonts w:ascii="宋体" w:hAnsi="宋体" w:cs="宋体"/>
                <w:sz w:val="24"/>
              </w:rPr>
            </w:pPr>
            <w:r>
              <w:rPr>
                <w:rFonts w:hint="eastAsia" w:ascii="宋体" w:hAnsi="宋体" w:cs="宋体"/>
                <w:sz w:val="24"/>
              </w:rPr>
              <w:t>项目组成员</w:t>
            </w:r>
          </w:p>
        </w:tc>
        <w:tc>
          <w:tcPr>
            <w:tcW w:w="952" w:type="dxa"/>
            <w:tcBorders>
              <w:tl2br w:val="nil"/>
              <w:tr2bl w:val="nil"/>
            </w:tcBorders>
            <w:shd w:val="clear" w:color="auto" w:fill="FFFFFF"/>
            <w:vAlign w:val="center"/>
          </w:tcPr>
          <w:p w14:paraId="2D36C39E">
            <w:pPr>
              <w:spacing w:before="156" w:beforeLines="50" w:after="156" w:afterLines="50" w:line="300" w:lineRule="exact"/>
              <w:jc w:val="center"/>
              <w:rPr>
                <w:rFonts w:hint="default" w:ascii="宋体" w:hAnsi="宋体" w:eastAsia="宋体" w:cs="宋体"/>
                <w:kern w:val="2"/>
                <w:sz w:val="24"/>
                <w:szCs w:val="24"/>
                <w:lang w:val="en-US" w:eastAsia="zh-CN" w:bidi="ar-SA"/>
              </w:rPr>
            </w:pPr>
            <w:r>
              <w:rPr>
                <w:rFonts w:hint="eastAsia" w:ascii="宋体" w:hAnsi="宋体" w:eastAsia="宋体" w:cs="宋体"/>
                <w:sz w:val="24"/>
              </w:rPr>
              <w:t>刘二平</w:t>
            </w:r>
          </w:p>
        </w:tc>
        <w:tc>
          <w:tcPr>
            <w:tcW w:w="5574" w:type="dxa"/>
            <w:tcBorders>
              <w:tl2br w:val="nil"/>
              <w:tr2bl w:val="nil"/>
            </w:tcBorders>
            <w:shd w:val="clear" w:color="auto" w:fill="FFFFFF"/>
            <w:vAlign w:val="center"/>
          </w:tcPr>
          <w:p w14:paraId="652AFC5A">
            <w:pPr>
              <w:spacing w:before="156" w:beforeLines="50" w:after="156" w:afterLines="50" w:line="360" w:lineRule="exact"/>
              <w:jc w:val="center"/>
              <w:rPr>
                <w:rFonts w:hint="default" w:ascii="宋体" w:hAnsi="宋体" w:eastAsia="宋体" w:cs="宋体"/>
                <w:kern w:val="2"/>
                <w:sz w:val="24"/>
                <w:szCs w:val="24"/>
                <w:lang w:val="en-US" w:eastAsia="zh-CN" w:bidi="ar-SA"/>
              </w:rPr>
            </w:pPr>
            <w:r>
              <w:rPr>
                <w:rFonts w:hint="eastAsia" w:ascii="宋体" w:hAnsi="宋体" w:eastAsia="宋体" w:cs="宋体"/>
                <w:sz w:val="24"/>
              </w:rPr>
              <w:t>03320241036000000887</w:t>
            </w:r>
          </w:p>
        </w:tc>
        <w:tc>
          <w:tcPr>
            <w:tcW w:w="2115" w:type="dxa"/>
            <w:tcBorders>
              <w:tl2br w:val="nil"/>
              <w:tr2bl w:val="nil"/>
            </w:tcBorders>
            <w:shd w:val="clear" w:color="auto" w:fill="FFFFFF"/>
            <w:vAlign w:val="center"/>
          </w:tcPr>
          <w:p w14:paraId="155B3950">
            <w:pPr>
              <w:spacing w:before="156" w:beforeLines="50" w:after="156" w:afterLines="50" w:line="360" w:lineRule="exact"/>
              <w:jc w:val="center"/>
              <w:rPr>
                <w:rFonts w:hint="default" w:ascii="宋体" w:hAnsi="宋体" w:eastAsia="宋体" w:cs="宋体"/>
                <w:kern w:val="2"/>
                <w:sz w:val="24"/>
                <w:szCs w:val="24"/>
                <w:lang w:val="en-US" w:eastAsia="zh-CN" w:bidi="ar-SA"/>
              </w:rPr>
            </w:pPr>
            <w:r>
              <w:rPr>
                <w:rFonts w:hint="eastAsia" w:ascii="宋体" w:hAnsi="宋体" w:cs="宋体"/>
                <w:sz w:val="24"/>
              </w:rPr>
              <w:t>37250438462</w:t>
            </w:r>
          </w:p>
        </w:tc>
      </w:tr>
      <w:tr w14:paraId="594F2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7" w:hRule="atLeast"/>
          <w:jc w:val="center"/>
        </w:trPr>
        <w:tc>
          <w:tcPr>
            <w:tcW w:w="588" w:type="dxa"/>
            <w:vMerge w:val="continue"/>
            <w:tcBorders>
              <w:tl2br w:val="nil"/>
              <w:tr2bl w:val="nil"/>
            </w:tcBorders>
            <w:shd w:val="clear" w:color="auto" w:fill="FFFFFF"/>
            <w:vAlign w:val="center"/>
          </w:tcPr>
          <w:p w14:paraId="1894849F">
            <w:pPr>
              <w:jc w:val="center"/>
              <w:rPr>
                <w:rFonts w:ascii="宋体" w:hAnsi="宋体" w:cs="宋体"/>
                <w:sz w:val="24"/>
              </w:rPr>
            </w:pPr>
          </w:p>
        </w:tc>
        <w:tc>
          <w:tcPr>
            <w:tcW w:w="952" w:type="dxa"/>
            <w:tcBorders>
              <w:tl2br w:val="nil"/>
              <w:tr2bl w:val="nil"/>
            </w:tcBorders>
            <w:shd w:val="clear" w:color="auto" w:fill="auto"/>
            <w:vAlign w:val="center"/>
          </w:tcPr>
          <w:p w14:paraId="4A9331A7">
            <w:pPr>
              <w:spacing w:before="156" w:beforeLines="50" w:after="156" w:afterLines="50" w:line="400" w:lineRule="exact"/>
              <w:ind w:firstLine="0" w:firstLineChars="0"/>
              <w:jc w:val="center"/>
              <w:rPr>
                <w:rFonts w:hint="default" w:ascii="宋体" w:hAnsi="宋体" w:eastAsia="宋体" w:cs="宋体"/>
                <w:kern w:val="2"/>
                <w:sz w:val="24"/>
                <w:szCs w:val="24"/>
                <w:lang w:val="en-US" w:eastAsia="zh-CN" w:bidi="ar-SA"/>
              </w:rPr>
            </w:pPr>
            <w:r>
              <w:rPr>
                <w:rFonts w:hint="default" w:ascii="宋体" w:hAnsi="宋体" w:eastAsia="宋体" w:cs="宋体"/>
                <w:kern w:val="2"/>
                <w:sz w:val="24"/>
                <w:szCs w:val="24"/>
                <w:lang w:val="en-US" w:eastAsia="zh-CN" w:bidi="ar-SA"/>
              </w:rPr>
              <w:t>于志勇</w:t>
            </w:r>
          </w:p>
        </w:tc>
        <w:tc>
          <w:tcPr>
            <w:tcW w:w="5574" w:type="dxa"/>
            <w:tcBorders>
              <w:tl2br w:val="nil"/>
              <w:tr2bl w:val="nil"/>
            </w:tcBorders>
            <w:shd w:val="clear" w:color="auto" w:fill="auto"/>
            <w:vAlign w:val="center"/>
          </w:tcPr>
          <w:p w14:paraId="3E4AF7D5">
            <w:pPr>
              <w:spacing w:before="156" w:beforeLines="50" w:after="156" w:afterLines="50" w:line="400" w:lineRule="exact"/>
              <w:ind w:firstLine="0" w:firstLineChars="0"/>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2014033230330000003310230030</w:t>
            </w:r>
          </w:p>
        </w:tc>
        <w:tc>
          <w:tcPr>
            <w:tcW w:w="2115" w:type="dxa"/>
            <w:tcBorders>
              <w:tl2br w:val="nil"/>
              <w:tr2bl w:val="nil"/>
            </w:tcBorders>
            <w:shd w:val="clear" w:color="auto" w:fill="auto"/>
            <w:vAlign w:val="center"/>
          </w:tcPr>
          <w:p w14:paraId="097E9CF2">
            <w:pPr>
              <w:spacing w:before="156" w:beforeLines="50" w:after="156" w:afterLines="50" w:line="400" w:lineRule="exact"/>
              <w:ind w:firstLine="0" w:firstLineChars="0"/>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51190209624</w:t>
            </w:r>
          </w:p>
        </w:tc>
      </w:tr>
      <w:tr w14:paraId="75184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7" w:hRule="atLeast"/>
          <w:jc w:val="center"/>
        </w:trPr>
        <w:tc>
          <w:tcPr>
            <w:tcW w:w="588" w:type="dxa"/>
            <w:vMerge w:val="continue"/>
            <w:tcBorders>
              <w:tl2br w:val="nil"/>
              <w:tr2bl w:val="nil"/>
            </w:tcBorders>
            <w:shd w:val="clear" w:color="auto" w:fill="FFFFFF"/>
            <w:vAlign w:val="center"/>
          </w:tcPr>
          <w:p w14:paraId="218282FC">
            <w:pPr>
              <w:jc w:val="center"/>
              <w:rPr>
                <w:rFonts w:ascii="宋体" w:hAnsi="宋体" w:cs="宋体"/>
                <w:sz w:val="24"/>
              </w:rPr>
            </w:pPr>
          </w:p>
        </w:tc>
        <w:tc>
          <w:tcPr>
            <w:tcW w:w="952" w:type="dxa"/>
            <w:tcBorders>
              <w:tl2br w:val="nil"/>
              <w:tr2bl w:val="nil"/>
            </w:tcBorders>
            <w:shd w:val="clear" w:color="auto" w:fill="FFFFFF"/>
            <w:vAlign w:val="center"/>
          </w:tcPr>
          <w:p w14:paraId="07C8D395">
            <w:pPr>
              <w:spacing w:before="156" w:beforeLines="50" w:after="156" w:afterLines="50" w:line="300" w:lineRule="exact"/>
              <w:jc w:val="center"/>
              <w:rPr>
                <w:rFonts w:hint="default" w:ascii="宋体" w:hAnsi="宋体" w:eastAsia="宋体" w:cs="宋体"/>
                <w:kern w:val="2"/>
                <w:sz w:val="24"/>
                <w:szCs w:val="24"/>
                <w:lang w:val="en-US" w:eastAsia="zh-CN" w:bidi="ar-SA"/>
              </w:rPr>
            </w:pPr>
            <w:r>
              <w:rPr>
                <w:rFonts w:hint="eastAsia" w:ascii="宋体" w:hAnsi="宋体" w:eastAsia="宋体" w:cs="宋体"/>
                <w:sz w:val="24"/>
              </w:rPr>
              <w:t>程冬红</w:t>
            </w:r>
          </w:p>
        </w:tc>
        <w:tc>
          <w:tcPr>
            <w:tcW w:w="5574" w:type="dxa"/>
            <w:tcBorders>
              <w:tl2br w:val="nil"/>
              <w:tr2bl w:val="nil"/>
            </w:tcBorders>
            <w:shd w:val="clear" w:color="auto" w:fill="FFFFFF"/>
            <w:vAlign w:val="center"/>
          </w:tcPr>
          <w:p w14:paraId="1F79760F">
            <w:pPr>
              <w:spacing w:before="156" w:beforeLines="50" w:after="156" w:afterLines="50" w:line="360" w:lineRule="exact"/>
              <w:jc w:val="center"/>
              <w:rPr>
                <w:rFonts w:hint="default" w:ascii="宋体" w:hAnsi="宋体" w:eastAsia="宋体" w:cs="宋体"/>
                <w:kern w:val="2"/>
                <w:sz w:val="24"/>
                <w:szCs w:val="24"/>
                <w:lang w:val="en-US" w:eastAsia="zh-CN" w:bidi="ar-SA"/>
              </w:rPr>
            </w:pPr>
            <w:r>
              <w:rPr>
                <w:rFonts w:hint="eastAsia" w:ascii="宋体" w:hAnsi="宋体" w:eastAsia="宋体" w:cs="宋体"/>
                <w:sz w:val="24"/>
              </w:rPr>
              <w:t>1500000000301714</w:t>
            </w:r>
          </w:p>
        </w:tc>
        <w:tc>
          <w:tcPr>
            <w:tcW w:w="2115" w:type="dxa"/>
            <w:tcBorders>
              <w:tl2br w:val="nil"/>
              <w:tr2bl w:val="nil"/>
            </w:tcBorders>
            <w:shd w:val="clear" w:color="auto" w:fill="FFFFFF"/>
            <w:vAlign w:val="center"/>
          </w:tcPr>
          <w:p w14:paraId="05E42F8E">
            <w:pPr>
              <w:spacing w:before="156" w:beforeLines="50" w:after="156" w:afterLines="50" w:line="360" w:lineRule="exact"/>
              <w:jc w:val="center"/>
              <w:rPr>
                <w:rFonts w:hint="default" w:ascii="宋体" w:hAnsi="宋体" w:eastAsia="宋体" w:cs="宋体"/>
                <w:kern w:val="2"/>
                <w:sz w:val="24"/>
                <w:szCs w:val="24"/>
                <w:lang w:val="en-US" w:eastAsia="zh-CN" w:bidi="ar-SA"/>
              </w:rPr>
            </w:pPr>
            <w:r>
              <w:rPr>
                <w:rFonts w:ascii="宋体" w:hAnsi="宋体" w:eastAsia="宋体" w:cs="宋体"/>
                <w:sz w:val="24"/>
              </w:rPr>
              <w:t>026812</w:t>
            </w:r>
          </w:p>
        </w:tc>
      </w:tr>
      <w:tr w14:paraId="3B195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7" w:hRule="atLeast"/>
          <w:jc w:val="center"/>
        </w:trPr>
        <w:tc>
          <w:tcPr>
            <w:tcW w:w="588" w:type="dxa"/>
            <w:vMerge w:val="continue"/>
            <w:tcBorders>
              <w:tl2br w:val="nil"/>
              <w:tr2bl w:val="nil"/>
            </w:tcBorders>
            <w:shd w:val="clear" w:color="auto" w:fill="FFFFFF"/>
            <w:vAlign w:val="center"/>
          </w:tcPr>
          <w:p w14:paraId="78FC19D6">
            <w:pPr>
              <w:jc w:val="center"/>
              <w:rPr>
                <w:rFonts w:ascii="宋体" w:hAnsi="宋体" w:cs="宋体"/>
                <w:sz w:val="24"/>
              </w:rPr>
            </w:pPr>
          </w:p>
        </w:tc>
        <w:tc>
          <w:tcPr>
            <w:tcW w:w="952" w:type="dxa"/>
            <w:tcBorders>
              <w:tl2br w:val="nil"/>
              <w:tr2bl w:val="nil"/>
            </w:tcBorders>
            <w:shd w:val="clear" w:color="auto" w:fill="auto"/>
            <w:vAlign w:val="center"/>
          </w:tcPr>
          <w:p w14:paraId="5313DC72">
            <w:pPr>
              <w:spacing w:before="156" w:beforeLines="50" w:after="156" w:afterLines="50" w:line="400" w:lineRule="exact"/>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徐顺星</w:t>
            </w:r>
          </w:p>
        </w:tc>
        <w:tc>
          <w:tcPr>
            <w:tcW w:w="5574" w:type="dxa"/>
            <w:tcBorders>
              <w:tl2br w:val="nil"/>
              <w:tr2bl w:val="nil"/>
            </w:tcBorders>
            <w:shd w:val="clear" w:color="auto" w:fill="auto"/>
            <w:vAlign w:val="center"/>
          </w:tcPr>
          <w:p w14:paraId="0A94E59E">
            <w:pPr>
              <w:spacing w:before="156" w:beforeLines="50" w:after="156" w:afterLines="50" w:line="400" w:lineRule="exact"/>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1100000000300932</w:t>
            </w:r>
          </w:p>
        </w:tc>
        <w:tc>
          <w:tcPr>
            <w:tcW w:w="2115" w:type="dxa"/>
            <w:tcBorders>
              <w:tl2br w:val="nil"/>
              <w:tr2bl w:val="nil"/>
            </w:tcBorders>
            <w:shd w:val="clear" w:color="auto" w:fill="auto"/>
            <w:vAlign w:val="center"/>
          </w:tcPr>
          <w:p w14:paraId="4DD07733">
            <w:pPr>
              <w:spacing w:before="156" w:beforeLines="50" w:after="156" w:afterLines="50" w:line="400" w:lineRule="exact"/>
              <w:ind w:firstLine="0" w:firstLineChars="0"/>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018803</w:t>
            </w:r>
          </w:p>
        </w:tc>
      </w:tr>
      <w:tr w14:paraId="1968C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7" w:hRule="atLeast"/>
          <w:jc w:val="center"/>
        </w:trPr>
        <w:tc>
          <w:tcPr>
            <w:tcW w:w="588" w:type="dxa"/>
            <w:tcBorders>
              <w:tl2br w:val="nil"/>
              <w:tr2bl w:val="nil"/>
            </w:tcBorders>
            <w:shd w:val="clear" w:color="auto" w:fill="FFFFFF"/>
            <w:vAlign w:val="center"/>
          </w:tcPr>
          <w:p w14:paraId="1393FDAF">
            <w:pPr>
              <w:widowControl/>
              <w:spacing w:after="150"/>
              <w:jc w:val="center"/>
              <w:rPr>
                <w:rFonts w:ascii="宋体" w:hAnsi="宋体" w:cs="宋体"/>
                <w:sz w:val="24"/>
              </w:rPr>
            </w:pPr>
            <w:r>
              <w:rPr>
                <w:rFonts w:hint="eastAsia" w:ascii="宋体" w:hAnsi="宋体" w:cs="宋体"/>
                <w:kern w:val="0"/>
                <w:sz w:val="24"/>
                <w:shd w:val="clear" w:color="auto" w:fill="FFFFFF"/>
              </w:rPr>
              <w:t>技术专家</w:t>
            </w:r>
          </w:p>
        </w:tc>
        <w:tc>
          <w:tcPr>
            <w:tcW w:w="8641" w:type="dxa"/>
            <w:gridSpan w:val="3"/>
            <w:tcBorders>
              <w:tl2br w:val="nil"/>
              <w:tr2bl w:val="nil"/>
            </w:tcBorders>
            <w:shd w:val="clear" w:color="auto" w:fill="FFFFFF"/>
            <w:vAlign w:val="center"/>
          </w:tcPr>
          <w:p w14:paraId="06BC571F">
            <w:pPr>
              <w:jc w:val="center"/>
              <w:rPr>
                <w:rFonts w:ascii="宋体" w:hAnsi="宋体" w:cs="宋体"/>
                <w:sz w:val="24"/>
              </w:rPr>
            </w:pPr>
            <w:r>
              <w:rPr>
                <w:rFonts w:hint="eastAsia" w:ascii="宋体" w:hAnsi="宋体" w:cs="宋体"/>
                <w:sz w:val="24"/>
              </w:rPr>
              <w:t>/</w:t>
            </w:r>
          </w:p>
        </w:tc>
      </w:tr>
      <w:tr w14:paraId="4F7E4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50" w:hRule="atLeast"/>
          <w:jc w:val="center"/>
        </w:trPr>
        <w:tc>
          <w:tcPr>
            <w:tcW w:w="588" w:type="dxa"/>
            <w:tcBorders>
              <w:tl2br w:val="nil"/>
              <w:tr2bl w:val="nil"/>
            </w:tcBorders>
            <w:shd w:val="clear" w:color="auto" w:fill="FFFFFF"/>
            <w:vAlign w:val="center"/>
          </w:tcPr>
          <w:p w14:paraId="29ED6B3E">
            <w:pPr>
              <w:widowControl/>
              <w:spacing w:after="150"/>
              <w:jc w:val="center"/>
              <w:rPr>
                <w:rFonts w:ascii="宋体" w:hAnsi="宋体" w:cs="宋体"/>
                <w:sz w:val="24"/>
              </w:rPr>
            </w:pPr>
            <w:r>
              <w:rPr>
                <w:rFonts w:hint="eastAsia" w:ascii="宋体" w:hAnsi="宋体" w:cs="宋体"/>
                <w:kern w:val="0"/>
                <w:sz w:val="24"/>
                <w:shd w:val="clear" w:color="auto" w:fill="FFFFFF"/>
              </w:rPr>
              <w:t>现场勘察人员及时间</w:t>
            </w:r>
          </w:p>
        </w:tc>
        <w:tc>
          <w:tcPr>
            <w:tcW w:w="8641" w:type="dxa"/>
            <w:gridSpan w:val="3"/>
            <w:tcBorders>
              <w:tl2br w:val="nil"/>
              <w:tr2bl w:val="nil"/>
            </w:tcBorders>
            <w:shd w:val="clear" w:color="auto" w:fill="FFFFFF"/>
            <w:vAlign w:val="center"/>
          </w:tcPr>
          <w:p w14:paraId="0A9BD943">
            <w:pPr>
              <w:widowControl/>
              <w:spacing w:after="150"/>
              <w:jc w:val="center"/>
              <w:rPr>
                <w:rFonts w:hint="default" w:ascii="Times New Roman" w:hAnsi="Times New Roman" w:eastAsia="宋体"/>
                <w:sz w:val="24"/>
                <w:lang w:val="en-US" w:eastAsia="zh-CN"/>
              </w:rPr>
            </w:pPr>
            <w:r>
              <w:rPr>
                <w:rFonts w:hint="eastAsia"/>
                <w:sz w:val="24"/>
              </w:rPr>
              <w:t>黎财荣</w:t>
            </w:r>
            <w:r>
              <w:rPr>
                <w:rFonts w:hint="eastAsia"/>
                <w:color w:val="000000"/>
                <w:sz w:val="24"/>
              </w:rPr>
              <w:t>、</w:t>
            </w:r>
            <w:r>
              <w:rPr>
                <w:rFonts w:hint="eastAsia" w:cs="Times New Roman"/>
                <w:sz w:val="24"/>
                <w:szCs w:val="24"/>
                <w:lang w:val="en-US" w:eastAsia="zh-CN"/>
              </w:rPr>
              <w:t>徐顺星</w:t>
            </w:r>
            <w:r>
              <w:rPr>
                <w:rFonts w:hint="eastAsia"/>
                <w:sz w:val="24"/>
              </w:rPr>
              <w:t xml:space="preserve"> </w:t>
            </w:r>
            <w:r>
              <w:rPr>
                <w:rFonts w:hint="eastAsia"/>
                <w:sz w:val="24"/>
                <w:lang w:val="en-US" w:eastAsia="zh-CN"/>
              </w:rPr>
              <w:t>2026年9月2日</w:t>
            </w:r>
          </w:p>
        </w:tc>
      </w:tr>
      <w:tr w14:paraId="0A655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61" w:hRule="atLeast"/>
          <w:jc w:val="center"/>
        </w:trPr>
        <w:tc>
          <w:tcPr>
            <w:tcW w:w="588" w:type="dxa"/>
            <w:tcBorders>
              <w:tl2br w:val="nil"/>
              <w:tr2bl w:val="nil"/>
            </w:tcBorders>
            <w:shd w:val="clear" w:color="auto" w:fill="FFFFFF"/>
            <w:vAlign w:val="center"/>
          </w:tcPr>
          <w:p w14:paraId="716803F2">
            <w:pPr>
              <w:widowControl/>
              <w:spacing w:after="150"/>
              <w:jc w:val="center"/>
              <w:rPr>
                <w:rFonts w:ascii="宋体" w:hAnsi="宋体" w:cs="宋体"/>
                <w:kern w:val="0"/>
                <w:sz w:val="24"/>
                <w:shd w:val="clear" w:color="auto" w:fill="FFFFFF"/>
              </w:rPr>
            </w:pPr>
            <w:r>
              <w:rPr>
                <w:rFonts w:hint="eastAsia" w:ascii="宋体" w:hAnsi="宋体" w:cs="宋体"/>
                <w:kern w:val="0"/>
                <w:sz w:val="24"/>
                <w:shd w:val="clear" w:color="auto" w:fill="FFFFFF"/>
              </w:rPr>
              <w:t>现场核查的人员和时间</w:t>
            </w:r>
          </w:p>
        </w:tc>
        <w:tc>
          <w:tcPr>
            <w:tcW w:w="8641" w:type="dxa"/>
            <w:gridSpan w:val="3"/>
            <w:tcBorders>
              <w:tl2br w:val="nil"/>
              <w:tr2bl w:val="nil"/>
            </w:tcBorders>
            <w:shd w:val="clear" w:color="auto" w:fill="FFFFFF"/>
            <w:vAlign w:val="center"/>
          </w:tcPr>
          <w:p w14:paraId="0C6652F1">
            <w:pPr>
              <w:widowControl/>
              <w:spacing w:after="150"/>
              <w:jc w:val="center"/>
              <w:rPr>
                <w:rFonts w:hint="default" w:ascii="Times New Roman" w:hAnsi="Times New Roman" w:eastAsia="宋体"/>
                <w:color w:val="FF0000"/>
                <w:sz w:val="24"/>
                <w:lang w:val="en-US" w:eastAsia="zh-CN"/>
              </w:rPr>
            </w:pPr>
            <w:r>
              <w:rPr>
                <w:rFonts w:hint="eastAsia" w:ascii="宋体" w:hAnsi="宋体" w:cs="宋体"/>
                <w:sz w:val="24"/>
                <w:lang w:val="en-US" w:eastAsia="zh-CN"/>
              </w:rPr>
              <w:t>黎财荣、徐顺星 2026年9月16日</w:t>
            </w:r>
          </w:p>
        </w:tc>
      </w:tr>
      <w:tr w14:paraId="7F3ED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0" w:hRule="atLeast"/>
          <w:jc w:val="center"/>
        </w:trPr>
        <w:tc>
          <w:tcPr>
            <w:tcW w:w="588" w:type="dxa"/>
            <w:tcBorders>
              <w:tl2br w:val="nil"/>
              <w:tr2bl w:val="nil"/>
            </w:tcBorders>
            <w:shd w:val="clear" w:color="auto" w:fill="FFFFFF"/>
            <w:vAlign w:val="center"/>
          </w:tcPr>
          <w:p w14:paraId="79FDD196">
            <w:pPr>
              <w:widowControl/>
              <w:spacing w:after="15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项目简介</w:t>
            </w:r>
          </w:p>
        </w:tc>
        <w:tc>
          <w:tcPr>
            <w:tcW w:w="8641" w:type="dxa"/>
            <w:gridSpan w:val="3"/>
            <w:tcBorders>
              <w:tl2br w:val="nil"/>
              <w:tr2bl w:val="nil"/>
            </w:tcBorders>
            <w:shd w:val="clear" w:color="auto" w:fill="FFFFFF"/>
          </w:tcPr>
          <w:p w14:paraId="61EDDD7C">
            <w:pPr>
              <w:ind w:firstLine="480" w:firstLineChars="200"/>
              <w:rPr>
                <w:rFonts w:hint="default" w:eastAsia="宋体" w:cs="Times New Roman"/>
                <w:sz w:val="24"/>
                <w:lang w:val="en-US" w:eastAsia="zh-CN"/>
              </w:rPr>
            </w:pPr>
            <w:r>
              <w:rPr>
                <w:rFonts w:hint="eastAsia" w:cs="Times New Roman"/>
                <w:sz w:val="24"/>
                <w:lang w:val="en-US" w:eastAsia="zh-CN"/>
              </w:rPr>
              <w:t>一、企业介绍</w:t>
            </w:r>
          </w:p>
          <w:p w14:paraId="17C2731D">
            <w:pPr>
              <w:ind w:firstLine="480" w:firstLineChars="200"/>
              <w:rPr>
                <w:rFonts w:hint="eastAsia"/>
                <w:sz w:val="24"/>
                <w:lang w:val="en-US" w:eastAsia="zh-CN"/>
              </w:rPr>
            </w:pPr>
            <w:r>
              <w:rPr>
                <w:rFonts w:hint="eastAsia" w:eastAsia="宋体" w:cs="Times New Roman"/>
                <w:sz w:val="24"/>
                <w:lang w:val="en-US" w:eastAsia="zh-CN"/>
              </w:rPr>
              <w:t>新余赣锋锂业有限公司（以下简称该公司）是江西赣锋锂业集团股份有限公司的全资子公司，成立于2020年10月20日。注册地址位于江西省新余市高新开发区阳光大道2668号，法定代表人为廖萃，公司类型为有限责任公司（非自然人投资或控股的法人独资）。</w:t>
            </w:r>
          </w:p>
          <w:p w14:paraId="10620622">
            <w:pPr>
              <w:ind w:firstLine="480" w:firstLineChars="200"/>
              <w:rPr>
                <w:rFonts w:hint="eastAsia" w:eastAsia="宋体" w:cs="Times New Roman"/>
                <w:sz w:val="24"/>
                <w:lang w:val="en-US" w:eastAsia="zh-CN"/>
              </w:rPr>
            </w:pPr>
            <w:r>
              <w:rPr>
                <w:rFonts w:hint="eastAsia" w:eastAsia="宋体" w:cs="Times New Roman"/>
                <w:sz w:val="24"/>
                <w:lang w:val="en-US" w:eastAsia="zh-CN"/>
              </w:rPr>
              <w:t>万吨高纯锂盐改扩建项目于2025年2月5日取得了新余高新技术产业开发区发展和改革局项目备案批复，项目统一代码：2411-360500-04-05-886280。</w:t>
            </w:r>
          </w:p>
          <w:p w14:paraId="087C1E6A">
            <w:pPr>
              <w:ind w:firstLine="480" w:firstLineChars="200"/>
              <w:rPr>
                <w:rFonts w:hint="eastAsia" w:eastAsia="宋体" w:cs="Times New Roman"/>
                <w:sz w:val="24"/>
                <w:lang w:val="en-US" w:eastAsia="zh-CN"/>
              </w:rPr>
            </w:pPr>
            <w:r>
              <w:rPr>
                <w:rFonts w:hint="eastAsia" w:eastAsia="宋体" w:cs="Times New Roman"/>
                <w:sz w:val="24"/>
                <w:lang w:val="en-US" w:eastAsia="zh-CN"/>
              </w:rPr>
              <w:t>新余赣锋锂业有限公司万吨高纯锂盐改扩建项目于2025年3月24日取得新余市应急管理局出具的安全条件审查意见书，文件字：余应急危化项目安条审字[2025]02号。</w:t>
            </w:r>
          </w:p>
          <w:p w14:paraId="1CE819D8">
            <w:pPr>
              <w:ind w:firstLine="480" w:firstLineChars="200"/>
              <w:rPr>
                <w:rFonts w:hint="eastAsia" w:eastAsia="宋体" w:cs="Times New Roman"/>
                <w:sz w:val="24"/>
                <w:lang w:val="en-US" w:eastAsia="zh-CN"/>
              </w:rPr>
            </w:pPr>
            <w:r>
              <w:rPr>
                <w:rFonts w:hint="eastAsia" w:eastAsia="宋体" w:cs="Times New Roman"/>
                <w:sz w:val="24"/>
                <w:lang w:val="en-US" w:eastAsia="zh-CN"/>
              </w:rPr>
              <w:t>新余赣锋锂业有限公司万吨高纯锂盐改扩建项目安全设施设计由河北英科石化工程有限公司（化工石化医药行业工程设计化工工程甲级，A213009740）编制，并于2025年6月18日取得新余市应急管理局出具安全设施设计审查意见书，文件字：余应急危化项目安设审字[2025]03号。</w:t>
            </w:r>
          </w:p>
          <w:p w14:paraId="1A7221FF">
            <w:pPr>
              <w:ind w:firstLine="480" w:firstLineChars="200"/>
              <w:rPr>
                <w:rFonts w:hint="eastAsia" w:eastAsia="宋体" w:cs="Times New Roman"/>
                <w:sz w:val="24"/>
                <w:lang w:val="en-US" w:eastAsia="zh-CN"/>
              </w:rPr>
            </w:pPr>
            <w:r>
              <w:rPr>
                <w:rFonts w:hint="eastAsia" w:eastAsia="宋体" w:cs="Times New Roman"/>
                <w:sz w:val="24"/>
                <w:lang w:val="en-US" w:eastAsia="zh-CN"/>
              </w:rPr>
              <w:t>主要设备施工、自动化安装调试单位为中工国际建设安装集团有限公司，中工国际建设安装集团有限公司具有石油化工工程施工总承包贰级、机电工程施工总承包贰级，证书编号D441051737。建筑施工单位为江西洲旭建设工程有限公司，江西洲旭建设工程有限公司具有建筑工程施工总承包壹级，证书编号D136220012。压力容器安装施工单位为江苏省工业设备安装集团有限公司，江苏省工业设备安装集团有限公司具有石油化工工程施工总承包一级，证书编号D132A07612。压力管道施工单位为新余赣锋化工有限公司（特种设备生产许可项目：承压类特种设备安装、修理、改造）。</w:t>
            </w:r>
          </w:p>
          <w:p w14:paraId="2A847C18">
            <w:pPr>
              <w:ind w:firstLine="480" w:firstLineChars="200"/>
              <w:rPr>
                <w:rFonts w:hint="eastAsia" w:eastAsia="宋体" w:cs="Times New Roman"/>
                <w:sz w:val="24"/>
                <w:lang w:val="en-US" w:eastAsia="zh-CN"/>
              </w:rPr>
            </w:pPr>
            <w:r>
              <w:rPr>
                <w:rFonts w:hint="eastAsia" w:eastAsia="宋体" w:cs="Times New Roman"/>
                <w:sz w:val="24"/>
                <w:lang w:val="en-US" w:eastAsia="zh-CN"/>
              </w:rPr>
              <w:t>该项目监理单位为大洲设计咨询集团有限公司，大洲设计咨询集团有限公司具有工程监理综合资质；证书编号为E132009158。</w:t>
            </w:r>
          </w:p>
          <w:p w14:paraId="469E535D">
            <w:pPr>
              <w:ind w:firstLine="480" w:firstLineChars="200"/>
              <w:rPr>
                <w:rFonts w:hint="eastAsia" w:eastAsia="宋体" w:cs="Times New Roman"/>
                <w:sz w:val="24"/>
                <w:lang w:val="en-US" w:eastAsia="zh-CN"/>
              </w:rPr>
            </w:pPr>
            <w:r>
              <w:rPr>
                <w:rFonts w:hint="eastAsia" w:eastAsia="宋体" w:cs="Times New Roman"/>
                <w:sz w:val="24"/>
                <w:lang w:val="en-US" w:eastAsia="zh-CN"/>
              </w:rPr>
              <w:t>该项目分两期进行建设，一期和二期工程均编制了试生产方案，操作规程等，并聘请相关专家对试生产方案进行了审查，万吨高纯锂盐改扩建项目（一期）试生产方案2025年10月31日新余高新区应急管理局出具了试生产方案回执，文件字：余危化项目备字[2025]5号，试生产期限为2025年10月31日至2026年10月30日。万吨高纯锂盐改扩建项目（二期）试生产方案2026年5月7日新余高新区应急管理局出具了试生产方案回执，文件字：余危化项目备字[2026]02号，试生产期限为2026年5月7日至2027年5月6日。</w:t>
            </w:r>
          </w:p>
          <w:p w14:paraId="2C9D400D">
            <w:pPr>
              <w:ind w:firstLine="480" w:firstLineChars="200"/>
              <w:rPr>
                <w:rFonts w:hint="default" w:eastAsia="宋体" w:cs="Times New Roman"/>
                <w:sz w:val="24"/>
                <w:lang w:val="en-US" w:eastAsia="zh-CN"/>
              </w:rPr>
            </w:pPr>
            <w:r>
              <w:rPr>
                <w:rFonts w:hint="eastAsia" w:eastAsia="宋体" w:cs="Times New Roman"/>
                <w:sz w:val="24"/>
                <w:lang w:val="en-US" w:eastAsia="zh-CN"/>
              </w:rPr>
              <w:t>二、企业安全现状综述</w:t>
            </w:r>
          </w:p>
          <w:p w14:paraId="7AD81059">
            <w:pPr>
              <w:ind w:firstLine="480" w:firstLineChars="200"/>
              <w:rPr>
                <w:rFonts w:hint="eastAsia" w:eastAsia="宋体" w:cs="Times New Roman"/>
                <w:sz w:val="24"/>
                <w:lang w:val="en-US" w:eastAsia="zh-CN"/>
              </w:rPr>
            </w:pPr>
            <w:r>
              <w:rPr>
                <w:rFonts w:hint="eastAsia" w:eastAsia="宋体" w:cs="Times New Roman"/>
                <w:sz w:val="24"/>
                <w:lang w:val="en-US" w:eastAsia="zh-CN"/>
              </w:rPr>
              <w:t>1、该公司2023年取得了江西应急管理厅颁发的《危险化学品安全生产许可证》（证书编号：（赣）WH安许证字</w:t>
            </w:r>
            <w:r>
              <w:rPr>
                <w:rFonts w:hint="default" w:eastAsia="宋体" w:cs="Times New Roman"/>
                <w:sz w:val="24"/>
                <w:lang w:val="en-US" w:eastAsia="zh-CN"/>
              </w:rPr>
              <w:t>〔2021〕1142号</w:t>
            </w:r>
            <w:r>
              <w:rPr>
                <w:rFonts w:hint="eastAsia" w:eastAsia="宋体" w:cs="Times New Roman"/>
                <w:sz w:val="24"/>
                <w:lang w:val="en-US" w:eastAsia="zh-CN"/>
              </w:rPr>
              <w:t>），本次延期换证申请许可范围：氟化锂（25kt/a）、四氢铝锂（30t/a）、氨基锂（40t/a）。</w:t>
            </w:r>
          </w:p>
          <w:p w14:paraId="6EB3CE47">
            <w:pPr>
              <w:ind w:firstLine="480" w:firstLineChars="200"/>
              <w:rPr>
                <w:rFonts w:hint="eastAsia" w:eastAsia="宋体" w:cs="Times New Roman"/>
                <w:sz w:val="24"/>
                <w:lang w:val="en-US" w:eastAsia="zh-CN"/>
              </w:rPr>
            </w:pPr>
            <w:r>
              <w:rPr>
                <w:rFonts w:hint="eastAsia" w:eastAsia="宋体" w:cs="Times New Roman"/>
                <w:sz w:val="24"/>
                <w:lang w:val="en-US" w:eastAsia="zh-CN"/>
              </w:rPr>
              <w:t>2、该公司在役危险化学品生产装置涉及的危险化学品有氢氧化锂、二氧化碳（压缩的或液化的）、氟化氢、硫酸、液碱、盐酸、氟化锂、氨、氢化锂、无水乙醚、金属锂、无水氯化铝、N,N-二甲基甲酰胺（DMF）、二甲胺（尾气）、氢气（尾气）、甲酸（中间产物）、氨基锂、四氢铝锂、氩（液化的或压缩的）、氮（液化的或压缩的）、磷酸等。生产过程中涉及火灾、可燃气体爆炸、可燃液体蒸汽爆炸、容器爆炸、管道爆炸、中毒、窒息、灼烫、泄漏、触电、高处坠落、物体打击、机械致害、淹溺、厂内车辆致害、起重伤害、跌落及坍塌等危险因素，涉及毒物、高温、冻伤、粉尘、噪声与振动等有害因素。</w:t>
            </w:r>
          </w:p>
          <w:p w14:paraId="1D892C57">
            <w:pPr>
              <w:ind w:firstLine="480" w:firstLineChars="200"/>
              <w:rPr>
                <w:rFonts w:hint="eastAsia" w:eastAsia="宋体" w:cs="Times New Roman"/>
                <w:sz w:val="24"/>
                <w:lang w:val="en-US" w:eastAsia="zh-CN"/>
              </w:rPr>
            </w:pPr>
            <w:r>
              <w:rPr>
                <w:rFonts w:hint="eastAsia" w:eastAsia="宋体" w:cs="Times New Roman"/>
                <w:sz w:val="24"/>
                <w:lang w:val="en-US" w:eastAsia="zh-CN"/>
              </w:rPr>
              <w:t>3、新余赣锋锂业有限公司在役生产装置涉及重点监管危险化学品氟化氢、氨、无水乙醚、二甲胺（尾气）、氢气（尾气）、金属锂、四氢铝锂等，涉及的重点监管危险化工工艺有胺基化工艺；储存单元中5206-HF罐组构成一级危险化学品重大危险源。</w:t>
            </w:r>
          </w:p>
          <w:p w14:paraId="2D8D31EE">
            <w:pPr>
              <w:ind w:firstLine="480" w:firstLineChars="200"/>
              <w:rPr>
                <w:rFonts w:hint="eastAsia" w:eastAsia="宋体" w:cs="Times New Roman"/>
                <w:sz w:val="24"/>
                <w:lang w:val="en-US" w:eastAsia="zh-CN"/>
              </w:rPr>
            </w:pPr>
            <w:r>
              <w:rPr>
                <w:rFonts w:hint="eastAsia" w:eastAsia="宋体" w:cs="Times New Roman"/>
                <w:sz w:val="24"/>
                <w:lang w:val="en-US" w:eastAsia="zh-CN"/>
              </w:rPr>
              <w:t>4、企业现有生产装置安全设施符合国家法律、法规、标准、规范的要求。对各类防雷建筑物、化工生产装置、设备，采取了防雷防静电措施；对产生有毒有害物质的生产过程采取了防护和治理措施。</w:t>
            </w:r>
          </w:p>
          <w:p w14:paraId="1122CC47">
            <w:pPr>
              <w:ind w:firstLine="480" w:firstLineChars="200"/>
              <w:rPr>
                <w:rFonts w:hint="eastAsia" w:eastAsia="宋体" w:cs="Times New Roman"/>
                <w:sz w:val="24"/>
                <w:lang w:val="en-US" w:eastAsia="zh-CN"/>
              </w:rPr>
            </w:pPr>
            <w:r>
              <w:rPr>
                <w:rFonts w:hint="eastAsia" w:eastAsia="宋体" w:cs="Times New Roman"/>
                <w:sz w:val="24"/>
                <w:lang w:val="en-US" w:eastAsia="zh-CN"/>
              </w:rPr>
              <w:t>5、企业成立了安全管理组织机构，建立了较完善安全管理体系，制订了各级各类人员的安全生产责任制、各类安全管理制度和岗位安全操作规程；主要负责人、安全管理人员经应急管理部门培训考核合格，取得了考试合格资格证书；领导安全意识较强，重视安全生产工作，注重提高员工素质，从业人员和特种作业人员经培训考核合格，持证上岗。</w:t>
            </w:r>
          </w:p>
          <w:p w14:paraId="74C12C45">
            <w:pPr>
              <w:ind w:firstLine="480" w:firstLineChars="200"/>
              <w:rPr>
                <w:rFonts w:hint="eastAsia" w:eastAsia="宋体" w:cs="Times New Roman"/>
                <w:sz w:val="24"/>
                <w:lang w:val="en-US" w:eastAsia="zh-CN"/>
              </w:rPr>
            </w:pPr>
            <w:r>
              <w:rPr>
                <w:rFonts w:hint="eastAsia" w:eastAsia="宋体" w:cs="Times New Roman"/>
                <w:sz w:val="24"/>
                <w:lang w:val="en-US" w:eastAsia="zh-CN"/>
              </w:rPr>
              <w:t>7、企业成立了事故应急救援组织，制定了事故应急救援预案，并已备案，同时定期组织进行了消防及应急救援演练。</w:t>
            </w:r>
          </w:p>
          <w:p w14:paraId="4B53629F">
            <w:pPr>
              <w:ind w:firstLine="480" w:firstLineChars="200"/>
              <w:rPr>
                <w:rFonts w:hint="eastAsia" w:eastAsia="宋体" w:cs="Times New Roman"/>
                <w:sz w:val="24"/>
                <w:lang w:val="en-US" w:eastAsia="zh-CN"/>
              </w:rPr>
            </w:pPr>
            <w:r>
              <w:rPr>
                <w:rFonts w:hint="eastAsia" w:eastAsia="宋体" w:cs="Times New Roman"/>
                <w:sz w:val="24"/>
                <w:lang w:val="en-US" w:eastAsia="zh-CN"/>
              </w:rPr>
              <w:t>三、安全评价结论</w:t>
            </w:r>
          </w:p>
          <w:p w14:paraId="557C40F3">
            <w:pPr>
              <w:ind w:firstLine="482" w:firstLineChars="200"/>
              <w:rPr>
                <w:rFonts w:hint="eastAsia" w:eastAsia="宋体" w:cs="Times New Roman"/>
                <w:b/>
                <w:bCs/>
                <w:sz w:val="24"/>
                <w:lang w:val="en-US" w:eastAsia="zh-CN"/>
              </w:rPr>
            </w:pPr>
            <w:r>
              <w:rPr>
                <w:rFonts w:hint="eastAsia" w:eastAsia="宋体" w:cs="Times New Roman"/>
                <w:b/>
                <w:bCs/>
                <w:sz w:val="24"/>
                <w:lang w:val="en-US" w:eastAsia="zh-CN"/>
              </w:rPr>
              <w:t>在充分考虑该公司潜在的火灾、爆炸等危险性，综合考虑其他危险、有害因素，对照国家有关法律、法规和标准、规范，新余赣锋锂业有限公司针对在役装置存在的安全隐患项进行了整改。新余赣锋锂业有限公司危险化学品生产装置与设计图纸符合，安全生产设施有效投入使用，</w:t>
            </w:r>
            <w:r>
              <w:rPr>
                <w:rFonts w:hint="default" w:eastAsia="宋体" w:cs="Times New Roman"/>
                <w:b/>
                <w:bCs/>
                <w:sz w:val="24"/>
                <w:lang w:val="en-US" w:eastAsia="zh-CN"/>
              </w:rPr>
              <w:t>公司依据《江西省化工企业自动化提升实施方案》（试行）赣应急字[2021]190号</w:t>
            </w:r>
            <w:r>
              <w:rPr>
                <w:rFonts w:hint="eastAsia" w:eastAsia="宋体" w:cs="Times New Roman"/>
                <w:b/>
                <w:bCs/>
                <w:sz w:val="24"/>
                <w:lang w:val="en-US" w:eastAsia="zh-CN"/>
              </w:rPr>
              <w:t>的</w:t>
            </w:r>
            <w:r>
              <w:rPr>
                <w:rFonts w:hint="default" w:eastAsia="宋体" w:cs="Times New Roman"/>
                <w:b/>
                <w:bCs/>
                <w:sz w:val="24"/>
                <w:lang w:val="en-US" w:eastAsia="zh-CN"/>
              </w:rPr>
              <w:t>要求</w:t>
            </w:r>
            <w:r>
              <w:rPr>
                <w:rFonts w:hint="eastAsia" w:eastAsia="宋体" w:cs="Times New Roman"/>
                <w:b/>
                <w:bCs/>
                <w:sz w:val="24"/>
                <w:lang w:val="en-US" w:eastAsia="zh-CN"/>
              </w:rPr>
              <w:t>进行自动化的设计及安装，并已进行验收</w:t>
            </w:r>
            <w:r>
              <w:rPr>
                <w:rFonts w:hint="default" w:eastAsia="宋体" w:cs="Times New Roman"/>
                <w:b/>
                <w:bCs/>
                <w:sz w:val="24"/>
                <w:lang w:val="en-US" w:eastAsia="zh-CN"/>
              </w:rPr>
              <w:t>。</w:t>
            </w:r>
            <w:r>
              <w:rPr>
                <w:rFonts w:hint="eastAsia" w:eastAsia="宋体" w:cs="Times New Roman"/>
                <w:b/>
                <w:bCs/>
                <w:sz w:val="24"/>
                <w:lang w:val="en-US" w:eastAsia="zh-CN"/>
              </w:rPr>
              <w:t>该公司主要负责人、分管生产、技术、设备、安全负责人和专职安全管理人员、危险工艺操作人员、重大危险源操作人员等有关从业人员资质符合《江西省危险化学品安全专项整治三年行动实施方案》的要求。企业已完成特殊作业审批与作业管理场景、人员定位场景（包含人员聚集风险监测预警功能）建设。</w:t>
            </w:r>
          </w:p>
          <w:p w14:paraId="63C4450A">
            <w:pPr>
              <w:ind w:firstLine="482" w:firstLineChars="200"/>
              <w:rPr>
                <w:rFonts w:hint="default" w:eastAsia="宋体" w:cs="Times New Roman"/>
                <w:sz w:val="24"/>
                <w:lang w:val="en-US" w:eastAsia="zh-CN"/>
              </w:rPr>
            </w:pPr>
            <w:r>
              <w:rPr>
                <w:rFonts w:hint="eastAsia" w:eastAsia="宋体" w:cs="Times New Roman"/>
                <w:b/>
                <w:bCs/>
                <w:sz w:val="24"/>
                <w:lang w:val="en-US" w:eastAsia="zh-CN"/>
              </w:rPr>
              <w:t>综上所述，新余赣锋锂业有限公司在役生产装置的安全生产条件符合相关的法律、法规和标准规范的要求，安全风险属可接受范围，符合安全生产条件。</w:t>
            </w:r>
          </w:p>
        </w:tc>
      </w:tr>
      <w:tr w14:paraId="7E28E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225" w:hRule="atLeast"/>
          <w:jc w:val="center"/>
        </w:trPr>
        <w:tc>
          <w:tcPr>
            <w:tcW w:w="588" w:type="dxa"/>
            <w:tcBorders>
              <w:tl2br w:val="nil"/>
              <w:tr2bl w:val="nil"/>
            </w:tcBorders>
            <w:shd w:val="clear" w:color="auto" w:fill="FFFFFF"/>
            <w:vAlign w:val="center"/>
          </w:tcPr>
          <w:p w14:paraId="20115CC1">
            <w:pPr>
              <w:widowControl/>
              <w:spacing w:after="150"/>
              <w:jc w:val="center"/>
              <w:rPr>
                <w:color w:val="000000" w:themeColor="text1"/>
                <w14:textFill>
                  <w14:solidFill>
                    <w14:schemeClr w14:val="tx1"/>
                  </w14:solidFill>
                </w14:textFill>
              </w:rPr>
            </w:pPr>
            <w:r>
              <w:rPr>
                <w:rFonts w:hint="eastAsia"/>
                <w:color w:val="000000" w:themeColor="text1"/>
                <w:sz w:val="24"/>
                <w14:textFill>
                  <w14:solidFill>
                    <w14:schemeClr w14:val="tx1"/>
                  </w14:solidFill>
                </w14:textFill>
              </w:rPr>
              <w:t>工艺流程</w:t>
            </w:r>
          </w:p>
        </w:tc>
        <w:tc>
          <w:tcPr>
            <w:tcW w:w="8641" w:type="dxa"/>
            <w:gridSpan w:val="3"/>
            <w:tcBorders>
              <w:tl2br w:val="nil"/>
              <w:tr2bl w:val="nil"/>
            </w:tcBorders>
            <w:shd w:val="clear" w:color="auto" w:fill="FFFFFF"/>
          </w:tcPr>
          <w:p w14:paraId="15B79570">
            <w:pPr>
              <w:pStyle w:val="3"/>
              <w:ind w:left="0" w:leftChars="0" w:firstLine="480" w:firstLineChars="200"/>
              <w:jc w:val="left"/>
              <w:rPr>
                <w:rFonts w:hint="default" w:cs="Times New Roman"/>
                <w:kern w:val="2"/>
                <w:sz w:val="24"/>
                <w:szCs w:val="24"/>
                <w:lang w:val="en-US" w:eastAsia="zh-CN" w:bidi="ar-SA"/>
              </w:rPr>
            </w:pPr>
            <w:r>
              <w:rPr>
                <w:rFonts w:hint="eastAsia" w:cs="Times New Roman"/>
                <w:kern w:val="2"/>
                <w:sz w:val="24"/>
                <w:szCs w:val="24"/>
                <w:lang w:val="en-US" w:eastAsia="zh-CN" w:bidi="ar-SA"/>
              </w:rPr>
              <w:t>1.铝系吸附剂生产工艺</w:t>
            </w:r>
          </w:p>
          <w:p w14:paraId="3DA9B5CC">
            <w:pPr>
              <w:pStyle w:val="3"/>
              <w:ind w:left="0" w:leftChars="0" w:firstLine="480" w:firstLineChars="200"/>
              <w:jc w:val="left"/>
              <w:rPr>
                <w:rFonts w:hint="default" w:cs="Times New Roman"/>
                <w:kern w:val="2"/>
                <w:sz w:val="24"/>
                <w:szCs w:val="24"/>
                <w:lang w:val="en-US" w:eastAsia="zh-CN" w:bidi="ar-SA"/>
              </w:rPr>
            </w:pPr>
            <w:r>
              <w:rPr>
                <w:rFonts w:hint="eastAsia" w:cs="Times New Roman"/>
                <w:kern w:val="2"/>
                <w:sz w:val="24"/>
                <w:szCs w:val="24"/>
                <w:lang w:val="en-US" w:eastAsia="zh-CN" w:bidi="ar-SA"/>
              </w:rPr>
              <w:t>铝系吸附剂生产以无水氯化锂、六水氯化铝、40%氯化锂溶液、32%氢氧化钠、DMF、PVC、PMMA等为原料，经粉体吸附剂的制备、吸附剂成型造粒、MVR废水处理、DMF精馏回收等工序得到铝系吸附剂。</w:t>
            </w:r>
          </w:p>
          <w:p w14:paraId="0D0EC666">
            <w:pPr>
              <w:pStyle w:val="3"/>
              <w:ind w:left="0" w:leftChars="0" w:firstLine="480" w:firstLineChars="200"/>
              <w:jc w:val="left"/>
              <w:rPr>
                <w:rFonts w:hint="default" w:cs="Times New Roman"/>
                <w:kern w:val="2"/>
                <w:sz w:val="24"/>
                <w:szCs w:val="24"/>
                <w:lang w:val="en-US" w:eastAsia="zh-CN" w:bidi="ar-SA"/>
              </w:rPr>
            </w:pPr>
            <w:r>
              <w:rPr>
                <w:rFonts w:hint="eastAsia" w:cs="Times New Roman"/>
                <w:kern w:val="2"/>
                <w:sz w:val="24"/>
                <w:szCs w:val="24"/>
                <w:lang w:val="en-US" w:eastAsia="zh-CN" w:bidi="ar-SA"/>
              </w:rPr>
              <w:t>2.四氢铝锂生产工艺</w:t>
            </w:r>
          </w:p>
          <w:p w14:paraId="24BDB6B8">
            <w:pPr>
              <w:pStyle w:val="3"/>
              <w:ind w:left="0" w:leftChars="0" w:firstLine="480" w:firstLineChars="200"/>
              <w:jc w:val="left"/>
              <w:rPr>
                <w:rFonts w:hint="default" w:cs="Times New Roman"/>
                <w:kern w:val="2"/>
                <w:sz w:val="24"/>
                <w:szCs w:val="24"/>
                <w:lang w:val="en-US" w:eastAsia="zh-CN" w:bidi="ar-SA"/>
              </w:rPr>
            </w:pPr>
            <w:r>
              <w:rPr>
                <w:rFonts w:hint="eastAsia" w:cs="Times New Roman"/>
                <w:kern w:val="2"/>
                <w:sz w:val="24"/>
                <w:szCs w:val="24"/>
                <w:lang w:val="en-US" w:eastAsia="zh-CN" w:bidi="ar-SA"/>
              </w:rPr>
              <w:t>四氢铝锂生产以无水氯化铝、无水乙醚、氢化锂等为原料，经无水乙醚干燥、氯化铝乙醚溶液配制、氢化锂乙醚溶液配制、混合反应、过滤、氯化锂干燥、常压蒸馏、真空干燥、造粒包装、尾气冷凝回收等工序制的四氢铝锂。</w:t>
            </w:r>
          </w:p>
          <w:p w14:paraId="43F97CFD">
            <w:pPr>
              <w:pStyle w:val="3"/>
              <w:ind w:left="0" w:leftChars="0" w:firstLine="480" w:firstLineChars="200"/>
              <w:jc w:val="left"/>
              <w:rPr>
                <w:rFonts w:hint="default" w:cs="Times New Roman"/>
                <w:kern w:val="2"/>
                <w:sz w:val="24"/>
                <w:szCs w:val="24"/>
                <w:lang w:val="en-US" w:eastAsia="zh-CN" w:bidi="ar-SA"/>
              </w:rPr>
            </w:pPr>
            <w:r>
              <w:rPr>
                <w:rFonts w:hint="eastAsia" w:cs="Times New Roman"/>
                <w:kern w:val="2"/>
                <w:sz w:val="24"/>
                <w:szCs w:val="24"/>
                <w:lang w:val="en-US" w:eastAsia="zh-CN" w:bidi="ar-SA"/>
              </w:rPr>
              <w:t>3.氨基锂生产工艺</w:t>
            </w:r>
          </w:p>
          <w:p w14:paraId="2E8948C1">
            <w:pPr>
              <w:pStyle w:val="3"/>
              <w:ind w:left="0" w:leftChars="0" w:firstLine="480" w:firstLineChars="200"/>
              <w:jc w:val="left"/>
              <w:rPr>
                <w:rFonts w:hint="default" w:cs="Times New Roman"/>
                <w:kern w:val="2"/>
                <w:sz w:val="24"/>
                <w:szCs w:val="24"/>
                <w:lang w:val="en-US" w:eastAsia="zh-CN" w:bidi="ar-SA"/>
              </w:rPr>
            </w:pPr>
            <w:r>
              <w:rPr>
                <w:rFonts w:hint="eastAsia" w:cs="Times New Roman"/>
                <w:kern w:val="2"/>
                <w:sz w:val="24"/>
                <w:szCs w:val="24"/>
                <w:lang w:val="en-US" w:eastAsia="zh-CN" w:bidi="ar-SA"/>
              </w:rPr>
              <w:t>氨基锂生产以金属锂、氨气、硫酸等为原料，经一次装料、一次烧制、分层粉碎、二次装料、二次烧制、二次粉碎、混料包装等工序制得氨基锂。</w:t>
            </w:r>
          </w:p>
          <w:p w14:paraId="050E5967">
            <w:pPr>
              <w:pStyle w:val="3"/>
              <w:ind w:left="0" w:leftChars="0" w:firstLine="480" w:firstLineChars="200"/>
              <w:jc w:val="left"/>
              <w:rPr>
                <w:rFonts w:hint="default" w:cs="Times New Roman"/>
                <w:kern w:val="2"/>
                <w:sz w:val="24"/>
                <w:szCs w:val="24"/>
                <w:lang w:val="en-US" w:eastAsia="zh-CN" w:bidi="ar-SA"/>
              </w:rPr>
            </w:pPr>
            <w:r>
              <w:rPr>
                <w:rFonts w:hint="eastAsia" w:cs="Times New Roman"/>
                <w:kern w:val="2"/>
                <w:sz w:val="24"/>
                <w:szCs w:val="24"/>
                <w:lang w:val="en-US" w:eastAsia="zh-CN" w:bidi="ar-SA"/>
              </w:rPr>
              <w:t>4.磷酸二氢锂生产工艺</w:t>
            </w:r>
          </w:p>
          <w:p w14:paraId="11AD4CB9">
            <w:pPr>
              <w:pStyle w:val="3"/>
              <w:ind w:left="0" w:leftChars="0" w:firstLine="480" w:firstLineChars="200"/>
              <w:jc w:val="left"/>
              <w:rPr>
                <w:rFonts w:hint="default" w:cs="Times New Roman"/>
                <w:kern w:val="2"/>
                <w:sz w:val="24"/>
                <w:szCs w:val="24"/>
                <w:lang w:val="en-US" w:eastAsia="zh-CN" w:bidi="ar-SA"/>
              </w:rPr>
            </w:pPr>
            <w:r>
              <w:rPr>
                <w:rFonts w:hint="eastAsia" w:cs="Times New Roman"/>
                <w:kern w:val="2"/>
                <w:sz w:val="24"/>
                <w:szCs w:val="24"/>
                <w:lang w:val="en-US" w:eastAsia="zh-CN" w:bidi="ar-SA"/>
              </w:rPr>
              <w:t>磷酸二氢锂生产以碳酸锂/磷酸锂、85%磷酸为原料，经调浆、反应、过滤除杂、蒸发浓缩、冷却结晶、分离洗涤、干燥、除磁、包装等工序制得磷酸二氢锂。</w:t>
            </w:r>
          </w:p>
          <w:p w14:paraId="54CBFC36">
            <w:pPr>
              <w:pStyle w:val="3"/>
              <w:ind w:left="0" w:leftChars="0" w:firstLine="480" w:firstLineChars="200"/>
              <w:jc w:val="left"/>
              <w:rPr>
                <w:rFonts w:hint="eastAsia" w:cs="Times New Roman"/>
                <w:kern w:val="2"/>
                <w:sz w:val="24"/>
                <w:szCs w:val="24"/>
                <w:lang w:val="en-US" w:eastAsia="zh-CN" w:bidi="ar-SA"/>
              </w:rPr>
            </w:pPr>
            <w:r>
              <w:rPr>
                <w:rFonts w:hint="eastAsia" w:cs="Times New Roman"/>
                <w:kern w:val="2"/>
                <w:sz w:val="24"/>
                <w:szCs w:val="24"/>
                <w:lang w:val="en-US" w:eastAsia="zh-CN" w:bidi="ar-SA"/>
              </w:rPr>
              <w:t>5.高纯碳酸锂生产工艺</w:t>
            </w:r>
          </w:p>
          <w:p w14:paraId="04432704">
            <w:pPr>
              <w:pStyle w:val="10"/>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高纯碳酸锂工艺包括高纯碳酸锂车间和纯水站，以外购氢氧化锂和碳酸锂为原料，经过投料调浆、碳化压滤、热解增浓、离心包装和烘干包装5个主要工序，得到高纯碳酸锂湿料和烘干高纯碳酸锂，部分送氟化锂车间使用，部分外售。</w:t>
            </w:r>
          </w:p>
          <w:p w14:paraId="2F6F9613">
            <w:pPr>
              <w:pStyle w:val="3"/>
              <w:ind w:left="0" w:leftChars="0" w:firstLine="480" w:firstLineChars="200"/>
              <w:jc w:val="left"/>
              <w:rPr>
                <w:rFonts w:hint="eastAsia" w:eastAsia="宋体" w:cs="Times New Roman"/>
                <w:kern w:val="2"/>
                <w:sz w:val="24"/>
                <w:szCs w:val="24"/>
                <w:lang w:val="en-US" w:eastAsia="zh-CN" w:bidi="ar-SA"/>
              </w:rPr>
            </w:pPr>
            <w:r>
              <w:rPr>
                <w:rFonts w:hint="eastAsia" w:cs="Times New Roman"/>
                <w:kern w:val="2"/>
                <w:sz w:val="24"/>
                <w:szCs w:val="24"/>
                <w:lang w:val="en-US" w:eastAsia="zh-CN" w:bidi="ar-SA"/>
              </w:rPr>
              <w:t>6</w:t>
            </w:r>
            <w:r>
              <w:rPr>
                <w:rFonts w:hint="eastAsia" w:eastAsia="宋体" w:cs="Times New Roman"/>
                <w:kern w:val="2"/>
                <w:sz w:val="24"/>
                <w:szCs w:val="24"/>
                <w:lang w:val="en-US" w:eastAsia="zh-CN" w:bidi="ar-SA"/>
              </w:rPr>
              <w:t>.氟化锂工艺</w:t>
            </w:r>
          </w:p>
          <w:p w14:paraId="42F05CD1">
            <w:pPr>
              <w:pStyle w:val="10"/>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1）电池级氟化锂工艺</w:t>
            </w:r>
          </w:p>
          <w:p w14:paraId="7959F23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电池级氟化锂工艺包括1#氟化锂车间和2#氟化锂车间，1#氟化锂车间和2#氟化锂车间的生产工艺一致。以氟化氢、高纯碳酸锂、二氧化碳为主要原料，经过投料调浆、碳化压滤、沉氟化锂、离心分离、烘干包装、提锂除氟及双极膜电渗析等工序，得到电池级氟化锂。</w:t>
            </w:r>
          </w:p>
          <w:p w14:paraId="391FF0A2">
            <w:pPr>
              <w:keepNext w:val="0"/>
              <w:keepLines w:val="0"/>
              <w:pageBreakBefore w:val="0"/>
              <w:widowControl w:val="0"/>
              <w:numPr>
                <w:ilvl w:val="0"/>
                <w:numId w:val="2"/>
              </w:numPr>
              <w:kinsoku/>
              <w:wordWrap/>
              <w:overflowPunct/>
              <w:topLinePunct w:val="0"/>
              <w:autoSpaceDE/>
              <w:autoSpaceDN/>
              <w:bidi w:val="0"/>
              <w:adjustRightInd/>
              <w:snapToGrid/>
              <w:ind w:firstLine="480" w:firstLineChars="200"/>
              <w:textAlignment w:val="auto"/>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工业级氟化锂工艺</w:t>
            </w:r>
          </w:p>
          <w:p w14:paraId="4663CBFC">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lang w:val="en-US" w:eastAsia="zh-CN"/>
              </w:rPr>
            </w:pPr>
            <w:r>
              <w:rPr>
                <w:rFonts w:hint="eastAsia" w:ascii="Calibri" w:hAnsi="Calibri" w:eastAsia="宋体" w:cs="Times New Roman"/>
                <w:kern w:val="2"/>
                <w:sz w:val="24"/>
                <w:szCs w:val="24"/>
                <w:lang w:val="en-US" w:eastAsia="zh-CN" w:bidi="ar-SA"/>
              </w:rPr>
              <w:t>工业级氟化锂工艺以碳酸锂、氟化氢等为主要原料，经过沉氟化锂、离心分离、烘干包装、微粉包装等工序，得到工业级氟化锂。</w:t>
            </w:r>
          </w:p>
        </w:tc>
      </w:tr>
      <w:tr w14:paraId="1BF15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88" w:type="dxa"/>
            <w:tcBorders>
              <w:tl2br w:val="nil"/>
              <w:tr2bl w:val="nil"/>
            </w:tcBorders>
            <w:shd w:val="clear" w:color="auto" w:fill="FFFFFF"/>
            <w:vAlign w:val="center"/>
          </w:tcPr>
          <w:p w14:paraId="3409B03F">
            <w:pPr>
              <w:widowControl/>
              <w:spacing w:after="150"/>
              <w:jc w:val="center"/>
              <w:rPr>
                <w:rFonts w:ascii="宋体" w:hAnsi="宋体" w:cs="宋体"/>
                <w:kern w:val="0"/>
                <w:sz w:val="24"/>
                <w:shd w:val="clear" w:color="auto" w:fill="FFFFFF"/>
              </w:rPr>
            </w:pPr>
            <w:r>
              <w:rPr>
                <w:rFonts w:hint="eastAsia" w:ascii="宋体" w:hAnsi="宋体" w:cs="宋体"/>
                <w:kern w:val="0"/>
                <w:sz w:val="24"/>
                <w:shd w:val="clear" w:color="auto" w:fill="FFFFFF"/>
              </w:rPr>
              <w:t>被评价单位信息反馈情况</w:t>
            </w:r>
          </w:p>
        </w:tc>
        <w:tc>
          <w:tcPr>
            <w:tcW w:w="8641" w:type="dxa"/>
            <w:gridSpan w:val="3"/>
            <w:tcBorders>
              <w:tl2br w:val="nil"/>
              <w:tr2bl w:val="nil"/>
            </w:tcBorders>
            <w:shd w:val="clear" w:color="auto" w:fill="FFFFFF"/>
            <w:vAlign w:val="center"/>
          </w:tcPr>
          <w:p w14:paraId="7EFBC9DB">
            <w:pPr>
              <w:widowControl/>
              <w:spacing w:after="150"/>
              <w:jc w:val="center"/>
              <w:rPr>
                <w:rFonts w:ascii="宋体" w:hAnsi="宋体" w:cs="宋体"/>
                <w:kern w:val="0"/>
                <w:sz w:val="24"/>
                <w:shd w:val="clear" w:color="auto" w:fill="FFFFFF"/>
              </w:rPr>
            </w:pPr>
            <w:r>
              <w:rPr>
                <w:rFonts w:hint="eastAsia" w:ascii="宋体" w:hAnsi="宋体" w:cs="宋体"/>
                <w:kern w:val="0"/>
                <w:sz w:val="24"/>
                <w:shd w:val="clear" w:color="auto" w:fill="FFFFFF"/>
              </w:rPr>
              <w:t>满意</w:t>
            </w:r>
          </w:p>
        </w:tc>
      </w:tr>
    </w:tbl>
    <w:p w14:paraId="5D345BA6">
      <w:pPr>
        <w:rPr>
          <w:rFonts w:hint="eastAsia" w:eastAsia="宋体"/>
          <w:lang w:eastAsia="zh-CN"/>
        </w:rPr>
      </w:pPr>
      <w:r>
        <w:rPr>
          <w:rFonts w:hint="eastAsia" w:ascii="Times New Roman" w:hAnsi="Times New Roman" w:eastAsia="宋体"/>
          <w:szCs w:val="24"/>
          <w:lang w:eastAsia="zh-CN"/>
        </w:rPr>
        <w:drawing>
          <wp:anchor distT="0" distB="0" distL="114300" distR="114300" simplePos="0" relativeHeight="251659264" behindDoc="0" locked="0" layoutInCell="1" allowOverlap="1">
            <wp:simplePos x="0" y="0"/>
            <wp:positionH relativeFrom="column">
              <wp:posOffset>-298450</wp:posOffset>
            </wp:positionH>
            <wp:positionV relativeFrom="paragraph">
              <wp:posOffset>160020</wp:posOffset>
            </wp:positionV>
            <wp:extent cx="5712460" cy="4284345"/>
            <wp:effectExtent l="0" t="0" r="2540" b="1905"/>
            <wp:wrapNone/>
            <wp:docPr id="3" name="图片 3" descr="2026_09_02_10_37_49_IMG_3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026_09_02_10_37_49_IMG_3122"/>
                    <pic:cNvPicPr>
                      <a:picLocks noChangeAspect="1"/>
                    </pic:cNvPicPr>
                  </pic:nvPicPr>
                  <pic:blipFill>
                    <a:blip r:embed="rId4"/>
                    <a:stretch>
                      <a:fillRect/>
                    </a:stretch>
                  </pic:blipFill>
                  <pic:spPr>
                    <a:xfrm>
                      <a:off x="0" y="0"/>
                      <a:ext cx="5712460" cy="4284345"/>
                    </a:xfrm>
                    <a:prstGeom prst="rect">
                      <a:avLst/>
                    </a:prstGeom>
                    <a:noFill/>
                    <a:ln>
                      <a:noFill/>
                    </a:ln>
                  </pic:spPr>
                </pic:pic>
              </a:graphicData>
            </a:graphic>
          </wp:anchor>
        </w:drawing>
      </w:r>
      <w:r>
        <w:br w:type="page"/>
      </w:r>
      <w:bookmarkStart w:id="0" w:name="_GoBack"/>
      <w:bookmarkEnd w:id="0"/>
    </w:p>
    <w:p w14:paraId="58D3CBC5">
      <w:pPr>
        <w:rPr>
          <w:rFonts w:hint="eastAsia"/>
          <w:lang w:eastAsia="zh-CN"/>
        </w:rPr>
      </w:pPr>
      <w:r>
        <w:rPr>
          <w:rFonts w:hint="eastAsia" w:ascii="Times New Roman" w:hAnsi="Times New Roman" w:eastAsia="宋体"/>
          <w:szCs w:val="24"/>
          <w:lang w:eastAsia="zh-CN"/>
        </w:rPr>
        <w:drawing>
          <wp:inline distT="0" distB="0" distL="114300" distR="114300">
            <wp:extent cx="5753735" cy="7671435"/>
            <wp:effectExtent l="0" t="0" r="18415" b="5715"/>
            <wp:docPr id="2" name="图片 2" descr="2026_09_02_10_56_15_IMG_3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026_09_02_10_56_15_IMG_3125"/>
                    <pic:cNvPicPr>
                      <a:picLocks noChangeAspect="1"/>
                    </pic:cNvPicPr>
                  </pic:nvPicPr>
                  <pic:blipFill>
                    <a:blip r:embed="rId5"/>
                    <a:stretch>
                      <a:fillRect/>
                    </a:stretch>
                  </pic:blipFill>
                  <pic:spPr>
                    <a:xfrm>
                      <a:off x="0" y="0"/>
                      <a:ext cx="5753735" cy="7671435"/>
                    </a:xfrm>
                    <a:prstGeom prst="rect">
                      <a:avLst/>
                    </a:prstGeom>
                    <a:noFill/>
                    <a:ln>
                      <a:noFill/>
                    </a:ln>
                  </pic:spPr>
                </pic:pic>
              </a:graphicData>
            </a:graphic>
          </wp:inline>
        </w:drawing>
      </w:r>
      <w:r>
        <w:rPr>
          <w:rFonts w:hint="eastAsia"/>
          <w:lang w:eastAsia="zh-CN"/>
        </w:rPr>
        <w:br w:type="page"/>
      </w:r>
      <w:r>
        <w:drawing>
          <wp:inline distT="0" distB="0" distL="114300" distR="114300">
            <wp:extent cx="5269230" cy="7458710"/>
            <wp:effectExtent l="0" t="0" r="7620"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5269230" cy="7458710"/>
                    </a:xfrm>
                    <a:prstGeom prst="rect">
                      <a:avLst/>
                    </a:prstGeom>
                    <a:noFill/>
                    <a:ln>
                      <a:noFill/>
                    </a:ln>
                  </pic:spPr>
                </pic:pic>
              </a:graphicData>
            </a:graphic>
          </wp:inline>
        </w:drawing>
      </w:r>
    </w:p>
    <w:p w14:paraId="0A2220E2">
      <w:pPr>
        <w:rPr>
          <w:rFonts w:hint="eastAsia" w:eastAsia="宋体"/>
          <w:lang w:eastAsia="zh-CN"/>
        </w:rPr>
        <w:sectPr>
          <w:pgSz w:w="11906" w:h="16838"/>
          <w:pgMar w:top="1440" w:right="1800" w:bottom="1440" w:left="1800" w:header="851" w:footer="992" w:gutter="0"/>
          <w:cols w:space="720" w:num="1"/>
          <w:docGrid w:type="lines" w:linePitch="312" w:charSpace="0"/>
        </w:sectPr>
      </w:pPr>
    </w:p>
    <w:p w14:paraId="6D90DC4E"/>
    <w:p w14:paraId="3EE79A1A"/>
    <w:p w14:paraId="33221B3D">
      <w:pPr>
        <w:pStyle w:val="10"/>
      </w:pPr>
      <w:r>
        <w:drawing>
          <wp:inline distT="0" distB="0" distL="114300" distR="114300">
            <wp:extent cx="5273675" cy="7441565"/>
            <wp:effectExtent l="0" t="0" r="3175" b="698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5273675" cy="7441565"/>
                    </a:xfrm>
                    <a:prstGeom prst="rect">
                      <a:avLst/>
                    </a:prstGeom>
                    <a:noFill/>
                    <a:ln>
                      <a:noFill/>
                    </a:ln>
                  </pic:spPr>
                </pic:pic>
              </a:graphicData>
            </a:graphic>
          </wp:inline>
        </w:drawing>
      </w:r>
    </w:p>
    <w:p w14:paraId="6236FC4C"/>
    <w:p w14:paraId="74E6BE4A">
      <w:pPr>
        <w:rPr>
          <w:rFonts w:hint="eastAsia"/>
          <w:lang w:eastAsia="zh-CN"/>
        </w:rPr>
      </w:pPr>
      <w:r>
        <w:rPr>
          <w:rFonts w:hint="eastAsia"/>
          <w:lang w:eastAsia="zh-CN"/>
        </w:rPr>
        <w:br w:type="page"/>
      </w:r>
    </w:p>
    <w:p w14:paraId="2B108EC7">
      <w:pPr>
        <w:rPr>
          <w:rFonts w:hint="eastAsia" w:ascii="Calibri" w:hAnsi="Calibri" w:eastAsia="宋体" w:cs="Times New Roman"/>
          <w:kern w:val="2"/>
          <w:sz w:val="21"/>
          <w:szCs w:val="24"/>
          <w:lang w:val="en-US" w:eastAsia="zh-CN" w:bidi="ar-SA"/>
        </w:rPr>
      </w:pPr>
      <w:r>
        <w:drawing>
          <wp:inline distT="0" distB="0" distL="114300" distR="114300">
            <wp:extent cx="5257800" cy="7458075"/>
            <wp:effectExtent l="0" t="0" r="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5257800" cy="7458075"/>
                    </a:xfrm>
                    <a:prstGeom prst="rect">
                      <a:avLst/>
                    </a:prstGeom>
                    <a:noFill/>
                    <a:ln>
                      <a:noFill/>
                    </a:ln>
                  </pic:spPr>
                </pic:pic>
              </a:graphicData>
            </a:graphic>
          </wp:inline>
        </w:drawing>
      </w:r>
      <w:r>
        <w:rPr>
          <w:rFonts w:hint="eastAsia" w:ascii="Calibri" w:hAnsi="Calibri" w:eastAsia="宋体" w:cs="Times New Roman"/>
          <w:kern w:val="2"/>
          <w:sz w:val="21"/>
          <w:szCs w:val="24"/>
          <w:lang w:val="en-US" w:eastAsia="zh-CN" w:bidi="ar-SA"/>
        </w:rPr>
        <w:br w:type="page"/>
      </w:r>
    </w:p>
    <w:p w14:paraId="139979EB">
      <w:pPr>
        <w:pStyle w:val="10"/>
        <w:rPr>
          <w:rFonts w:hint="eastAsia"/>
          <w:lang w:val="en-US" w:eastAsia="zh-CN"/>
        </w:rPr>
      </w:pPr>
      <w:r>
        <w:drawing>
          <wp:inline distT="0" distB="0" distL="114300" distR="114300">
            <wp:extent cx="5219700" cy="7458075"/>
            <wp:effectExtent l="0" t="0" r="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9"/>
                    <a:stretch>
                      <a:fillRect/>
                    </a:stretch>
                  </pic:blipFill>
                  <pic:spPr>
                    <a:xfrm>
                      <a:off x="0" y="0"/>
                      <a:ext cx="5219700" cy="7458075"/>
                    </a:xfrm>
                    <a:prstGeom prst="rect">
                      <a:avLst/>
                    </a:prstGeom>
                    <a:noFill/>
                    <a:ln>
                      <a:noFill/>
                    </a:ln>
                  </pic:spPr>
                </pic:pic>
              </a:graphicData>
            </a:graphic>
          </wp:inline>
        </w:drawing>
      </w:r>
    </w:p>
    <w:p w14:paraId="3063B77D">
      <w:pPr>
        <w:rPr>
          <w:rFonts w:hint="eastAsia"/>
          <w:lang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C4CDAE"/>
    <w:multiLevelType w:val="singleLevel"/>
    <w:tmpl w:val="09C4CDAE"/>
    <w:lvl w:ilvl="0" w:tentative="0">
      <w:start w:val="2"/>
      <w:numFmt w:val="decimal"/>
      <w:suff w:val="nothing"/>
      <w:lvlText w:val="%1）"/>
      <w:lvlJc w:val="left"/>
    </w:lvl>
  </w:abstractNum>
  <w:abstractNum w:abstractNumId="1">
    <w:nsid w:val="5183855F"/>
    <w:multiLevelType w:val="singleLevel"/>
    <w:tmpl w:val="5183855F"/>
    <w:lvl w:ilvl="0" w:tentative="0">
      <w:start w:val="1"/>
      <w:numFmt w:val="chineseCounting"/>
      <w:pStyle w:val="44"/>
      <w:suff w:val="nothing"/>
      <w:lvlText w:val="%1、"/>
      <w:lvlJc w:val="left"/>
      <w:pPr>
        <w:ind w:left="0" w:firstLine="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mYThmZTViOGE1ZWVkN2ZmYjcyMzk1NTlmNjQ2YjIifQ=="/>
    <w:docVar w:name="KSO_WPS_MARK_KEY" w:val="f0c94484-18bf-41d0-a894-232196517eb0"/>
  </w:docVars>
  <w:rsids>
    <w:rsidRoot w:val="00E3751A"/>
    <w:rsid w:val="00047227"/>
    <w:rsid w:val="00303C12"/>
    <w:rsid w:val="003A7C06"/>
    <w:rsid w:val="004340C8"/>
    <w:rsid w:val="004D1AF7"/>
    <w:rsid w:val="005858BE"/>
    <w:rsid w:val="00756850"/>
    <w:rsid w:val="007A2261"/>
    <w:rsid w:val="00802085"/>
    <w:rsid w:val="008F01AE"/>
    <w:rsid w:val="00C75118"/>
    <w:rsid w:val="00C82162"/>
    <w:rsid w:val="00CC638A"/>
    <w:rsid w:val="00D40559"/>
    <w:rsid w:val="00E3751A"/>
    <w:rsid w:val="00FF47EE"/>
    <w:rsid w:val="01381A2C"/>
    <w:rsid w:val="030516AD"/>
    <w:rsid w:val="03463A74"/>
    <w:rsid w:val="03C37305"/>
    <w:rsid w:val="04334FFF"/>
    <w:rsid w:val="04543719"/>
    <w:rsid w:val="045937F4"/>
    <w:rsid w:val="04664971"/>
    <w:rsid w:val="04714B20"/>
    <w:rsid w:val="04D11406"/>
    <w:rsid w:val="04E23328"/>
    <w:rsid w:val="050505ED"/>
    <w:rsid w:val="06007F0A"/>
    <w:rsid w:val="062E2CC9"/>
    <w:rsid w:val="06EF6353"/>
    <w:rsid w:val="077559CB"/>
    <w:rsid w:val="07D32EB9"/>
    <w:rsid w:val="07E46E00"/>
    <w:rsid w:val="0814540D"/>
    <w:rsid w:val="08300409"/>
    <w:rsid w:val="08302FF8"/>
    <w:rsid w:val="08E81855"/>
    <w:rsid w:val="08ED0200"/>
    <w:rsid w:val="096769A3"/>
    <w:rsid w:val="096F1B10"/>
    <w:rsid w:val="09806C85"/>
    <w:rsid w:val="0A0E1339"/>
    <w:rsid w:val="0A173A74"/>
    <w:rsid w:val="0A4F7A65"/>
    <w:rsid w:val="0BC750FD"/>
    <w:rsid w:val="0D073DB5"/>
    <w:rsid w:val="0D081033"/>
    <w:rsid w:val="0E464272"/>
    <w:rsid w:val="0E564C35"/>
    <w:rsid w:val="0EC817E1"/>
    <w:rsid w:val="0F034133"/>
    <w:rsid w:val="0F1C6141"/>
    <w:rsid w:val="0FFD1618"/>
    <w:rsid w:val="10806817"/>
    <w:rsid w:val="10A546BD"/>
    <w:rsid w:val="10AE1BD9"/>
    <w:rsid w:val="10D96D50"/>
    <w:rsid w:val="13697265"/>
    <w:rsid w:val="13FA1B12"/>
    <w:rsid w:val="141C622E"/>
    <w:rsid w:val="147F5532"/>
    <w:rsid w:val="156C314D"/>
    <w:rsid w:val="15CB68F5"/>
    <w:rsid w:val="16B10157"/>
    <w:rsid w:val="172548AA"/>
    <w:rsid w:val="172B1294"/>
    <w:rsid w:val="17505468"/>
    <w:rsid w:val="17550DB0"/>
    <w:rsid w:val="17810296"/>
    <w:rsid w:val="17C601C4"/>
    <w:rsid w:val="18301429"/>
    <w:rsid w:val="188D103C"/>
    <w:rsid w:val="190E35A0"/>
    <w:rsid w:val="191A70DD"/>
    <w:rsid w:val="19992B53"/>
    <w:rsid w:val="19CE23A1"/>
    <w:rsid w:val="19D014C8"/>
    <w:rsid w:val="19F45335"/>
    <w:rsid w:val="1A4E76A5"/>
    <w:rsid w:val="1ADA1B6B"/>
    <w:rsid w:val="1B63147C"/>
    <w:rsid w:val="1C3244B8"/>
    <w:rsid w:val="1C461987"/>
    <w:rsid w:val="1C4B6410"/>
    <w:rsid w:val="1C67088B"/>
    <w:rsid w:val="1C970306"/>
    <w:rsid w:val="1CD13F56"/>
    <w:rsid w:val="1CD14F1F"/>
    <w:rsid w:val="1CEA3399"/>
    <w:rsid w:val="1DA60EEB"/>
    <w:rsid w:val="1ED50FA6"/>
    <w:rsid w:val="1F0F5E71"/>
    <w:rsid w:val="1F142A61"/>
    <w:rsid w:val="1F2A023E"/>
    <w:rsid w:val="1F642D26"/>
    <w:rsid w:val="1FAC2BD1"/>
    <w:rsid w:val="1FF45CE7"/>
    <w:rsid w:val="2107263D"/>
    <w:rsid w:val="214C4107"/>
    <w:rsid w:val="21A13C43"/>
    <w:rsid w:val="22366385"/>
    <w:rsid w:val="224031F6"/>
    <w:rsid w:val="2282270A"/>
    <w:rsid w:val="229735F9"/>
    <w:rsid w:val="22AD2D70"/>
    <w:rsid w:val="23532900"/>
    <w:rsid w:val="23B37411"/>
    <w:rsid w:val="242E50EF"/>
    <w:rsid w:val="244E33BB"/>
    <w:rsid w:val="24775815"/>
    <w:rsid w:val="24D12D46"/>
    <w:rsid w:val="25FB3FD9"/>
    <w:rsid w:val="271635D9"/>
    <w:rsid w:val="27280E94"/>
    <w:rsid w:val="27F61196"/>
    <w:rsid w:val="28814447"/>
    <w:rsid w:val="297A3C20"/>
    <w:rsid w:val="298C1931"/>
    <w:rsid w:val="29925FE1"/>
    <w:rsid w:val="29C972C6"/>
    <w:rsid w:val="2AB26CD9"/>
    <w:rsid w:val="2BD9110B"/>
    <w:rsid w:val="2C9D3BC7"/>
    <w:rsid w:val="2CF2686E"/>
    <w:rsid w:val="2E9E272A"/>
    <w:rsid w:val="2EAE6403"/>
    <w:rsid w:val="31055C5A"/>
    <w:rsid w:val="3256187C"/>
    <w:rsid w:val="3259568C"/>
    <w:rsid w:val="32A66941"/>
    <w:rsid w:val="334B2415"/>
    <w:rsid w:val="339918AA"/>
    <w:rsid w:val="33BD2F62"/>
    <w:rsid w:val="341F407D"/>
    <w:rsid w:val="34BD4A82"/>
    <w:rsid w:val="351530F3"/>
    <w:rsid w:val="35211925"/>
    <w:rsid w:val="35524794"/>
    <w:rsid w:val="36577381"/>
    <w:rsid w:val="366115C7"/>
    <w:rsid w:val="37285AB1"/>
    <w:rsid w:val="375C6F30"/>
    <w:rsid w:val="3781684D"/>
    <w:rsid w:val="3823766B"/>
    <w:rsid w:val="396748BA"/>
    <w:rsid w:val="3A751F6D"/>
    <w:rsid w:val="3AB6680E"/>
    <w:rsid w:val="3AD61658"/>
    <w:rsid w:val="3ADD7367"/>
    <w:rsid w:val="3AF50232"/>
    <w:rsid w:val="3B251FB8"/>
    <w:rsid w:val="3B3712DA"/>
    <w:rsid w:val="3B622014"/>
    <w:rsid w:val="3C7D28D5"/>
    <w:rsid w:val="3CE43836"/>
    <w:rsid w:val="3D027FC2"/>
    <w:rsid w:val="3D3D4FC4"/>
    <w:rsid w:val="3D4729D1"/>
    <w:rsid w:val="3D6F337E"/>
    <w:rsid w:val="3DEB4A20"/>
    <w:rsid w:val="3E2D53F7"/>
    <w:rsid w:val="3EB62D94"/>
    <w:rsid w:val="3EEC7F81"/>
    <w:rsid w:val="3FA71C20"/>
    <w:rsid w:val="3FDA2F9E"/>
    <w:rsid w:val="40606FB3"/>
    <w:rsid w:val="408A0869"/>
    <w:rsid w:val="40995D81"/>
    <w:rsid w:val="40BC0B84"/>
    <w:rsid w:val="40DC28F6"/>
    <w:rsid w:val="416C231C"/>
    <w:rsid w:val="41B906C9"/>
    <w:rsid w:val="41C84509"/>
    <w:rsid w:val="421E5E45"/>
    <w:rsid w:val="42305ED2"/>
    <w:rsid w:val="42355182"/>
    <w:rsid w:val="43120BD6"/>
    <w:rsid w:val="43B14016"/>
    <w:rsid w:val="43F50190"/>
    <w:rsid w:val="4432163F"/>
    <w:rsid w:val="44476729"/>
    <w:rsid w:val="4546743F"/>
    <w:rsid w:val="45A13141"/>
    <w:rsid w:val="46966FC2"/>
    <w:rsid w:val="47EE36B2"/>
    <w:rsid w:val="485E76F8"/>
    <w:rsid w:val="48AF6D87"/>
    <w:rsid w:val="490468CB"/>
    <w:rsid w:val="49CE6C17"/>
    <w:rsid w:val="4CDE060B"/>
    <w:rsid w:val="4E3D5914"/>
    <w:rsid w:val="4E461B89"/>
    <w:rsid w:val="4F4C1097"/>
    <w:rsid w:val="4F540982"/>
    <w:rsid w:val="4F844CD5"/>
    <w:rsid w:val="4FF32FA8"/>
    <w:rsid w:val="50EA0B03"/>
    <w:rsid w:val="512A57AB"/>
    <w:rsid w:val="515A3854"/>
    <w:rsid w:val="5276471A"/>
    <w:rsid w:val="52CC47C0"/>
    <w:rsid w:val="52E07D49"/>
    <w:rsid w:val="5374510A"/>
    <w:rsid w:val="53F5005F"/>
    <w:rsid w:val="54BA1C16"/>
    <w:rsid w:val="563D2137"/>
    <w:rsid w:val="56836AB2"/>
    <w:rsid w:val="56BC2DE3"/>
    <w:rsid w:val="56D42C4D"/>
    <w:rsid w:val="57301D47"/>
    <w:rsid w:val="57487036"/>
    <w:rsid w:val="575D6537"/>
    <w:rsid w:val="57800B40"/>
    <w:rsid w:val="57CD2DFE"/>
    <w:rsid w:val="58244FE5"/>
    <w:rsid w:val="584B13F6"/>
    <w:rsid w:val="59217B49"/>
    <w:rsid w:val="59656964"/>
    <w:rsid w:val="59D926D2"/>
    <w:rsid w:val="5A034680"/>
    <w:rsid w:val="5AA52A54"/>
    <w:rsid w:val="5BC05975"/>
    <w:rsid w:val="5BD743DE"/>
    <w:rsid w:val="5D63281F"/>
    <w:rsid w:val="5D706898"/>
    <w:rsid w:val="5D731EE5"/>
    <w:rsid w:val="5D7C7100"/>
    <w:rsid w:val="5D89238E"/>
    <w:rsid w:val="5D8C28DB"/>
    <w:rsid w:val="5DA30A1C"/>
    <w:rsid w:val="5E3F6556"/>
    <w:rsid w:val="5E4A7A0E"/>
    <w:rsid w:val="5E8C3C37"/>
    <w:rsid w:val="5EBC6D64"/>
    <w:rsid w:val="5ED03402"/>
    <w:rsid w:val="5F182B4A"/>
    <w:rsid w:val="5FD163AE"/>
    <w:rsid w:val="60057BEA"/>
    <w:rsid w:val="60B44CEE"/>
    <w:rsid w:val="60B460AF"/>
    <w:rsid w:val="619747AF"/>
    <w:rsid w:val="621C336D"/>
    <w:rsid w:val="62A05F08"/>
    <w:rsid w:val="62EA5BC6"/>
    <w:rsid w:val="630737FB"/>
    <w:rsid w:val="63C25DAA"/>
    <w:rsid w:val="64126CC6"/>
    <w:rsid w:val="648F0582"/>
    <w:rsid w:val="64F540D9"/>
    <w:rsid w:val="6559245A"/>
    <w:rsid w:val="65622F6B"/>
    <w:rsid w:val="658C415A"/>
    <w:rsid w:val="65BD6D5B"/>
    <w:rsid w:val="66C53C4A"/>
    <w:rsid w:val="673B297E"/>
    <w:rsid w:val="678F323C"/>
    <w:rsid w:val="68233EA0"/>
    <w:rsid w:val="68A30209"/>
    <w:rsid w:val="68C86C57"/>
    <w:rsid w:val="6A3C5D07"/>
    <w:rsid w:val="6AA57F27"/>
    <w:rsid w:val="6B185020"/>
    <w:rsid w:val="6CC37EB5"/>
    <w:rsid w:val="6D1139EB"/>
    <w:rsid w:val="6D3457FF"/>
    <w:rsid w:val="6E2A4841"/>
    <w:rsid w:val="6EEF19E2"/>
    <w:rsid w:val="6F272686"/>
    <w:rsid w:val="6F3D1DEF"/>
    <w:rsid w:val="6F963F3C"/>
    <w:rsid w:val="6FE54B28"/>
    <w:rsid w:val="71276AD1"/>
    <w:rsid w:val="7160445C"/>
    <w:rsid w:val="71697143"/>
    <w:rsid w:val="716C6A50"/>
    <w:rsid w:val="7207397B"/>
    <w:rsid w:val="729E3A33"/>
    <w:rsid w:val="72C43B37"/>
    <w:rsid w:val="737D1DEA"/>
    <w:rsid w:val="748B2EA1"/>
    <w:rsid w:val="74AE0F56"/>
    <w:rsid w:val="76391AC6"/>
    <w:rsid w:val="7672193D"/>
    <w:rsid w:val="770403EE"/>
    <w:rsid w:val="771C50B0"/>
    <w:rsid w:val="771E190D"/>
    <w:rsid w:val="77832F9B"/>
    <w:rsid w:val="77C519A6"/>
    <w:rsid w:val="78302BF9"/>
    <w:rsid w:val="784004D1"/>
    <w:rsid w:val="78725E9B"/>
    <w:rsid w:val="7877129B"/>
    <w:rsid w:val="79302291"/>
    <w:rsid w:val="797D7F1B"/>
    <w:rsid w:val="799B33AA"/>
    <w:rsid w:val="79FE7AE0"/>
    <w:rsid w:val="7A083C89"/>
    <w:rsid w:val="7AA15E8B"/>
    <w:rsid w:val="7B0C1155"/>
    <w:rsid w:val="7B424553"/>
    <w:rsid w:val="7BB96559"/>
    <w:rsid w:val="7C304A31"/>
    <w:rsid w:val="7C6520EB"/>
    <w:rsid w:val="7D1943FF"/>
    <w:rsid w:val="7D7347EF"/>
    <w:rsid w:val="7D9B14E2"/>
    <w:rsid w:val="7DB761A8"/>
    <w:rsid w:val="7DD52B5A"/>
    <w:rsid w:val="7E522673"/>
    <w:rsid w:val="7FE743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qFormat="1" w:unhideWhenUsed="0" w:uiPriority="39" w:semiHidden="0" w:name="toc 3"/>
    <w:lsdException w:unhideWhenUsed="0" w:uiPriority="0" w:semiHidden="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autoRedefine/>
    <w:qFormat/>
    <w:uiPriority w:val="0"/>
    <w:pPr>
      <w:spacing w:before="100" w:beforeAutospacing="1" w:after="100" w:afterAutospacing="1"/>
      <w:jc w:val="left"/>
      <w:outlineLvl w:val="0"/>
    </w:pPr>
    <w:rPr>
      <w:rFonts w:hint="eastAsia" w:ascii="宋体" w:hAnsi="宋体"/>
      <w:b/>
      <w:kern w:val="44"/>
      <w:sz w:val="48"/>
      <w:szCs w:val="48"/>
    </w:rPr>
  </w:style>
  <w:style w:type="paragraph" w:styleId="5">
    <w:name w:val="heading 2"/>
    <w:basedOn w:val="6"/>
    <w:next w:val="1"/>
    <w:autoRedefine/>
    <w:qFormat/>
    <w:uiPriority w:val="0"/>
    <w:pPr>
      <w:keepNext/>
      <w:keepLines/>
      <w:snapToGrid w:val="0"/>
      <w:spacing w:beforeLines="50" w:afterLines="50"/>
      <w:outlineLvl w:val="1"/>
    </w:pPr>
    <w:rPr>
      <w:rFonts w:eastAsia="楷体_GB2312" w:cs="MS Gothic"/>
      <w:snapToGrid w:val="0"/>
      <w:kern w:val="0"/>
      <w:sz w:val="32"/>
      <w:szCs w:val="28"/>
    </w:rPr>
  </w:style>
  <w:style w:type="paragraph" w:styleId="6">
    <w:name w:val="heading 3"/>
    <w:basedOn w:val="1"/>
    <w:next w:val="1"/>
    <w:autoRedefine/>
    <w:unhideWhenUsed/>
    <w:qFormat/>
    <w:uiPriority w:val="0"/>
    <w:pPr>
      <w:outlineLvl w:val="2"/>
    </w:pPr>
    <w:rPr>
      <w:rFonts w:asciiTheme="majorHAnsi" w:hAnsiTheme="majorHAnsi" w:eastAsiaTheme="majorEastAsia" w:cstheme="majorBidi"/>
      <w:b/>
      <w:bCs/>
      <w:sz w:val="28"/>
      <w:szCs w:val="32"/>
    </w:rPr>
  </w:style>
  <w:style w:type="paragraph" w:styleId="7">
    <w:name w:val="heading 4"/>
    <w:basedOn w:val="1"/>
    <w:next w:val="1"/>
    <w:autoRedefine/>
    <w:unhideWhenUsed/>
    <w:qFormat/>
    <w:uiPriority w:val="0"/>
    <w:pPr>
      <w:keepNext/>
      <w:keepLines/>
      <w:outlineLvl w:val="3"/>
    </w:pPr>
    <w:rPr>
      <w:b/>
    </w:rPr>
  </w:style>
  <w:style w:type="character" w:default="1" w:styleId="24">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unhideWhenUsed/>
    <w:qFormat/>
    <w:uiPriority w:val="99"/>
    <w:pPr>
      <w:ind w:firstLine="420" w:firstLineChars="200"/>
    </w:pPr>
  </w:style>
  <w:style w:type="paragraph" w:styleId="3">
    <w:name w:val="Body Text Indent"/>
    <w:basedOn w:val="1"/>
    <w:autoRedefine/>
    <w:unhideWhenUsed/>
    <w:qFormat/>
    <w:uiPriority w:val="99"/>
    <w:pPr>
      <w:spacing w:after="120"/>
      <w:ind w:left="420" w:leftChars="200"/>
    </w:pPr>
  </w:style>
  <w:style w:type="paragraph" w:styleId="8">
    <w:name w:val="Normal Indent"/>
    <w:basedOn w:val="1"/>
    <w:autoRedefine/>
    <w:qFormat/>
    <w:uiPriority w:val="0"/>
    <w:pPr>
      <w:adjustRightInd w:val="0"/>
      <w:spacing w:line="360" w:lineRule="atLeast"/>
      <w:ind w:firstLine="420"/>
      <w:jc w:val="left"/>
      <w:textAlignment w:val="baseline"/>
    </w:pPr>
    <w:rPr>
      <w:rFonts w:eastAsia="仿宋_GB2312"/>
      <w:kern w:val="0"/>
      <w:sz w:val="28"/>
      <w:szCs w:val="20"/>
    </w:rPr>
  </w:style>
  <w:style w:type="paragraph" w:styleId="9">
    <w:name w:val="annotation text"/>
    <w:basedOn w:val="1"/>
    <w:qFormat/>
    <w:uiPriority w:val="0"/>
    <w:pPr>
      <w:jc w:val="left"/>
    </w:pPr>
  </w:style>
  <w:style w:type="paragraph" w:styleId="10">
    <w:name w:val="Body Text"/>
    <w:basedOn w:val="1"/>
    <w:next w:val="1"/>
    <w:autoRedefine/>
    <w:qFormat/>
    <w:uiPriority w:val="99"/>
    <w:rPr>
      <w:sz w:val="28"/>
      <w:szCs w:val="28"/>
    </w:rPr>
  </w:style>
  <w:style w:type="paragraph" w:styleId="11">
    <w:name w:val="toc 5"/>
    <w:basedOn w:val="1"/>
    <w:next w:val="1"/>
    <w:autoRedefine/>
    <w:semiHidden/>
    <w:qFormat/>
    <w:uiPriority w:val="0"/>
    <w:pPr>
      <w:ind w:left="1120"/>
      <w:jc w:val="left"/>
    </w:pPr>
    <w:rPr>
      <w:sz w:val="18"/>
      <w:szCs w:val="18"/>
    </w:rPr>
  </w:style>
  <w:style w:type="paragraph" w:styleId="12">
    <w:name w:val="Plain Text"/>
    <w:basedOn w:val="1"/>
    <w:autoRedefine/>
    <w:qFormat/>
    <w:uiPriority w:val="0"/>
    <w:rPr>
      <w:rFonts w:ascii="宋体" w:hAnsi="Courier New" w:cs="Courier New"/>
      <w:szCs w:val="21"/>
    </w:rPr>
  </w:style>
  <w:style w:type="paragraph" w:styleId="13">
    <w:name w:val="Date"/>
    <w:basedOn w:val="1"/>
    <w:next w:val="1"/>
    <w:link w:val="48"/>
    <w:autoRedefine/>
    <w:qFormat/>
    <w:uiPriority w:val="0"/>
    <w:pPr>
      <w:ind w:left="100" w:leftChars="2500"/>
    </w:pPr>
    <w:rPr>
      <w:rFonts w:ascii="Times New Roman" w:hAnsi="Times New Roman"/>
      <w:b/>
      <w:bCs/>
      <w:sz w:val="28"/>
    </w:rPr>
  </w:style>
  <w:style w:type="paragraph" w:styleId="14">
    <w:name w:val="Body Text Indent 2"/>
    <w:basedOn w:val="1"/>
    <w:autoRedefine/>
    <w:qFormat/>
    <w:uiPriority w:val="0"/>
    <w:pPr>
      <w:ind w:firstLine="538" w:firstLineChars="192"/>
    </w:pPr>
    <w:rPr>
      <w:rFonts w:ascii="宋体" w:hAnsi="宋体"/>
      <w:sz w:val="28"/>
    </w:rPr>
  </w:style>
  <w:style w:type="paragraph" w:styleId="15">
    <w:name w:val="Balloon Text"/>
    <w:basedOn w:val="1"/>
    <w:link w:val="34"/>
    <w:autoRedefine/>
    <w:qFormat/>
    <w:uiPriority w:val="0"/>
    <w:rPr>
      <w:sz w:val="18"/>
      <w:szCs w:val="18"/>
    </w:rPr>
  </w:style>
  <w:style w:type="paragraph" w:styleId="16">
    <w:name w:val="footer"/>
    <w:basedOn w:val="1"/>
    <w:next w:val="17"/>
    <w:autoRedefine/>
    <w:qFormat/>
    <w:uiPriority w:val="99"/>
    <w:pPr>
      <w:tabs>
        <w:tab w:val="center" w:pos="4153"/>
        <w:tab w:val="right" w:pos="8306"/>
      </w:tabs>
      <w:snapToGrid w:val="0"/>
    </w:pPr>
    <w:rPr>
      <w:sz w:val="18"/>
      <w:szCs w:val="18"/>
    </w:rPr>
  </w:style>
  <w:style w:type="paragraph" w:styleId="17">
    <w:name w:val="Normal (Web)"/>
    <w:basedOn w:val="1"/>
    <w:next w:val="18"/>
    <w:autoRedefine/>
    <w:qFormat/>
    <w:uiPriority w:val="0"/>
    <w:pPr>
      <w:spacing w:before="100" w:beforeAutospacing="1" w:after="100" w:afterAutospacing="1"/>
      <w:jc w:val="left"/>
    </w:pPr>
    <w:rPr>
      <w:kern w:val="0"/>
      <w:sz w:val="24"/>
    </w:rPr>
  </w:style>
  <w:style w:type="paragraph" w:customStyle="1" w:styleId="18">
    <w:name w:val="toc 84"/>
    <w:next w:val="1"/>
    <w:autoRedefine/>
    <w:qFormat/>
    <w:uiPriority w:val="0"/>
    <w:pPr>
      <w:wordWrap w:val="0"/>
      <w:ind w:left="2975"/>
      <w:jc w:val="both"/>
    </w:pPr>
    <w:rPr>
      <w:rFonts w:ascii="Times New Roman" w:hAnsi="Times New Roman" w:eastAsia="宋体" w:cs="Times New Roman"/>
      <w:sz w:val="21"/>
      <w:szCs w:val="22"/>
      <w:lang w:val="en-US" w:eastAsia="zh-CN" w:bidi="ar-SA"/>
    </w:rPr>
  </w:style>
  <w:style w:type="paragraph" w:styleId="19">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autoRedefine/>
    <w:qFormat/>
    <w:uiPriority w:val="39"/>
    <w:pPr>
      <w:jc w:val="left"/>
    </w:pPr>
    <w:rPr>
      <w:rFonts w:ascii="宋体"/>
      <w:b/>
      <w:bCs/>
      <w:caps/>
      <w:sz w:val="20"/>
      <w:szCs w:val="20"/>
    </w:rPr>
  </w:style>
  <w:style w:type="paragraph" w:styleId="21">
    <w:name w:val="Body Text Indent 3"/>
    <w:basedOn w:val="1"/>
    <w:autoRedefine/>
    <w:qFormat/>
    <w:uiPriority w:val="0"/>
    <w:pPr>
      <w:ind w:firstLine="630"/>
    </w:pPr>
    <w:rPr>
      <w:rFonts w:ascii="Times New Roman" w:hAnsi="Times New Roman" w:eastAsia="仿宋_GB2312"/>
      <w:sz w:val="28"/>
    </w:rPr>
  </w:style>
  <w:style w:type="paragraph" w:styleId="22">
    <w:name w:val="Body Text First Indent"/>
    <w:basedOn w:val="10"/>
    <w:next w:val="1"/>
    <w:autoRedefine/>
    <w:qFormat/>
    <w:uiPriority w:val="0"/>
    <w:pPr>
      <w:spacing w:after="120"/>
      <w:ind w:firstLine="420" w:firstLineChars="100"/>
    </w:pPr>
  </w:style>
  <w:style w:type="character" w:styleId="25">
    <w:name w:val="annotation reference"/>
    <w:qFormat/>
    <w:uiPriority w:val="0"/>
    <w:rPr>
      <w:sz w:val="21"/>
      <w:szCs w:val="21"/>
    </w:rPr>
  </w:style>
  <w:style w:type="paragraph" w:customStyle="1" w:styleId="26">
    <w:name w:val="样式 10 磅"/>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
    <w:name w:val="Default"/>
    <w:basedOn w:val="28"/>
    <w:next w:val="2"/>
    <w:autoRedefine/>
    <w:qFormat/>
    <w:uiPriority w:val="0"/>
    <w:pPr>
      <w:autoSpaceDE w:val="0"/>
      <w:autoSpaceDN w:val="0"/>
    </w:pPr>
    <w:rPr>
      <w:rFonts w:hint="eastAsia" w:ascii="宋体"/>
      <w:sz w:val="24"/>
    </w:rPr>
  </w:style>
  <w:style w:type="paragraph" w:customStyle="1" w:styleId="28">
    <w:name w:val="批注文字1"/>
    <w:autoRedefine/>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29">
    <w:name w:val="正文2"/>
    <w:basedOn w:val="1"/>
    <w:autoRedefine/>
    <w:qFormat/>
    <w:uiPriority w:val="0"/>
    <w:pPr>
      <w:spacing w:line="440" w:lineRule="atLeast"/>
      <w:ind w:firstLine="567"/>
    </w:pPr>
    <w:rPr>
      <w:sz w:val="24"/>
      <w:szCs w:val="20"/>
    </w:rPr>
  </w:style>
  <w:style w:type="paragraph" w:customStyle="1" w:styleId="30">
    <w:name w:val="样式 首行缩进:  2 字符"/>
    <w:basedOn w:val="1"/>
    <w:next w:val="1"/>
    <w:autoRedefine/>
    <w:qFormat/>
    <w:uiPriority w:val="0"/>
    <w:pPr>
      <w:widowControl/>
      <w:tabs>
        <w:tab w:val="left" w:pos="0"/>
      </w:tabs>
      <w:spacing w:line="560" w:lineRule="exact"/>
      <w:ind w:firstLine="560" w:firstLineChars="200"/>
      <w:jc w:val="left"/>
    </w:pPr>
    <w:rPr>
      <w:rFonts w:ascii="宋体" w:hAnsi="宋体" w:eastAsia="仿宋_GB2312" w:cs="宋体"/>
      <w:spacing w:val="12"/>
      <w:kern w:val="0"/>
      <w:sz w:val="28"/>
      <w:szCs w:val="20"/>
    </w:rPr>
  </w:style>
  <w:style w:type="paragraph" w:customStyle="1" w:styleId="31">
    <w:name w:val="li_正文"/>
    <w:basedOn w:val="1"/>
    <w:autoRedefine/>
    <w:qFormat/>
    <w:uiPriority w:val="0"/>
    <w:pPr>
      <w:topLinePunct/>
      <w:adjustRightInd w:val="0"/>
      <w:snapToGrid w:val="0"/>
      <w:spacing w:line="360" w:lineRule="auto"/>
      <w:ind w:firstLine="700" w:firstLineChars="250"/>
    </w:pPr>
    <w:rPr>
      <w:rFonts w:ascii="宋体" w:hAnsi="宋体"/>
      <w:sz w:val="28"/>
      <w:szCs w:val="28"/>
    </w:rPr>
  </w:style>
  <w:style w:type="paragraph" w:customStyle="1" w:styleId="32">
    <w:name w:val="样式 标题 2"/>
    <w:basedOn w:val="5"/>
    <w:autoRedefine/>
    <w:qFormat/>
    <w:uiPriority w:val="0"/>
    <w:pPr>
      <w:spacing w:beforeLines="0" w:afterLines="0"/>
    </w:pPr>
    <w:rPr>
      <w:rFonts w:ascii="Arial" w:hAnsi="Arial" w:eastAsia="宋体" w:cs="宋体"/>
      <w:snapToGrid/>
      <w:kern w:val="2"/>
      <w:szCs w:val="32"/>
      <w:lang w:val="zh-CN"/>
    </w:rPr>
  </w:style>
  <w:style w:type="paragraph" w:customStyle="1" w:styleId="33">
    <w:name w:val="p0"/>
    <w:basedOn w:val="1"/>
    <w:autoRedefine/>
    <w:qFormat/>
    <w:uiPriority w:val="0"/>
    <w:pPr>
      <w:widowControl/>
    </w:pPr>
    <w:rPr>
      <w:kern w:val="0"/>
      <w:szCs w:val="21"/>
    </w:rPr>
  </w:style>
  <w:style w:type="character" w:customStyle="1" w:styleId="34">
    <w:name w:val="批注框文本 字符"/>
    <w:basedOn w:val="24"/>
    <w:link w:val="15"/>
    <w:autoRedefine/>
    <w:qFormat/>
    <w:uiPriority w:val="0"/>
    <w:rPr>
      <w:rFonts w:ascii="Calibri" w:hAnsi="Calibri"/>
      <w:kern w:val="2"/>
      <w:sz w:val="18"/>
      <w:szCs w:val="18"/>
    </w:rPr>
  </w:style>
  <w:style w:type="paragraph" w:customStyle="1" w:styleId="35">
    <w:name w:val="111"/>
    <w:basedOn w:val="1"/>
    <w:autoRedefine/>
    <w:qFormat/>
    <w:uiPriority w:val="99"/>
    <w:pPr>
      <w:widowControl/>
      <w:tabs>
        <w:tab w:val="left" w:pos="0"/>
      </w:tabs>
      <w:spacing w:before="100" w:beforeAutospacing="1" w:after="100" w:afterAutospacing="1"/>
      <w:jc w:val="left"/>
    </w:pPr>
    <w:rPr>
      <w:rFonts w:ascii="宋体" w:hAnsi="宋体" w:cs="宋体"/>
      <w:kern w:val="0"/>
      <w:sz w:val="24"/>
    </w:rPr>
  </w:style>
  <w:style w:type="character" w:customStyle="1" w:styleId="36">
    <w:name w:val="表头 Char Char Char"/>
    <w:basedOn w:val="24"/>
    <w:autoRedefine/>
    <w:qFormat/>
    <w:uiPriority w:val="0"/>
    <w:rPr>
      <w:rFonts w:ascii="宋体" w:hAnsi="Tahoma" w:eastAsia="宋体"/>
      <w:snapToGrid w:val="0"/>
      <w:spacing w:val="6"/>
      <w:kern w:val="10"/>
      <w:sz w:val="24"/>
    </w:rPr>
  </w:style>
  <w:style w:type="paragraph" w:customStyle="1" w:styleId="37">
    <w:name w:val="表格居中"/>
    <w:basedOn w:val="38"/>
    <w:autoRedefine/>
    <w:qFormat/>
    <w:uiPriority w:val="0"/>
    <w:pPr>
      <w:jc w:val="center"/>
    </w:pPr>
  </w:style>
  <w:style w:type="paragraph" w:customStyle="1" w:styleId="38">
    <w:name w:val="表格一"/>
    <w:basedOn w:val="1"/>
    <w:autoRedefine/>
    <w:qFormat/>
    <w:uiPriority w:val="0"/>
    <w:pPr>
      <w:autoSpaceDE w:val="0"/>
      <w:autoSpaceDN w:val="0"/>
      <w:adjustRightInd w:val="0"/>
      <w:snapToGrid w:val="0"/>
      <w:spacing w:line="240" w:lineRule="atLeast"/>
      <w:jc w:val="left"/>
    </w:pPr>
    <w:rPr>
      <w:rFonts w:hAnsi="宋体"/>
      <w:color w:val="000000"/>
      <w:kern w:val="1"/>
      <w:szCs w:val="21"/>
    </w:rPr>
  </w:style>
  <w:style w:type="paragraph" w:customStyle="1" w:styleId="39">
    <w:name w:val="伟灿工贸-表格文字"/>
    <w:basedOn w:val="1"/>
    <w:autoRedefine/>
    <w:qFormat/>
    <w:uiPriority w:val="0"/>
    <w:pPr>
      <w:jc w:val="center"/>
    </w:pPr>
    <w:rPr>
      <w:rFonts w:hint="eastAsia" w:ascii="宋体" w:hAnsi="宋体" w:cs="宋体"/>
      <w:szCs w:val="21"/>
    </w:rPr>
  </w:style>
  <w:style w:type="paragraph" w:customStyle="1" w:styleId="40">
    <w:name w:val="QQ表正文"/>
    <w:basedOn w:val="1"/>
    <w:autoRedefine/>
    <w:qFormat/>
    <w:uiPriority w:val="0"/>
    <w:pPr>
      <w:widowControl/>
      <w:snapToGrid w:val="0"/>
      <w:spacing w:after="120" w:line="520" w:lineRule="exact"/>
      <w:ind w:firstLine="480" w:firstLineChars="200"/>
    </w:pPr>
    <w:rPr>
      <w:rFonts w:ascii="Times New Roman" w:hAnsiTheme="minorHAnsi" w:eastAsiaTheme="minorEastAsia" w:cstheme="minorBidi"/>
      <w:kern w:val="0"/>
      <w:sz w:val="28"/>
      <w:szCs w:val="21"/>
    </w:rPr>
  </w:style>
  <w:style w:type="paragraph" w:customStyle="1" w:styleId="41">
    <w:name w:val="表名、图名"/>
    <w:basedOn w:val="1"/>
    <w:next w:val="1"/>
    <w:autoRedefine/>
    <w:qFormat/>
    <w:uiPriority w:val="0"/>
    <w:pPr>
      <w:jc w:val="center"/>
    </w:pPr>
    <w:rPr>
      <w:b/>
      <w:bCs/>
    </w:rPr>
  </w:style>
  <w:style w:type="paragraph" w:customStyle="1" w:styleId="42">
    <w:name w:val="标题 三"/>
    <w:basedOn w:val="1"/>
    <w:autoRedefine/>
    <w:qFormat/>
    <w:uiPriority w:val="0"/>
    <w:pPr>
      <w:tabs>
        <w:tab w:val="left" w:pos="3544"/>
      </w:tabs>
      <w:snapToGrid w:val="0"/>
      <w:spacing w:line="360" w:lineRule="auto"/>
      <w:outlineLvl w:val="2"/>
    </w:pPr>
    <w:rPr>
      <w:rFonts w:ascii="宋体" w:hAnsi="宋体"/>
      <w:b/>
      <w:bCs/>
      <w:sz w:val="28"/>
      <w:szCs w:val="28"/>
    </w:rPr>
  </w:style>
  <w:style w:type="paragraph" w:customStyle="1" w:styleId="43">
    <w:name w:val="ENFI正文"/>
    <w:basedOn w:val="1"/>
    <w:autoRedefine/>
    <w:qFormat/>
    <w:uiPriority w:val="0"/>
    <w:pPr>
      <w:adjustRightInd w:val="0"/>
      <w:snapToGrid w:val="0"/>
      <w:ind w:firstLine="567"/>
    </w:pPr>
    <w:rPr>
      <w:rFonts w:eastAsia="仿宋_GB2312"/>
      <w:snapToGrid w:val="0"/>
      <w:color w:val="000000"/>
      <w:kern w:val="0"/>
      <w:sz w:val="28"/>
    </w:rPr>
  </w:style>
  <w:style w:type="paragraph" w:customStyle="1" w:styleId="44">
    <w:name w:val="工艺序号"/>
    <w:basedOn w:val="1"/>
    <w:autoRedefine/>
    <w:qFormat/>
    <w:uiPriority w:val="0"/>
    <w:pPr>
      <w:numPr>
        <w:ilvl w:val="0"/>
        <w:numId w:val="1"/>
      </w:numPr>
    </w:pPr>
    <w:rPr>
      <w:b/>
      <w:bCs/>
    </w:rPr>
  </w:style>
  <w:style w:type="paragraph" w:customStyle="1" w:styleId="45">
    <w:name w:val="伟灿-表格文字"/>
    <w:basedOn w:val="1"/>
    <w:autoRedefine/>
    <w:qFormat/>
    <w:uiPriority w:val="0"/>
    <w:pPr>
      <w:jc w:val="center"/>
    </w:pPr>
    <w:rPr>
      <w:rFonts w:hint="eastAsia" w:ascii="宋体" w:hAnsi="宋体" w:cs="宋体"/>
      <w:szCs w:val="21"/>
    </w:rPr>
  </w:style>
  <w:style w:type="paragraph" w:styleId="46">
    <w:name w:val="List Paragraph"/>
    <w:basedOn w:val="1"/>
    <w:autoRedefine/>
    <w:qFormat/>
    <w:uiPriority w:val="99"/>
    <w:pPr>
      <w:ind w:firstLine="420" w:firstLineChars="200"/>
    </w:pPr>
  </w:style>
  <w:style w:type="paragraph" w:customStyle="1" w:styleId="47">
    <w:name w:val="表格1（标题）"/>
    <w:basedOn w:val="1"/>
    <w:autoRedefine/>
    <w:qFormat/>
    <w:uiPriority w:val="0"/>
    <w:pPr>
      <w:widowControl/>
      <w:suppressAutoHyphens/>
      <w:adjustRightInd w:val="0"/>
      <w:snapToGrid w:val="0"/>
      <w:spacing w:line="360" w:lineRule="auto"/>
      <w:jc w:val="center"/>
      <w:textAlignment w:val="center"/>
      <w:outlineLvl w:val="8"/>
    </w:pPr>
    <w:rPr>
      <w:rFonts w:ascii="Times New Roman" w:hAnsi="Times New Roman" w:cs="黑体"/>
      <w:b/>
      <w:bCs/>
      <w:color w:val="000000"/>
      <w:kern w:val="21"/>
      <w:sz w:val="24"/>
    </w:rPr>
  </w:style>
  <w:style w:type="character" w:customStyle="1" w:styleId="48">
    <w:name w:val="日期 字符"/>
    <w:basedOn w:val="24"/>
    <w:link w:val="13"/>
    <w:autoRedefine/>
    <w:qFormat/>
    <w:uiPriority w:val="0"/>
    <w:rPr>
      <w:b/>
      <w:bCs/>
      <w:kern w:val="2"/>
      <w:sz w:val="28"/>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9</Pages>
  <Words>2858</Words>
  <Characters>3201</Characters>
  <Lines>8</Lines>
  <Paragraphs>2</Paragraphs>
  <TotalTime>1</TotalTime>
  <ScaleCrop>false</ScaleCrop>
  <LinksUpToDate>false</LinksUpToDate>
  <CharactersWithSpaces>3203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2020-04-30T03:42:00Z</dcterms:created>
  <dc:creator>Administrator</dc:creator>
  <cp:lastModifiedBy>叶子</cp:lastModifiedBy>
  <dcterms:modified xsi:type="dcterms:W3CDTF">2026-10-30T07:51:22Z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F03053999FB641ED9355B68B7EFBE263_13</vt:lpwstr>
  </property>
  <property fmtid="{D5CDD505-2E9C-101B-9397-08002B2CF9AE}" pid="4" name="KSOTemplateDocerSaveRecord">
    <vt:lpwstr>eyJoZGlkIjoiNDgzMjdiZTZhYWEwMDUyMzMwMzdhZWM2ZmNjMGMzMDkiLCJ1c2VySWQiOiI1NzcyNjAwMzgifQ==</vt:lpwstr>
  </property>
</Properties>
</file>