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336116">
      <w:pPr>
        <w:spacing w:before="156" w:line="317" w:lineRule="auto"/>
        <w:ind w:left="3628" w:leftChars="-155" w:hanging="3953" w:hangingChars="1422"/>
        <w:jc w:val="center"/>
        <w:outlineLvl w:val="0"/>
        <w:rPr>
          <w:rFonts w:hint="eastAsia" w:ascii="黑体" w:hAnsi="黑体" w:eastAsia="黑体" w:cs="黑体"/>
          <w:spacing w:val="-1"/>
          <w:sz w:val="28"/>
          <w:szCs w:val="28"/>
          <w:lang w:eastAsia="zh-CN"/>
        </w:rPr>
      </w:pPr>
      <w:r>
        <w:rPr>
          <w:rFonts w:hint="eastAsia" w:ascii="黑体" w:hAnsi="黑体" w:eastAsia="黑体" w:cs="黑体"/>
          <w:spacing w:val="-1"/>
          <w:sz w:val="28"/>
          <w:szCs w:val="28"/>
          <w:lang w:val="en-US" w:eastAsia="zh-CN"/>
        </w:rPr>
        <w:t xml:space="preserve">  泰安鑫华腾石油有限公司</w:t>
      </w:r>
    </w:p>
    <w:p w14:paraId="1D502629">
      <w:pPr>
        <w:spacing w:before="156" w:line="317" w:lineRule="auto"/>
        <w:ind w:left="3628" w:leftChars="-155" w:hanging="3953" w:hangingChars="1422"/>
        <w:jc w:val="center"/>
        <w:outlineLvl w:val="0"/>
        <w:rPr>
          <w:rFonts w:ascii="黑体" w:hAnsi="黑体" w:eastAsia="黑体" w:cs="黑体"/>
          <w:sz w:val="28"/>
          <w:szCs w:val="28"/>
        </w:rPr>
      </w:pPr>
      <w:r>
        <w:rPr>
          <w:rFonts w:hint="eastAsia" w:ascii="黑体" w:hAnsi="黑体" w:eastAsia="黑体" w:cs="黑体"/>
          <w:spacing w:val="-1"/>
          <w:sz w:val="28"/>
          <w:szCs w:val="28"/>
          <w:lang w:val="en-US" w:eastAsia="zh-CN"/>
        </w:rPr>
        <w:t xml:space="preserve">   </w:t>
      </w:r>
      <w:r>
        <w:rPr>
          <w:rFonts w:ascii="黑体" w:hAnsi="黑体" w:eastAsia="黑体" w:cs="黑体"/>
          <w:spacing w:val="-1"/>
          <w:sz w:val="28"/>
          <w:szCs w:val="28"/>
        </w:rPr>
        <w:t>经营危险化学品</w:t>
      </w:r>
      <w:r>
        <w:rPr>
          <w:rFonts w:ascii="黑体" w:hAnsi="黑体" w:eastAsia="黑体" w:cs="黑体"/>
          <w:spacing w:val="-2"/>
          <w:sz w:val="28"/>
          <w:szCs w:val="28"/>
        </w:rPr>
        <w:t>现状评价项目信息表</w:t>
      </w:r>
    </w:p>
    <w:p w14:paraId="05ED1C52">
      <w:pPr>
        <w:spacing w:before="168" w:line="228" w:lineRule="auto"/>
        <w:ind w:left="125"/>
        <w:rPr>
          <w:rFonts w:ascii="宋体" w:hAnsi="宋体" w:eastAsia="宋体" w:cs="宋体"/>
          <w:sz w:val="20"/>
          <w:szCs w:val="20"/>
        </w:rPr>
      </w:pPr>
      <w:r>
        <w:rPr>
          <w:rFonts w:ascii="宋体" w:hAnsi="宋体" w:eastAsia="宋体" w:cs="宋体"/>
          <w:spacing w:val="5"/>
          <w:sz w:val="20"/>
          <w:szCs w:val="20"/>
        </w:rPr>
        <w:t>项目编号：</w:t>
      </w:r>
    </w:p>
    <w:p w14:paraId="1CB0161A">
      <w:pPr>
        <w:spacing w:line="136" w:lineRule="auto"/>
        <w:rPr>
          <w:rFonts w:ascii="Arial"/>
          <w:sz w:val="2"/>
        </w:rPr>
      </w:pPr>
    </w:p>
    <w:tbl>
      <w:tblPr>
        <w:tblStyle w:val="8"/>
        <w:tblW w:w="895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0"/>
        <w:gridCol w:w="683"/>
        <w:gridCol w:w="1662"/>
        <w:gridCol w:w="3501"/>
        <w:gridCol w:w="1928"/>
      </w:tblGrid>
      <w:tr w14:paraId="2762D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3" w:hRule="atLeast"/>
        </w:trPr>
        <w:tc>
          <w:tcPr>
            <w:tcW w:w="1180" w:type="dxa"/>
            <w:vAlign w:val="top"/>
          </w:tcPr>
          <w:p w14:paraId="56342654">
            <w:pPr>
              <w:pStyle w:val="7"/>
              <w:spacing w:before="213" w:line="228" w:lineRule="auto"/>
              <w:ind w:left="120"/>
            </w:pPr>
            <w:r>
              <w:rPr>
                <w:spacing w:val="6"/>
              </w:rPr>
              <w:t>项目名称</w:t>
            </w:r>
          </w:p>
        </w:tc>
        <w:tc>
          <w:tcPr>
            <w:tcW w:w="7774" w:type="dxa"/>
            <w:gridSpan w:val="4"/>
            <w:vAlign w:val="center"/>
          </w:tcPr>
          <w:p w14:paraId="50A5A161">
            <w:pPr>
              <w:pStyle w:val="7"/>
              <w:spacing w:before="57" w:line="261" w:lineRule="auto"/>
              <w:ind w:right="318"/>
              <w:jc w:val="center"/>
            </w:pPr>
            <w:r>
              <w:rPr>
                <w:rFonts w:hint="eastAsia"/>
                <w:spacing w:val="9"/>
                <w:lang w:eastAsia="zh-CN"/>
              </w:rPr>
              <w:t>泰安鑫华腾石油有限公司</w:t>
            </w:r>
            <w:r>
              <w:rPr>
                <w:spacing w:val="9"/>
              </w:rPr>
              <w:t>经营危险化学品</w:t>
            </w:r>
            <w:r>
              <w:rPr>
                <w:rFonts w:hint="eastAsia"/>
                <w:spacing w:val="9"/>
                <w:lang w:val="en-US" w:eastAsia="zh-CN"/>
              </w:rPr>
              <w:t>安全</w:t>
            </w:r>
            <w:r>
              <w:rPr>
                <w:spacing w:val="6"/>
              </w:rPr>
              <w:t>现状评价</w:t>
            </w:r>
          </w:p>
        </w:tc>
      </w:tr>
      <w:tr w14:paraId="0D57B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9" w:hRule="atLeast"/>
        </w:trPr>
        <w:tc>
          <w:tcPr>
            <w:tcW w:w="1180" w:type="dxa"/>
            <w:vAlign w:val="top"/>
          </w:tcPr>
          <w:p w14:paraId="1E3F799C">
            <w:pPr>
              <w:spacing w:line="250" w:lineRule="auto"/>
              <w:rPr>
                <w:rFonts w:ascii="Arial"/>
                <w:sz w:val="21"/>
              </w:rPr>
            </w:pPr>
          </w:p>
          <w:p w14:paraId="20F0E89C">
            <w:pPr>
              <w:spacing w:line="250" w:lineRule="auto"/>
              <w:rPr>
                <w:rFonts w:ascii="Arial"/>
                <w:sz w:val="21"/>
              </w:rPr>
            </w:pPr>
          </w:p>
          <w:p w14:paraId="31894B23">
            <w:pPr>
              <w:spacing w:line="250" w:lineRule="auto"/>
              <w:rPr>
                <w:rFonts w:ascii="Arial"/>
                <w:sz w:val="21"/>
              </w:rPr>
            </w:pPr>
          </w:p>
          <w:p w14:paraId="6CEE7778">
            <w:pPr>
              <w:spacing w:line="250" w:lineRule="auto"/>
              <w:rPr>
                <w:rFonts w:ascii="Arial"/>
                <w:sz w:val="21"/>
              </w:rPr>
            </w:pPr>
          </w:p>
          <w:p w14:paraId="2FE2E969">
            <w:pPr>
              <w:spacing w:line="251" w:lineRule="auto"/>
              <w:rPr>
                <w:rFonts w:ascii="Arial"/>
                <w:sz w:val="21"/>
              </w:rPr>
            </w:pPr>
          </w:p>
          <w:p w14:paraId="319DBBD5">
            <w:pPr>
              <w:pStyle w:val="7"/>
              <w:spacing w:before="65" w:line="227" w:lineRule="auto"/>
              <w:ind w:left="120"/>
            </w:pPr>
            <w:r>
              <w:rPr>
                <w:spacing w:val="6"/>
              </w:rPr>
              <w:t>项目简介</w:t>
            </w:r>
          </w:p>
        </w:tc>
        <w:tc>
          <w:tcPr>
            <w:tcW w:w="7774" w:type="dxa"/>
            <w:gridSpan w:val="4"/>
            <w:vAlign w:val="top"/>
          </w:tcPr>
          <w:p w14:paraId="2B86580A">
            <w:pPr>
              <w:pStyle w:val="7"/>
              <w:spacing w:before="30" w:line="371" w:lineRule="auto"/>
              <w:ind w:right="38"/>
              <w:jc w:val="both"/>
              <w:rPr>
                <w:rFonts w:hint="default" w:ascii="宋体" w:hAnsi="宋体" w:eastAsia="宋体" w:cs="宋体"/>
                <w:lang w:val="en-US" w:eastAsia="zh-CN"/>
              </w:rPr>
            </w:pPr>
            <w:r>
              <w:rPr>
                <w:rFonts w:hint="default" w:ascii="宋体" w:hAnsi="宋体" w:eastAsia="宋体" w:cs="宋体"/>
                <w:lang w:val="en-US" w:eastAsia="zh-CN"/>
              </w:rPr>
              <w:t>该加油站主要建有站房、罩棚、油罐区、加油区、辅助服务区等。加油区在站房西侧，现有4台双枪加油机（1台92#汽油，1台92#汽油/95#汽油，2台柴油），均为自吸式；油罐区位于站房西北侧，现有4台30m³埋地双层储罐：1台92#罐、1台95#汽油罐、2台柴油罐，4台油罐均安装了液位仪、检漏仪；汽油、柴油卸油口位于罐区南侧；通气管4根位于罐区北侧，油气回收处理装置位于通气管北侧，该站设有三次油气回收系统（卸油油气回收系统、加油油气回收系统及油气回收处理系统）；洗车间位于加油区西侧，仓库（仓库西侧为闲置房）位于罐区北侧；按《汽车加油加气加氢站技术标准》GB50156-2021标准规定：油罐总储量为120m³，柴油储罐容积折半计入总容积为90m³，该站属三级加油站。</w:t>
            </w:r>
          </w:p>
        </w:tc>
      </w:tr>
      <w:tr w14:paraId="101AAC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1863" w:type="dxa"/>
            <w:gridSpan w:val="2"/>
            <w:vAlign w:val="top"/>
          </w:tcPr>
          <w:p w14:paraId="17A967BD">
            <w:pPr>
              <w:pStyle w:val="7"/>
              <w:spacing w:before="303" w:line="226" w:lineRule="auto"/>
              <w:ind w:left="516"/>
            </w:pPr>
            <w:r>
              <w:rPr>
                <w:spacing w:val="7"/>
              </w:rPr>
              <w:t>评价人员</w:t>
            </w:r>
          </w:p>
        </w:tc>
        <w:tc>
          <w:tcPr>
            <w:tcW w:w="5163" w:type="dxa"/>
            <w:gridSpan w:val="2"/>
            <w:vAlign w:val="top"/>
          </w:tcPr>
          <w:p w14:paraId="2BFFD54D">
            <w:pPr>
              <w:pStyle w:val="7"/>
              <w:spacing w:before="303" w:line="228" w:lineRule="auto"/>
              <w:ind w:left="2273"/>
            </w:pPr>
            <w:r>
              <w:t>姓</w:t>
            </w:r>
            <w:r>
              <w:rPr>
                <w:spacing w:val="10"/>
              </w:rPr>
              <w:t xml:space="preserve">  </w:t>
            </w:r>
            <w:r>
              <w:t>名</w:t>
            </w:r>
          </w:p>
        </w:tc>
        <w:tc>
          <w:tcPr>
            <w:tcW w:w="1928" w:type="dxa"/>
            <w:vAlign w:val="top"/>
          </w:tcPr>
          <w:p w14:paraId="7E0C50CA">
            <w:pPr>
              <w:pStyle w:val="7"/>
              <w:spacing w:before="303" w:line="229" w:lineRule="auto"/>
              <w:ind w:left="761"/>
            </w:pPr>
            <w:r>
              <w:rPr>
                <w:spacing w:val="3"/>
              </w:rPr>
              <w:t>备注</w:t>
            </w:r>
          </w:p>
        </w:tc>
      </w:tr>
      <w:tr w14:paraId="6B4D24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1863" w:type="dxa"/>
            <w:gridSpan w:val="2"/>
            <w:vAlign w:val="top"/>
          </w:tcPr>
          <w:p w14:paraId="152FE82C">
            <w:pPr>
              <w:pStyle w:val="7"/>
              <w:spacing w:before="101" w:line="228" w:lineRule="auto"/>
              <w:ind w:left="415"/>
            </w:pPr>
            <w:r>
              <w:rPr>
                <w:spacing w:val="7"/>
              </w:rPr>
              <w:t>项目负责人</w:t>
            </w:r>
          </w:p>
        </w:tc>
        <w:tc>
          <w:tcPr>
            <w:tcW w:w="5163" w:type="dxa"/>
            <w:gridSpan w:val="2"/>
            <w:vAlign w:val="top"/>
          </w:tcPr>
          <w:p w14:paraId="7F1DFC3C">
            <w:pPr>
              <w:pStyle w:val="7"/>
              <w:spacing w:before="101" w:line="228" w:lineRule="auto"/>
              <w:ind w:left="2280"/>
            </w:pPr>
            <w:r>
              <w:rPr>
                <w:spacing w:val="4"/>
              </w:rPr>
              <w:t>马琳琳</w:t>
            </w:r>
          </w:p>
        </w:tc>
        <w:tc>
          <w:tcPr>
            <w:tcW w:w="1928" w:type="dxa"/>
            <w:vAlign w:val="top"/>
          </w:tcPr>
          <w:p w14:paraId="1BED8A66">
            <w:pPr>
              <w:rPr>
                <w:rFonts w:ascii="Arial"/>
                <w:sz w:val="21"/>
              </w:rPr>
            </w:pPr>
          </w:p>
        </w:tc>
      </w:tr>
      <w:tr w14:paraId="700ADF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863" w:type="dxa"/>
            <w:gridSpan w:val="2"/>
            <w:vMerge w:val="restart"/>
            <w:tcBorders>
              <w:bottom w:val="nil"/>
            </w:tcBorders>
            <w:vAlign w:val="top"/>
          </w:tcPr>
          <w:p w14:paraId="31978535">
            <w:pPr>
              <w:spacing w:line="259" w:lineRule="auto"/>
              <w:rPr>
                <w:rFonts w:ascii="Arial"/>
                <w:sz w:val="21"/>
              </w:rPr>
            </w:pPr>
          </w:p>
          <w:p w14:paraId="07194E52">
            <w:pPr>
              <w:spacing w:line="260" w:lineRule="auto"/>
              <w:rPr>
                <w:rFonts w:ascii="Arial"/>
                <w:sz w:val="21"/>
              </w:rPr>
            </w:pPr>
          </w:p>
          <w:p w14:paraId="2EEB3D8A">
            <w:pPr>
              <w:spacing w:line="260" w:lineRule="auto"/>
              <w:rPr>
                <w:rFonts w:ascii="Arial"/>
                <w:sz w:val="21"/>
              </w:rPr>
            </w:pPr>
          </w:p>
          <w:p w14:paraId="35731B8D">
            <w:pPr>
              <w:pStyle w:val="7"/>
              <w:spacing w:before="65" w:line="228" w:lineRule="auto"/>
              <w:ind w:left="415"/>
            </w:pPr>
            <w:r>
              <w:rPr>
                <w:spacing w:val="7"/>
              </w:rPr>
              <w:t>项目组成员</w:t>
            </w:r>
          </w:p>
        </w:tc>
        <w:tc>
          <w:tcPr>
            <w:tcW w:w="5163" w:type="dxa"/>
            <w:gridSpan w:val="2"/>
            <w:vAlign w:val="top"/>
          </w:tcPr>
          <w:p w14:paraId="1B2595E1">
            <w:pPr>
              <w:pStyle w:val="7"/>
              <w:spacing w:before="130" w:line="229" w:lineRule="auto"/>
              <w:ind w:firstLine="2400" w:firstLineChars="1200"/>
              <w:rPr>
                <w:rFonts w:hint="eastAsia" w:eastAsia="宋体"/>
                <w:lang w:eastAsia="zh-CN"/>
              </w:rPr>
            </w:pPr>
            <w:r>
              <w:rPr>
                <w:rFonts w:hint="eastAsia"/>
                <w:lang w:val="en-US" w:eastAsia="zh-CN"/>
              </w:rPr>
              <w:t>辛 磊</w:t>
            </w:r>
          </w:p>
        </w:tc>
        <w:tc>
          <w:tcPr>
            <w:tcW w:w="1928" w:type="dxa"/>
            <w:vAlign w:val="top"/>
          </w:tcPr>
          <w:p w14:paraId="3AAF62AC">
            <w:pPr>
              <w:rPr>
                <w:rFonts w:ascii="Arial"/>
                <w:sz w:val="21"/>
              </w:rPr>
            </w:pPr>
          </w:p>
        </w:tc>
      </w:tr>
      <w:tr w14:paraId="1746B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863" w:type="dxa"/>
            <w:gridSpan w:val="2"/>
            <w:vMerge w:val="continue"/>
            <w:tcBorders>
              <w:top w:val="nil"/>
              <w:bottom w:val="nil"/>
            </w:tcBorders>
            <w:vAlign w:val="top"/>
          </w:tcPr>
          <w:p w14:paraId="218410DB">
            <w:pPr>
              <w:rPr>
                <w:rFonts w:ascii="Arial"/>
                <w:sz w:val="21"/>
              </w:rPr>
            </w:pPr>
          </w:p>
        </w:tc>
        <w:tc>
          <w:tcPr>
            <w:tcW w:w="5163" w:type="dxa"/>
            <w:gridSpan w:val="2"/>
            <w:vAlign w:val="top"/>
          </w:tcPr>
          <w:p w14:paraId="050B3E77">
            <w:pPr>
              <w:pStyle w:val="7"/>
              <w:spacing w:before="130" w:line="228" w:lineRule="auto"/>
              <w:ind w:left="2272"/>
              <w:rPr>
                <w:rFonts w:hint="eastAsia" w:eastAsia="宋体"/>
                <w:lang w:val="en-US" w:eastAsia="zh-CN"/>
              </w:rPr>
            </w:pPr>
            <w:r>
              <w:rPr>
                <w:rFonts w:hint="eastAsia"/>
                <w:lang w:val="en-US" w:eastAsia="zh-CN"/>
              </w:rPr>
              <w:t>刘卫国</w:t>
            </w:r>
          </w:p>
        </w:tc>
        <w:tc>
          <w:tcPr>
            <w:tcW w:w="1928" w:type="dxa"/>
            <w:vAlign w:val="top"/>
          </w:tcPr>
          <w:p w14:paraId="669730D4">
            <w:pPr>
              <w:rPr>
                <w:rFonts w:ascii="Arial"/>
                <w:sz w:val="21"/>
              </w:rPr>
            </w:pPr>
          </w:p>
        </w:tc>
      </w:tr>
      <w:tr w14:paraId="4C64DF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863" w:type="dxa"/>
            <w:gridSpan w:val="2"/>
            <w:vMerge w:val="continue"/>
            <w:tcBorders>
              <w:top w:val="nil"/>
              <w:bottom w:val="nil"/>
            </w:tcBorders>
            <w:vAlign w:val="top"/>
          </w:tcPr>
          <w:p w14:paraId="6C4188F0">
            <w:pPr>
              <w:rPr>
                <w:rFonts w:ascii="Arial"/>
                <w:sz w:val="21"/>
              </w:rPr>
            </w:pPr>
          </w:p>
        </w:tc>
        <w:tc>
          <w:tcPr>
            <w:tcW w:w="5163" w:type="dxa"/>
            <w:gridSpan w:val="2"/>
            <w:vAlign w:val="top"/>
          </w:tcPr>
          <w:p w14:paraId="4E7A6962">
            <w:pPr>
              <w:pStyle w:val="7"/>
              <w:spacing w:before="132" w:line="227" w:lineRule="auto"/>
              <w:ind w:left="2378"/>
            </w:pPr>
            <w:r>
              <w:rPr>
                <w:spacing w:val="3"/>
              </w:rPr>
              <w:t>王静</w:t>
            </w:r>
          </w:p>
        </w:tc>
        <w:tc>
          <w:tcPr>
            <w:tcW w:w="1928" w:type="dxa"/>
            <w:vAlign w:val="top"/>
          </w:tcPr>
          <w:p w14:paraId="311C5BE8">
            <w:pPr>
              <w:rPr>
                <w:rFonts w:ascii="Arial"/>
                <w:sz w:val="21"/>
              </w:rPr>
            </w:pPr>
          </w:p>
        </w:tc>
      </w:tr>
      <w:tr w14:paraId="09866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863" w:type="dxa"/>
            <w:gridSpan w:val="2"/>
            <w:vMerge w:val="continue"/>
            <w:tcBorders>
              <w:top w:val="nil"/>
            </w:tcBorders>
            <w:vAlign w:val="top"/>
          </w:tcPr>
          <w:p w14:paraId="58580295">
            <w:pPr>
              <w:rPr>
                <w:rFonts w:ascii="Arial"/>
                <w:sz w:val="21"/>
              </w:rPr>
            </w:pPr>
          </w:p>
        </w:tc>
        <w:tc>
          <w:tcPr>
            <w:tcW w:w="5163" w:type="dxa"/>
            <w:gridSpan w:val="2"/>
            <w:vAlign w:val="top"/>
          </w:tcPr>
          <w:p w14:paraId="6B34158D">
            <w:pPr>
              <w:pStyle w:val="7"/>
              <w:spacing w:before="132" w:line="228" w:lineRule="auto"/>
              <w:ind w:left="2273"/>
              <w:rPr>
                <w:rFonts w:hint="eastAsia" w:eastAsia="宋体"/>
                <w:lang w:eastAsia="zh-CN"/>
              </w:rPr>
            </w:pPr>
            <w:r>
              <w:rPr>
                <w:rFonts w:hint="eastAsia"/>
                <w:spacing w:val="6"/>
                <w:lang w:val="en-US" w:eastAsia="zh-CN"/>
              </w:rPr>
              <w:t>赵云峰</w:t>
            </w:r>
          </w:p>
        </w:tc>
        <w:tc>
          <w:tcPr>
            <w:tcW w:w="1928" w:type="dxa"/>
            <w:vAlign w:val="top"/>
          </w:tcPr>
          <w:p w14:paraId="3E3EAFA0">
            <w:pPr>
              <w:rPr>
                <w:rFonts w:ascii="Arial"/>
                <w:sz w:val="21"/>
              </w:rPr>
            </w:pPr>
          </w:p>
        </w:tc>
      </w:tr>
      <w:tr w14:paraId="026F77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4" w:hRule="atLeast"/>
        </w:trPr>
        <w:tc>
          <w:tcPr>
            <w:tcW w:w="1863" w:type="dxa"/>
            <w:gridSpan w:val="2"/>
            <w:vAlign w:val="top"/>
          </w:tcPr>
          <w:p w14:paraId="76B80D44">
            <w:pPr>
              <w:pStyle w:val="7"/>
              <w:spacing w:before="95" w:line="226" w:lineRule="auto"/>
              <w:ind w:left="410"/>
            </w:pPr>
            <w:r>
              <w:rPr>
                <w:spacing w:val="8"/>
              </w:rPr>
              <w:t>报告编制人</w:t>
            </w:r>
          </w:p>
        </w:tc>
        <w:tc>
          <w:tcPr>
            <w:tcW w:w="5163" w:type="dxa"/>
            <w:gridSpan w:val="2"/>
            <w:vAlign w:val="top"/>
          </w:tcPr>
          <w:p w14:paraId="4EE98977">
            <w:pPr>
              <w:pStyle w:val="7"/>
              <w:spacing w:before="96" w:line="228" w:lineRule="auto"/>
              <w:ind w:left="2280"/>
              <w:rPr>
                <w:rFonts w:hint="default" w:eastAsia="宋体"/>
                <w:lang w:val="en-US" w:eastAsia="zh-CN"/>
              </w:rPr>
            </w:pPr>
            <w:r>
              <w:rPr>
                <w:spacing w:val="4"/>
              </w:rPr>
              <w:t>马琳琳</w:t>
            </w:r>
          </w:p>
        </w:tc>
        <w:tc>
          <w:tcPr>
            <w:tcW w:w="1928" w:type="dxa"/>
            <w:vAlign w:val="top"/>
          </w:tcPr>
          <w:p w14:paraId="0C0B7CC2">
            <w:pPr>
              <w:rPr>
                <w:rFonts w:ascii="Arial"/>
                <w:sz w:val="21"/>
              </w:rPr>
            </w:pPr>
          </w:p>
        </w:tc>
      </w:tr>
      <w:tr w14:paraId="4B5EB8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863" w:type="dxa"/>
            <w:gridSpan w:val="2"/>
            <w:vAlign w:val="top"/>
          </w:tcPr>
          <w:p w14:paraId="36751E35">
            <w:pPr>
              <w:pStyle w:val="7"/>
              <w:spacing w:before="97" w:line="226" w:lineRule="auto"/>
              <w:ind w:left="410"/>
            </w:pPr>
            <w:r>
              <w:rPr>
                <w:spacing w:val="8"/>
              </w:rPr>
              <w:t>报告审核人</w:t>
            </w:r>
          </w:p>
        </w:tc>
        <w:tc>
          <w:tcPr>
            <w:tcW w:w="5163" w:type="dxa"/>
            <w:gridSpan w:val="2"/>
            <w:vAlign w:val="top"/>
          </w:tcPr>
          <w:p w14:paraId="007E677D">
            <w:pPr>
              <w:pStyle w:val="7"/>
              <w:spacing w:before="97" w:line="229" w:lineRule="auto"/>
              <w:ind w:left="2376"/>
              <w:rPr>
                <w:rFonts w:hint="eastAsia" w:eastAsia="宋体"/>
                <w:lang w:eastAsia="zh-CN"/>
              </w:rPr>
            </w:pPr>
            <w:r>
              <w:rPr>
                <w:rFonts w:hint="eastAsia"/>
                <w:spacing w:val="4"/>
                <w:lang w:val="en-US" w:eastAsia="zh-CN"/>
              </w:rPr>
              <w:t>赵燕</w:t>
            </w:r>
          </w:p>
        </w:tc>
        <w:tc>
          <w:tcPr>
            <w:tcW w:w="1928" w:type="dxa"/>
            <w:vAlign w:val="top"/>
          </w:tcPr>
          <w:p w14:paraId="70C89C38">
            <w:pPr>
              <w:rPr>
                <w:rFonts w:ascii="Arial"/>
                <w:sz w:val="21"/>
              </w:rPr>
            </w:pPr>
          </w:p>
        </w:tc>
      </w:tr>
      <w:tr w14:paraId="66CB0A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1863" w:type="dxa"/>
            <w:gridSpan w:val="2"/>
            <w:vAlign w:val="top"/>
          </w:tcPr>
          <w:p w14:paraId="467D9B38">
            <w:pPr>
              <w:pStyle w:val="7"/>
              <w:spacing w:before="110" w:line="228" w:lineRule="auto"/>
              <w:ind w:left="203"/>
            </w:pPr>
            <w:r>
              <w:rPr>
                <w:spacing w:val="8"/>
              </w:rPr>
              <w:t>过程控制负责人</w:t>
            </w:r>
          </w:p>
        </w:tc>
        <w:tc>
          <w:tcPr>
            <w:tcW w:w="5163" w:type="dxa"/>
            <w:gridSpan w:val="2"/>
            <w:vAlign w:val="top"/>
          </w:tcPr>
          <w:p w14:paraId="157CCBC9">
            <w:pPr>
              <w:pStyle w:val="7"/>
              <w:spacing w:before="110" w:line="229" w:lineRule="auto"/>
              <w:ind w:left="2272"/>
            </w:pPr>
            <w:r>
              <w:rPr>
                <w:spacing w:val="7"/>
              </w:rPr>
              <w:t>刘云红</w:t>
            </w:r>
          </w:p>
        </w:tc>
        <w:tc>
          <w:tcPr>
            <w:tcW w:w="1928" w:type="dxa"/>
            <w:vAlign w:val="top"/>
          </w:tcPr>
          <w:p w14:paraId="16925B08">
            <w:pPr>
              <w:rPr>
                <w:rFonts w:ascii="Arial"/>
                <w:sz w:val="21"/>
              </w:rPr>
            </w:pPr>
          </w:p>
        </w:tc>
      </w:tr>
      <w:tr w14:paraId="38CF69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863" w:type="dxa"/>
            <w:gridSpan w:val="2"/>
            <w:vAlign w:val="top"/>
          </w:tcPr>
          <w:p w14:paraId="72873030">
            <w:pPr>
              <w:pStyle w:val="7"/>
              <w:spacing w:before="96" w:line="228" w:lineRule="auto"/>
              <w:ind w:left="412"/>
            </w:pPr>
            <w:r>
              <w:rPr>
                <w:spacing w:val="7"/>
              </w:rPr>
              <w:t>技术负责人</w:t>
            </w:r>
          </w:p>
        </w:tc>
        <w:tc>
          <w:tcPr>
            <w:tcW w:w="5163" w:type="dxa"/>
            <w:gridSpan w:val="2"/>
            <w:vAlign w:val="top"/>
          </w:tcPr>
          <w:p w14:paraId="626DB1B1">
            <w:pPr>
              <w:pStyle w:val="7"/>
              <w:spacing w:before="96" w:line="228" w:lineRule="auto"/>
              <w:ind w:left="2272" w:firstLine="214" w:firstLineChars="100"/>
              <w:rPr>
                <w:rFonts w:hint="eastAsia" w:eastAsia="宋体"/>
                <w:lang w:eastAsia="zh-CN"/>
              </w:rPr>
            </w:pPr>
            <w:r>
              <w:rPr>
                <w:rFonts w:hint="eastAsia"/>
                <w:spacing w:val="7"/>
                <w:lang w:val="en-US" w:eastAsia="zh-CN"/>
              </w:rPr>
              <w:t>孙虎</w:t>
            </w:r>
          </w:p>
        </w:tc>
        <w:tc>
          <w:tcPr>
            <w:tcW w:w="1928" w:type="dxa"/>
            <w:vAlign w:val="top"/>
          </w:tcPr>
          <w:p w14:paraId="13C305BE">
            <w:pPr>
              <w:rPr>
                <w:rFonts w:ascii="Arial"/>
                <w:sz w:val="21"/>
              </w:rPr>
            </w:pPr>
          </w:p>
        </w:tc>
      </w:tr>
      <w:tr w14:paraId="39BC8E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1863" w:type="dxa"/>
            <w:gridSpan w:val="2"/>
            <w:vMerge w:val="restart"/>
            <w:tcBorders>
              <w:bottom w:val="nil"/>
            </w:tcBorders>
            <w:vAlign w:val="top"/>
          </w:tcPr>
          <w:p w14:paraId="08DD3268">
            <w:pPr>
              <w:pStyle w:val="7"/>
              <w:spacing w:before="263" w:line="228" w:lineRule="auto"/>
              <w:ind w:left="518"/>
            </w:pPr>
            <w:r>
              <w:rPr>
                <w:spacing w:val="7"/>
              </w:rPr>
              <w:t>技术专家</w:t>
            </w:r>
          </w:p>
          <w:p w14:paraId="1D7CFC9B">
            <w:pPr>
              <w:pStyle w:val="7"/>
              <w:spacing w:before="64" w:line="228" w:lineRule="auto"/>
              <w:ind w:left="205"/>
            </w:pPr>
            <w:r>
              <w:rPr>
                <w:spacing w:val="8"/>
              </w:rPr>
              <w:t>或有关技术人员</w:t>
            </w:r>
          </w:p>
        </w:tc>
        <w:tc>
          <w:tcPr>
            <w:tcW w:w="5163" w:type="dxa"/>
            <w:gridSpan w:val="2"/>
            <w:vAlign w:val="top"/>
          </w:tcPr>
          <w:p w14:paraId="72075C6B">
            <w:pPr>
              <w:rPr>
                <w:rFonts w:ascii="Arial"/>
                <w:sz w:val="21"/>
              </w:rPr>
            </w:pPr>
          </w:p>
        </w:tc>
        <w:tc>
          <w:tcPr>
            <w:tcW w:w="1928" w:type="dxa"/>
            <w:vAlign w:val="top"/>
          </w:tcPr>
          <w:p w14:paraId="6A20BCC0">
            <w:pPr>
              <w:rPr>
                <w:rFonts w:ascii="Arial"/>
                <w:sz w:val="21"/>
              </w:rPr>
            </w:pPr>
          </w:p>
        </w:tc>
      </w:tr>
      <w:tr w14:paraId="0F586A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863" w:type="dxa"/>
            <w:gridSpan w:val="2"/>
            <w:vMerge w:val="continue"/>
            <w:tcBorders>
              <w:top w:val="nil"/>
              <w:bottom w:val="nil"/>
            </w:tcBorders>
            <w:vAlign w:val="top"/>
          </w:tcPr>
          <w:p w14:paraId="67789B26">
            <w:pPr>
              <w:rPr>
                <w:rFonts w:ascii="Arial"/>
                <w:sz w:val="21"/>
              </w:rPr>
            </w:pPr>
          </w:p>
        </w:tc>
        <w:tc>
          <w:tcPr>
            <w:tcW w:w="5163" w:type="dxa"/>
            <w:gridSpan w:val="2"/>
            <w:vAlign w:val="top"/>
          </w:tcPr>
          <w:p w14:paraId="68F253BF">
            <w:pPr>
              <w:rPr>
                <w:rFonts w:ascii="Arial"/>
                <w:sz w:val="21"/>
              </w:rPr>
            </w:pPr>
          </w:p>
        </w:tc>
        <w:tc>
          <w:tcPr>
            <w:tcW w:w="1928" w:type="dxa"/>
            <w:vAlign w:val="top"/>
          </w:tcPr>
          <w:p w14:paraId="776B5F62">
            <w:pPr>
              <w:rPr>
                <w:rFonts w:ascii="Arial"/>
                <w:sz w:val="21"/>
              </w:rPr>
            </w:pPr>
          </w:p>
        </w:tc>
      </w:tr>
      <w:tr w14:paraId="4BCA27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863" w:type="dxa"/>
            <w:gridSpan w:val="2"/>
            <w:vMerge w:val="continue"/>
            <w:tcBorders>
              <w:top w:val="nil"/>
            </w:tcBorders>
            <w:vAlign w:val="top"/>
          </w:tcPr>
          <w:p w14:paraId="5CF8F96C">
            <w:pPr>
              <w:rPr>
                <w:rFonts w:ascii="Arial"/>
                <w:sz w:val="21"/>
              </w:rPr>
            </w:pPr>
          </w:p>
        </w:tc>
        <w:tc>
          <w:tcPr>
            <w:tcW w:w="5163" w:type="dxa"/>
            <w:gridSpan w:val="2"/>
            <w:vAlign w:val="top"/>
          </w:tcPr>
          <w:p w14:paraId="19C4C330">
            <w:pPr>
              <w:rPr>
                <w:rFonts w:ascii="Arial"/>
                <w:sz w:val="21"/>
              </w:rPr>
            </w:pPr>
          </w:p>
        </w:tc>
        <w:tc>
          <w:tcPr>
            <w:tcW w:w="1928" w:type="dxa"/>
            <w:vAlign w:val="top"/>
          </w:tcPr>
          <w:p w14:paraId="58039929">
            <w:pPr>
              <w:rPr>
                <w:rFonts w:ascii="Arial"/>
                <w:sz w:val="21"/>
              </w:rPr>
            </w:pPr>
          </w:p>
        </w:tc>
      </w:tr>
      <w:tr w14:paraId="56380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863" w:type="dxa"/>
            <w:gridSpan w:val="2"/>
            <w:vMerge w:val="restart"/>
            <w:tcBorders>
              <w:bottom w:val="nil"/>
            </w:tcBorders>
            <w:vAlign w:val="center"/>
          </w:tcPr>
          <w:p w14:paraId="5E6B1A3C">
            <w:pPr>
              <w:pStyle w:val="7"/>
              <w:spacing w:before="65" w:line="273" w:lineRule="auto"/>
              <w:ind w:left="199" w:leftChars="95" w:right="194" w:firstLine="0" w:firstLineChars="0"/>
              <w:jc w:val="both"/>
            </w:pPr>
            <w:r>
              <w:rPr>
                <w:spacing w:val="7"/>
              </w:rPr>
              <w:t>到现场开展安全</w:t>
            </w:r>
            <w:r>
              <w:rPr>
                <w:spacing w:val="8"/>
              </w:rPr>
              <w:t>评价工作情况</w:t>
            </w:r>
          </w:p>
        </w:tc>
        <w:tc>
          <w:tcPr>
            <w:tcW w:w="1662" w:type="dxa"/>
            <w:vAlign w:val="top"/>
          </w:tcPr>
          <w:p w14:paraId="7F79C387">
            <w:pPr>
              <w:pStyle w:val="7"/>
              <w:spacing w:before="95" w:line="230" w:lineRule="auto"/>
              <w:ind w:left="531"/>
            </w:pPr>
            <w:r>
              <w:rPr>
                <w:spacing w:val="-5"/>
              </w:rPr>
              <w:t>时</w:t>
            </w:r>
            <w:r>
              <w:rPr>
                <w:spacing w:val="17"/>
              </w:rPr>
              <w:t xml:space="preserve">  </w:t>
            </w:r>
            <w:r>
              <w:rPr>
                <w:spacing w:val="-5"/>
              </w:rPr>
              <w:t>间</w:t>
            </w:r>
          </w:p>
        </w:tc>
        <w:tc>
          <w:tcPr>
            <w:tcW w:w="3501" w:type="dxa"/>
            <w:vAlign w:val="top"/>
          </w:tcPr>
          <w:p w14:paraId="483CCCD0">
            <w:pPr>
              <w:pStyle w:val="7"/>
              <w:spacing w:before="96" w:line="228" w:lineRule="auto"/>
              <w:ind w:left="1027"/>
            </w:pPr>
            <w:r>
              <w:rPr>
                <w:spacing w:val="7"/>
              </w:rPr>
              <w:t>到现场主要人员</w:t>
            </w:r>
          </w:p>
        </w:tc>
        <w:tc>
          <w:tcPr>
            <w:tcW w:w="1928" w:type="dxa"/>
            <w:vAlign w:val="top"/>
          </w:tcPr>
          <w:p w14:paraId="5D4B95EA">
            <w:pPr>
              <w:pStyle w:val="7"/>
              <w:spacing w:before="95" w:line="228" w:lineRule="auto"/>
              <w:ind w:left="551"/>
            </w:pPr>
            <w:r>
              <w:rPr>
                <w:spacing w:val="6"/>
              </w:rPr>
              <w:t>主要任务</w:t>
            </w:r>
          </w:p>
        </w:tc>
      </w:tr>
      <w:tr w14:paraId="5D5E9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863" w:type="dxa"/>
            <w:gridSpan w:val="2"/>
            <w:vMerge w:val="continue"/>
            <w:tcBorders>
              <w:top w:val="nil"/>
              <w:bottom w:val="nil"/>
            </w:tcBorders>
            <w:vAlign w:val="top"/>
          </w:tcPr>
          <w:p w14:paraId="29ED0F8C">
            <w:pPr>
              <w:rPr>
                <w:rFonts w:ascii="Arial"/>
                <w:sz w:val="21"/>
              </w:rPr>
            </w:pPr>
          </w:p>
        </w:tc>
        <w:tc>
          <w:tcPr>
            <w:tcW w:w="1662" w:type="dxa"/>
            <w:vAlign w:val="top"/>
          </w:tcPr>
          <w:p w14:paraId="16F22D48">
            <w:pPr>
              <w:spacing w:before="166" w:line="195" w:lineRule="auto"/>
              <w:ind w:left="412"/>
              <w:rPr>
                <w:rFonts w:hint="default" w:ascii="Times New Roman" w:hAnsi="Times New Roman" w:eastAsia="宋体" w:cs="Times New Roman"/>
                <w:sz w:val="20"/>
                <w:szCs w:val="20"/>
                <w:lang w:val="en-US" w:eastAsia="zh-CN"/>
              </w:rPr>
            </w:pPr>
            <w:r>
              <w:rPr>
                <w:rFonts w:ascii="Times New Roman" w:hAnsi="Times New Roman" w:eastAsia="Times New Roman" w:cs="Times New Roman"/>
                <w:spacing w:val="4"/>
                <w:sz w:val="20"/>
                <w:szCs w:val="20"/>
              </w:rPr>
              <w:t>202</w:t>
            </w:r>
            <w:r>
              <w:rPr>
                <w:rFonts w:hint="eastAsia" w:ascii="Times New Roman" w:hAnsi="Times New Roman" w:eastAsia="宋体" w:cs="Times New Roman"/>
                <w:spacing w:val="4"/>
                <w:sz w:val="20"/>
                <w:szCs w:val="20"/>
                <w:lang w:val="en-US" w:eastAsia="zh-CN"/>
              </w:rPr>
              <w:t>6.3.9</w:t>
            </w:r>
          </w:p>
        </w:tc>
        <w:tc>
          <w:tcPr>
            <w:tcW w:w="3501" w:type="dxa"/>
            <w:vAlign w:val="top"/>
          </w:tcPr>
          <w:p w14:paraId="4B9D466E">
            <w:pPr>
              <w:pStyle w:val="7"/>
              <w:spacing w:before="130" w:line="227" w:lineRule="auto"/>
              <w:ind w:left="121"/>
              <w:rPr>
                <w:rFonts w:hint="eastAsia" w:eastAsia="宋体"/>
                <w:lang w:eastAsia="zh-CN"/>
              </w:rPr>
            </w:pPr>
            <w:r>
              <w:rPr>
                <w:spacing w:val="4"/>
              </w:rPr>
              <w:t>马琳琳</w:t>
            </w:r>
            <w:r>
              <w:rPr>
                <w:spacing w:val="11"/>
              </w:rPr>
              <w:t xml:space="preserve">  </w:t>
            </w:r>
            <w:r>
              <w:rPr>
                <w:rFonts w:hint="eastAsia"/>
                <w:spacing w:val="4"/>
                <w:lang w:val="en-US" w:eastAsia="zh-CN"/>
              </w:rPr>
              <w:t>辛磊</w:t>
            </w:r>
          </w:p>
        </w:tc>
        <w:tc>
          <w:tcPr>
            <w:tcW w:w="1928" w:type="dxa"/>
            <w:vAlign w:val="top"/>
          </w:tcPr>
          <w:p w14:paraId="7D020708">
            <w:pPr>
              <w:pStyle w:val="7"/>
              <w:spacing w:before="131" w:line="228" w:lineRule="auto"/>
              <w:ind w:left="757"/>
            </w:pPr>
            <w:r>
              <w:rPr>
                <w:spacing w:val="5"/>
              </w:rPr>
              <w:t>初访</w:t>
            </w:r>
          </w:p>
        </w:tc>
      </w:tr>
      <w:tr w14:paraId="4C1335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863" w:type="dxa"/>
            <w:gridSpan w:val="2"/>
            <w:vMerge w:val="continue"/>
            <w:tcBorders>
              <w:top w:val="nil"/>
              <w:bottom w:val="nil"/>
            </w:tcBorders>
            <w:vAlign w:val="top"/>
          </w:tcPr>
          <w:p w14:paraId="4740BB20">
            <w:pPr>
              <w:rPr>
                <w:rFonts w:ascii="Arial"/>
                <w:sz w:val="21"/>
              </w:rPr>
            </w:pPr>
          </w:p>
        </w:tc>
        <w:tc>
          <w:tcPr>
            <w:tcW w:w="1662" w:type="dxa"/>
            <w:vAlign w:val="top"/>
          </w:tcPr>
          <w:p w14:paraId="026CA10C">
            <w:pPr>
              <w:spacing w:before="167" w:line="195" w:lineRule="auto"/>
              <w:ind w:left="412"/>
              <w:rPr>
                <w:rFonts w:hint="default" w:ascii="Times New Roman" w:hAnsi="Times New Roman" w:eastAsia="宋体" w:cs="Times New Roman"/>
                <w:sz w:val="20"/>
                <w:szCs w:val="20"/>
                <w:lang w:val="en-US" w:eastAsia="zh-CN"/>
              </w:rPr>
            </w:pPr>
            <w:r>
              <w:rPr>
                <w:rFonts w:ascii="Times New Roman" w:hAnsi="Times New Roman" w:eastAsia="Times New Roman" w:cs="Times New Roman"/>
                <w:spacing w:val="4"/>
                <w:sz w:val="20"/>
                <w:szCs w:val="20"/>
              </w:rPr>
              <w:t>202</w:t>
            </w:r>
            <w:r>
              <w:rPr>
                <w:rFonts w:hint="eastAsia" w:ascii="Times New Roman" w:hAnsi="Times New Roman" w:eastAsia="宋体" w:cs="Times New Roman"/>
                <w:spacing w:val="4"/>
                <w:sz w:val="20"/>
                <w:szCs w:val="20"/>
                <w:lang w:val="en-US" w:eastAsia="zh-CN"/>
              </w:rPr>
              <w:t>6.3.16</w:t>
            </w:r>
          </w:p>
        </w:tc>
        <w:tc>
          <w:tcPr>
            <w:tcW w:w="3501" w:type="dxa"/>
            <w:vAlign w:val="top"/>
          </w:tcPr>
          <w:p w14:paraId="17887980">
            <w:pPr>
              <w:pStyle w:val="7"/>
              <w:spacing w:before="131" w:line="227" w:lineRule="auto"/>
              <w:ind w:left="121"/>
              <w:rPr>
                <w:rFonts w:hint="eastAsia" w:eastAsia="宋体"/>
                <w:lang w:val="en-US" w:eastAsia="zh-CN"/>
              </w:rPr>
            </w:pPr>
            <w:r>
              <w:rPr>
                <w:spacing w:val="4"/>
              </w:rPr>
              <w:t>马琳琳</w:t>
            </w:r>
            <w:r>
              <w:rPr>
                <w:spacing w:val="11"/>
              </w:rPr>
              <w:t xml:space="preserve">  </w:t>
            </w:r>
            <w:r>
              <w:rPr>
                <w:rFonts w:hint="eastAsia"/>
                <w:spacing w:val="11"/>
                <w:lang w:val="en-US" w:eastAsia="zh-CN"/>
              </w:rPr>
              <w:t>辛磊</w:t>
            </w:r>
          </w:p>
        </w:tc>
        <w:tc>
          <w:tcPr>
            <w:tcW w:w="1928" w:type="dxa"/>
            <w:vAlign w:val="top"/>
          </w:tcPr>
          <w:p w14:paraId="4B38081B">
            <w:pPr>
              <w:pStyle w:val="7"/>
              <w:spacing w:before="131" w:line="228" w:lineRule="auto"/>
              <w:ind w:left="551"/>
            </w:pPr>
            <w:r>
              <w:rPr>
                <w:spacing w:val="6"/>
              </w:rPr>
              <w:t>现场考察</w:t>
            </w:r>
          </w:p>
        </w:tc>
      </w:tr>
      <w:tr w14:paraId="335FB1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863" w:type="dxa"/>
            <w:gridSpan w:val="2"/>
            <w:vMerge w:val="continue"/>
            <w:tcBorders>
              <w:top w:val="nil"/>
              <w:bottom w:val="nil"/>
            </w:tcBorders>
            <w:vAlign w:val="top"/>
          </w:tcPr>
          <w:p w14:paraId="152518A9">
            <w:pPr>
              <w:rPr>
                <w:rFonts w:ascii="Arial"/>
                <w:sz w:val="21"/>
              </w:rPr>
            </w:pPr>
          </w:p>
        </w:tc>
        <w:tc>
          <w:tcPr>
            <w:tcW w:w="1662" w:type="dxa"/>
            <w:vAlign w:val="top"/>
          </w:tcPr>
          <w:p w14:paraId="47C492BB">
            <w:pPr>
              <w:spacing w:before="167" w:line="195" w:lineRule="auto"/>
              <w:ind w:left="412"/>
              <w:rPr>
                <w:rFonts w:hint="default" w:ascii="Times New Roman" w:hAnsi="Times New Roman" w:eastAsia="宋体" w:cs="Times New Roman"/>
                <w:sz w:val="20"/>
                <w:szCs w:val="20"/>
                <w:lang w:val="en-US" w:eastAsia="zh-CN"/>
              </w:rPr>
            </w:pPr>
            <w:r>
              <w:rPr>
                <w:rFonts w:ascii="Times New Roman" w:hAnsi="Times New Roman" w:eastAsia="Times New Roman" w:cs="Times New Roman"/>
                <w:spacing w:val="4"/>
                <w:sz w:val="20"/>
                <w:szCs w:val="20"/>
              </w:rPr>
              <w:t>202</w:t>
            </w:r>
            <w:r>
              <w:rPr>
                <w:rFonts w:hint="eastAsia" w:ascii="Times New Roman" w:hAnsi="Times New Roman" w:eastAsia="宋体" w:cs="Times New Roman"/>
                <w:spacing w:val="4"/>
                <w:sz w:val="20"/>
                <w:szCs w:val="20"/>
                <w:lang w:val="en-US" w:eastAsia="zh-CN"/>
              </w:rPr>
              <w:t>6.3.18</w:t>
            </w:r>
          </w:p>
        </w:tc>
        <w:tc>
          <w:tcPr>
            <w:tcW w:w="3501" w:type="dxa"/>
            <w:vAlign w:val="top"/>
          </w:tcPr>
          <w:p w14:paraId="305B2291">
            <w:pPr>
              <w:pStyle w:val="7"/>
              <w:spacing w:before="131" w:line="227" w:lineRule="auto"/>
              <w:ind w:left="121"/>
              <w:rPr>
                <w:rFonts w:hint="eastAsia" w:eastAsia="宋体"/>
                <w:lang w:val="en-US" w:eastAsia="zh-CN"/>
              </w:rPr>
            </w:pPr>
            <w:r>
              <w:rPr>
                <w:spacing w:val="4"/>
              </w:rPr>
              <w:t>马琳琳</w:t>
            </w:r>
            <w:r>
              <w:rPr>
                <w:spacing w:val="11"/>
              </w:rPr>
              <w:t xml:space="preserve">  </w:t>
            </w:r>
            <w:r>
              <w:rPr>
                <w:rFonts w:hint="eastAsia"/>
                <w:spacing w:val="11"/>
                <w:lang w:val="en-US" w:eastAsia="zh-CN"/>
              </w:rPr>
              <w:t>辛磊</w:t>
            </w:r>
          </w:p>
        </w:tc>
        <w:tc>
          <w:tcPr>
            <w:tcW w:w="1928" w:type="dxa"/>
            <w:vAlign w:val="top"/>
          </w:tcPr>
          <w:p w14:paraId="5BA9CFF0">
            <w:pPr>
              <w:pStyle w:val="7"/>
              <w:spacing w:before="130" w:line="228" w:lineRule="auto"/>
              <w:ind w:left="551"/>
            </w:pPr>
            <w:r>
              <w:rPr>
                <w:spacing w:val="6"/>
              </w:rPr>
              <w:t>现场检查</w:t>
            </w:r>
          </w:p>
        </w:tc>
      </w:tr>
      <w:tr w14:paraId="35F65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1863" w:type="dxa"/>
            <w:gridSpan w:val="2"/>
            <w:vMerge w:val="continue"/>
            <w:tcBorders>
              <w:top w:val="nil"/>
            </w:tcBorders>
            <w:vAlign w:val="top"/>
          </w:tcPr>
          <w:p w14:paraId="6A21231B">
            <w:pPr>
              <w:rPr>
                <w:rFonts w:ascii="Arial"/>
                <w:sz w:val="21"/>
              </w:rPr>
            </w:pPr>
          </w:p>
        </w:tc>
        <w:tc>
          <w:tcPr>
            <w:tcW w:w="1662" w:type="dxa"/>
            <w:vAlign w:val="top"/>
          </w:tcPr>
          <w:p w14:paraId="199E1799">
            <w:pPr>
              <w:rPr>
                <w:rFonts w:ascii="Arial"/>
                <w:sz w:val="21"/>
              </w:rPr>
            </w:pPr>
          </w:p>
        </w:tc>
        <w:tc>
          <w:tcPr>
            <w:tcW w:w="3501" w:type="dxa"/>
            <w:vAlign w:val="top"/>
          </w:tcPr>
          <w:p w14:paraId="58B293B0">
            <w:pPr>
              <w:rPr>
                <w:rFonts w:ascii="Arial"/>
                <w:sz w:val="21"/>
              </w:rPr>
            </w:pPr>
          </w:p>
        </w:tc>
        <w:tc>
          <w:tcPr>
            <w:tcW w:w="1928" w:type="dxa"/>
            <w:vAlign w:val="top"/>
          </w:tcPr>
          <w:p w14:paraId="257CB512">
            <w:pPr>
              <w:rPr>
                <w:rFonts w:ascii="Arial"/>
                <w:sz w:val="21"/>
              </w:rPr>
            </w:pPr>
          </w:p>
        </w:tc>
      </w:tr>
      <w:tr w14:paraId="3C6809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4" w:hRule="atLeast"/>
        </w:trPr>
        <w:tc>
          <w:tcPr>
            <w:tcW w:w="8954" w:type="dxa"/>
            <w:gridSpan w:val="5"/>
            <w:vAlign w:val="top"/>
          </w:tcPr>
          <w:p w14:paraId="1353F34E">
            <w:pPr>
              <w:pStyle w:val="7"/>
              <w:spacing w:before="98" w:line="226" w:lineRule="auto"/>
              <w:ind w:left="120"/>
              <w:rPr>
                <w:rFonts w:hint="default" w:ascii="Times New Roman" w:hAnsi="Times New Roman" w:eastAsia="宋体" w:cs="Times New Roman"/>
                <w:lang w:val="en-US" w:eastAsia="zh-CN"/>
              </w:rPr>
            </w:pPr>
            <w:r>
              <w:rPr>
                <w:spacing w:val="6"/>
              </w:rPr>
              <w:t>安全评价报告提交时间：</w:t>
            </w:r>
            <w:r>
              <w:rPr>
                <w:rFonts w:ascii="Times New Roman" w:hAnsi="Times New Roman" w:eastAsia="Times New Roman" w:cs="Times New Roman"/>
                <w:spacing w:val="6"/>
              </w:rPr>
              <w:t>202</w:t>
            </w:r>
            <w:r>
              <w:rPr>
                <w:rFonts w:hint="eastAsia" w:ascii="Times New Roman" w:hAnsi="Times New Roman" w:cs="Times New Roman"/>
                <w:spacing w:val="6"/>
                <w:lang w:val="en-US" w:eastAsia="zh-CN"/>
              </w:rPr>
              <w:t>6.3.28</w:t>
            </w:r>
          </w:p>
        </w:tc>
      </w:tr>
      <w:tr w14:paraId="76B2A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8954" w:type="dxa"/>
            <w:gridSpan w:val="5"/>
            <w:vAlign w:val="top"/>
          </w:tcPr>
          <w:p w14:paraId="282F6E8D">
            <w:pPr>
              <w:pStyle w:val="7"/>
              <w:spacing w:before="111" w:line="228" w:lineRule="auto"/>
              <w:ind w:left="117"/>
            </w:pPr>
            <w:r>
              <w:rPr>
                <w:spacing w:val="8"/>
              </w:rPr>
              <w:t>有必要公开的其它内容：</w:t>
            </w:r>
          </w:p>
        </w:tc>
      </w:tr>
    </w:tbl>
    <w:p w14:paraId="7D5A2701">
      <w:pPr>
        <w:pStyle w:val="2"/>
        <w:ind w:left="0" w:leftChars="0" w:firstLine="0" w:firstLineChars="0"/>
        <w:rPr>
          <w:rFonts w:hint="eastAsia" w:eastAsia="宋体"/>
          <w:lang w:eastAsia="zh-CN"/>
        </w:rPr>
      </w:pPr>
      <w:r>
        <w:rPr>
          <w:rFonts w:hint="eastAsia" w:eastAsia="宋体"/>
          <w:lang w:eastAsia="zh-CN"/>
        </w:rPr>
        <w:drawing>
          <wp:inline distT="0" distB="0" distL="114300" distR="114300">
            <wp:extent cx="5974080" cy="8265795"/>
            <wp:effectExtent l="0" t="0" r="7620" b="1905"/>
            <wp:docPr id="9" name="图片 9" descr="b09d2e0d0ac80bdc008a67564351eb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b09d2e0d0ac80bdc008a67564351eb60"/>
                    <pic:cNvPicPr>
                      <a:picLocks noChangeAspect="1"/>
                    </pic:cNvPicPr>
                  </pic:nvPicPr>
                  <pic:blipFill>
                    <a:blip r:embed="rId6"/>
                    <a:stretch>
                      <a:fillRect/>
                    </a:stretch>
                  </pic:blipFill>
                  <pic:spPr>
                    <a:xfrm>
                      <a:off x="0" y="0"/>
                      <a:ext cx="5974080" cy="8265795"/>
                    </a:xfrm>
                    <a:prstGeom prst="rect">
                      <a:avLst/>
                    </a:prstGeom>
                  </pic:spPr>
                </pic:pic>
              </a:graphicData>
            </a:graphic>
          </wp:inline>
        </w:drawing>
      </w:r>
    </w:p>
    <w:p w14:paraId="472F9B23">
      <w:pPr>
        <w:pStyle w:val="2"/>
        <w:ind w:left="0" w:leftChars="0" w:firstLine="0" w:firstLineChars="0"/>
        <w:rPr>
          <w:rFonts w:hint="eastAsia" w:eastAsia="宋体"/>
          <w:lang w:eastAsia="zh-CN"/>
        </w:rPr>
      </w:pPr>
    </w:p>
    <w:p w14:paraId="008CC86F">
      <w:pPr>
        <w:pStyle w:val="2"/>
        <w:ind w:left="0" w:leftChars="0" w:firstLine="0" w:firstLineChars="0"/>
        <w:rPr>
          <w:rFonts w:hint="eastAsia" w:eastAsia="宋体"/>
          <w:lang w:eastAsia="zh-CN"/>
        </w:rPr>
      </w:pPr>
      <w:r>
        <w:rPr>
          <w:rFonts w:hint="eastAsia" w:eastAsia="宋体"/>
          <w:lang w:eastAsia="zh-CN"/>
        </w:rPr>
        <w:drawing>
          <wp:inline distT="0" distB="0" distL="114300" distR="114300">
            <wp:extent cx="5974080" cy="8639175"/>
            <wp:effectExtent l="0" t="0" r="7620" b="9525"/>
            <wp:docPr id="10" name="图片 10" descr="faf94e4a679c8061e3702c179265d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af94e4a679c8061e3702c179265d834"/>
                    <pic:cNvPicPr>
                      <a:picLocks noChangeAspect="1"/>
                    </pic:cNvPicPr>
                  </pic:nvPicPr>
                  <pic:blipFill>
                    <a:blip r:embed="rId7"/>
                    <a:stretch>
                      <a:fillRect/>
                    </a:stretch>
                  </pic:blipFill>
                  <pic:spPr>
                    <a:xfrm>
                      <a:off x="0" y="0"/>
                      <a:ext cx="5974080" cy="8639175"/>
                    </a:xfrm>
                    <a:prstGeom prst="rect">
                      <a:avLst/>
                    </a:prstGeom>
                  </pic:spPr>
                </pic:pic>
              </a:graphicData>
            </a:graphic>
          </wp:inline>
        </w:drawing>
      </w:r>
      <w:r>
        <w:rPr>
          <w:rFonts w:hint="eastAsia" w:eastAsia="宋体"/>
          <w:lang w:eastAsia="zh-CN"/>
        </w:rPr>
        <w:drawing>
          <wp:inline distT="0" distB="0" distL="114300" distR="114300">
            <wp:extent cx="5974080" cy="8756015"/>
            <wp:effectExtent l="0" t="0" r="7620" b="6985"/>
            <wp:docPr id="11" name="图片 11" descr="2597c95e7aad42de4de9d3a28c23fd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597c95e7aad42de4de9d3a28c23fdc9"/>
                    <pic:cNvPicPr>
                      <a:picLocks noChangeAspect="1"/>
                    </pic:cNvPicPr>
                  </pic:nvPicPr>
                  <pic:blipFill>
                    <a:blip r:embed="rId8"/>
                    <a:stretch>
                      <a:fillRect/>
                    </a:stretch>
                  </pic:blipFill>
                  <pic:spPr>
                    <a:xfrm>
                      <a:off x="0" y="0"/>
                      <a:ext cx="5974080" cy="8756015"/>
                    </a:xfrm>
                    <a:prstGeom prst="rect">
                      <a:avLst/>
                    </a:prstGeom>
                  </pic:spPr>
                </pic:pic>
              </a:graphicData>
            </a:graphic>
          </wp:inline>
        </w:drawing>
      </w:r>
    </w:p>
    <w:p w14:paraId="74A35CDA">
      <w:pPr>
        <w:pStyle w:val="2"/>
        <w:ind w:left="0" w:leftChars="0" w:firstLine="0" w:firstLineChars="0"/>
        <w:rPr>
          <w:rFonts w:hint="eastAsia" w:eastAsia="宋体"/>
          <w:lang w:eastAsia="zh-CN"/>
        </w:rPr>
      </w:pPr>
      <w:r>
        <w:rPr>
          <w:rFonts w:hint="eastAsia" w:eastAsia="宋体"/>
          <w:lang w:eastAsia="zh-CN"/>
        </w:rPr>
        <w:drawing>
          <wp:inline distT="0" distB="0" distL="114300" distR="114300">
            <wp:extent cx="5930265" cy="4447540"/>
            <wp:effectExtent l="0" t="0" r="13335" b="10160"/>
            <wp:docPr id="12" name="图片 12" descr="IMG_20260318_153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0260318_153803"/>
                    <pic:cNvPicPr>
                      <a:picLocks noChangeAspect="1"/>
                    </pic:cNvPicPr>
                  </pic:nvPicPr>
                  <pic:blipFill>
                    <a:blip r:embed="rId9"/>
                    <a:stretch>
                      <a:fillRect/>
                    </a:stretch>
                  </pic:blipFill>
                  <pic:spPr>
                    <a:xfrm>
                      <a:off x="0" y="0"/>
                      <a:ext cx="5930265" cy="4447540"/>
                    </a:xfrm>
                    <a:prstGeom prst="rect">
                      <a:avLst/>
                    </a:prstGeom>
                  </pic:spPr>
                </pic:pic>
              </a:graphicData>
            </a:graphic>
          </wp:inline>
        </w:drawing>
      </w:r>
      <w:r>
        <w:rPr>
          <w:rFonts w:hint="eastAsia" w:eastAsia="宋体"/>
          <w:lang w:eastAsia="zh-CN"/>
        </w:rPr>
        <w:drawing>
          <wp:inline distT="0" distB="0" distL="114300" distR="114300">
            <wp:extent cx="5930265" cy="4447540"/>
            <wp:effectExtent l="0" t="0" r="13335" b="10160"/>
            <wp:docPr id="13" name="图片 13" descr="IMG_20260318_153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0260318_153739"/>
                    <pic:cNvPicPr>
                      <a:picLocks noChangeAspect="1"/>
                    </pic:cNvPicPr>
                  </pic:nvPicPr>
                  <pic:blipFill>
                    <a:blip r:embed="rId10"/>
                    <a:stretch>
                      <a:fillRect/>
                    </a:stretch>
                  </pic:blipFill>
                  <pic:spPr>
                    <a:xfrm>
                      <a:off x="0" y="0"/>
                      <a:ext cx="5930265" cy="4447540"/>
                    </a:xfrm>
                    <a:prstGeom prst="rect">
                      <a:avLst/>
                    </a:prstGeom>
                  </pic:spPr>
                </pic:pic>
              </a:graphicData>
            </a:graphic>
          </wp:inline>
        </w:drawing>
      </w:r>
    </w:p>
    <w:p w14:paraId="5C9E3DD9">
      <w:pPr>
        <w:pStyle w:val="10"/>
        <w:widowControl w:val="0"/>
        <w:adjustRightInd w:val="0"/>
        <w:snapToGrid w:val="0"/>
        <w:spacing w:before="0" w:beforeLines="0" w:after="0" w:afterLines="0" w:line="360" w:lineRule="auto"/>
        <w:rPr>
          <w:color w:val="auto"/>
        </w:rPr>
      </w:pPr>
      <w:bookmarkStart w:id="0" w:name="_Toc102634395"/>
      <w:bookmarkStart w:id="1" w:name="_Toc15033742"/>
      <w:bookmarkStart w:id="2" w:name="_Toc102633895"/>
      <w:bookmarkStart w:id="3" w:name="_Toc102633969"/>
      <w:bookmarkStart w:id="4" w:name="_Toc102634226"/>
      <w:r>
        <w:rPr>
          <w:color w:val="auto"/>
        </w:rPr>
        <w:t>第二章 加油站概况</w:t>
      </w:r>
      <w:bookmarkEnd w:id="0"/>
      <w:bookmarkEnd w:id="1"/>
      <w:bookmarkEnd w:id="2"/>
      <w:bookmarkEnd w:id="3"/>
      <w:bookmarkEnd w:id="4"/>
    </w:p>
    <w:p w14:paraId="017A04D2">
      <w:pPr>
        <w:snapToGrid w:val="0"/>
        <w:spacing w:line="360" w:lineRule="auto"/>
        <w:jc w:val="center"/>
        <w:outlineLvl w:val="1"/>
        <w:rPr>
          <w:rFonts w:ascii="Calibri" w:hAnsi="Calibri" w:eastAsia="楷体_GB2312"/>
          <w:b/>
          <w:color w:val="auto"/>
          <w:kern w:val="0"/>
          <w:sz w:val="32"/>
          <w:szCs w:val="20"/>
        </w:rPr>
      </w:pPr>
      <w:bookmarkStart w:id="5" w:name="_Toc102634396"/>
      <w:bookmarkStart w:id="6" w:name="_Toc15033743"/>
      <w:bookmarkStart w:id="7" w:name="_Toc102634227"/>
      <w:bookmarkStart w:id="8" w:name="_Toc208733856"/>
      <w:bookmarkStart w:id="9" w:name="_Toc30066"/>
      <w:bookmarkStart w:id="10" w:name="_Toc102633970"/>
      <w:bookmarkStart w:id="11" w:name="_Toc26504"/>
      <w:bookmarkStart w:id="12" w:name="_Toc272364524"/>
      <w:bookmarkStart w:id="13" w:name="_Toc102633896"/>
      <w:r>
        <w:rPr>
          <w:rFonts w:ascii="Calibri" w:hAnsi="Calibri" w:eastAsia="楷体_GB2312"/>
          <w:b/>
          <w:color w:val="auto"/>
          <w:kern w:val="0"/>
          <w:sz w:val="32"/>
          <w:szCs w:val="20"/>
        </w:rPr>
        <w:t>第一节 加油站基本情况</w:t>
      </w:r>
      <w:bookmarkEnd w:id="5"/>
      <w:bookmarkEnd w:id="6"/>
      <w:bookmarkEnd w:id="7"/>
      <w:bookmarkEnd w:id="8"/>
      <w:bookmarkEnd w:id="9"/>
      <w:bookmarkEnd w:id="10"/>
      <w:bookmarkEnd w:id="11"/>
      <w:bookmarkEnd w:id="12"/>
      <w:bookmarkEnd w:id="13"/>
    </w:p>
    <w:p w14:paraId="64450343">
      <w:pPr>
        <w:pStyle w:val="9"/>
        <w:widowControl w:val="0"/>
        <w:adjustRightInd w:val="0"/>
        <w:snapToGrid w:val="0"/>
        <w:spacing w:line="360" w:lineRule="auto"/>
        <w:ind w:firstLine="560"/>
        <w:rPr>
          <w:rFonts w:ascii="宋体" w:hAnsi="宋体"/>
          <w:color w:val="000000" w:themeColor="text1"/>
          <w:szCs w:val="28"/>
          <w14:textFill>
            <w14:solidFill>
              <w14:schemeClr w14:val="tx1"/>
            </w14:solidFill>
          </w14:textFill>
        </w:rPr>
      </w:pPr>
      <w:bookmarkStart w:id="14" w:name="_Toc102634406"/>
      <w:bookmarkStart w:id="15" w:name="_Toc102634255"/>
      <w:bookmarkStart w:id="16" w:name="_Toc102633980"/>
      <w:bookmarkStart w:id="17" w:name="_Toc102633906"/>
      <w:r>
        <w:rPr>
          <w:rFonts w:hint="eastAsia" w:ascii="宋体" w:hAnsi="宋体" w:cs="宋体"/>
          <w:color w:val="000000" w:themeColor="text1"/>
          <w:sz w:val="28"/>
          <w14:textFill>
            <w14:solidFill>
              <w14:schemeClr w14:val="tx1"/>
            </w14:solidFill>
          </w14:textFill>
        </w:rPr>
        <w:t>泰安鑫华腾石油有限公司</w:t>
      </w:r>
      <w:r>
        <w:rPr>
          <w:rFonts w:hint="eastAsia" w:ascii="宋体" w:hAnsi="宋体" w:cs="宋体"/>
          <w:color w:val="000000" w:themeColor="text1"/>
          <w:sz w:val="28"/>
          <w:lang w:eastAsia="zh-CN"/>
          <w14:textFill>
            <w14:solidFill>
              <w14:schemeClr w14:val="tx1"/>
            </w14:solidFill>
          </w14:textFill>
        </w:rPr>
        <w:t>（</w:t>
      </w:r>
      <w:r>
        <w:rPr>
          <w:rFonts w:hint="eastAsia" w:ascii="宋体" w:hAnsi="宋体" w:cs="宋体"/>
          <w:color w:val="000000" w:themeColor="text1"/>
          <w:sz w:val="28"/>
          <w:lang w:val="en-US" w:eastAsia="zh-CN"/>
          <w14:textFill>
            <w14:solidFill>
              <w14:schemeClr w14:val="tx1"/>
            </w14:solidFill>
          </w14:textFill>
        </w:rPr>
        <w:t>原名清大实业有限公司加油站</w:t>
      </w:r>
      <w:r>
        <w:rPr>
          <w:rFonts w:hint="eastAsia" w:ascii="宋体" w:hAnsi="宋体" w:cs="宋体"/>
          <w:color w:val="000000" w:themeColor="text1"/>
          <w:sz w:val="28"/>
          <w:lang w:eastAsia="zh-CN"/>
          <w14:textFill>
            <w14:solidFill>
              <w14:schemeClr w14:val="tx1"/>
            </w14:solidFill>
          </w14:textFill>
        </w:rPr>
        <w:t>）</w:t>
      </w:r>
      <w:r>
        <w:rPr>
          <w:rFonts w:hint="eastAsia" w:ascii="宋体" w:hAnsi="宋体"/>
          <w:color w:val="000000" w:themeColor="text1"/>
          <w:sz w:val="28"/>
          <w:szCs w:val="28"/>
          <w14:textFill>
            <w14:solidFill>
              <w14:schemeClr w14:val="tx1"/>
            </w14:solidFill>
          </w14:textFill>
        </w:rPr>
        <w:t>位</w:t>
      </w:r>
      <w:r>
        <w:rPr>
          <w:rFonts w:hint="eastAsia" w:ascii="宋体" w:hAnsi="宋体" w:cs="宋体"/>
          <w:color w:val="000000" w:themeColor="text1"/>
          <w:sz w:val="28"/>
          <w14:textFill>
            <w14:solidFill>
              <w14:schemeClr w14:val="tx1"/>
            </w14:solidFill>
          </w14:textFill>
        </w:rPr>
        <w:t>于山东省泰安市宁阳县华丰镇华丰煤矿东50米处路北，</w:t>
      </w:r>
      <w:r>
        <w:rPr>
          <w:rFonts w:hint="eastAsia" w:ascii="宋体" w:hAnsi="宋体" w:cs="宋体"/>
          <w:color w:val="000000" w:themeColor="text1"/>
          <w:sz w:val="28"/>
          <w:szCs w:val="28"/>
          <w:lang w:val="zh-CN"/>
          <w14:textFill>
            <w14:solidFill>
              <w14:schemeClr w14:val="tx1"/>
            </w14:solidFill>
          </w14:textFill>
        </w:rPr>
        <w:t>加油站西、北两侧是华丰煤矿，南侧是342，东侧是居民楼，</w:t>
      </w:r>
      <w:r>
        <w:rPr>
          <w:rFonts w:hint="eastAsia" w:ascii="宋体" w:hAnsi="宋体" w:cs="宋体"/>
          <w:color w:val="000000" w:themeColor="text1"/>
          <w:sz w:val="28"/>
          <w:szCs w:val="28"/>
          <w14:textFill>
            <w14:solidFill>
              <w14:schemeClr w14:val="tx1"/>
            </w14:solidFill>
          </w14:textFill>
        </w:rPr>
        <w:t>交通十分便利</w:t>
      </w:r>
      <w:r>
        <w:rPr>
          <w:rFonts w:hint="eastAsia" w:ascii="宋体" w:hAnsi="宋体"/>
          <w:color w:val="000000" w:themeColor="text1"/>
          <w:sz w:val="28"/>
          <w14:textFill>
            <w14:solidFill>
              <w14:schemeClr w14:val="tx1"/>
            </w14:solidFill>
          </w14:textFill>
        </w:rPr>
        <w:t>。</w:t>
      </w:r>
      <w:r>
        <w:rPr>
          <w:rFonts w:hint="eastAsia" w:ascii="宋体" w:hAnsi="宋体"/>
          <w:color w:val="000000" w:themeColor="text1"/>
          <w:szCs w:val="28"/>
          <w14:textFill>
            <w14:solidFill>
              <w14:schemeClr w14:val="tx1"/>
            </w14:solidFill>
          </w14:textFill>
        </w:rPr>
        <w:t>该站经营许可范围为汽油、柴油，现其主要经营储存汽油、柴油（换季销售-10#柴油）。此次现状评价报告与上次报告相比，</w:t>
      </w:r>
      <w:r>
        <w:rPr>
          <w:rFonts w:hint="eastAsia" w:ascii="宋体" w:hAnsi="宋体"/>
          <w:color w:val="000000" w:themeColor="text1"/>
          <w:szCs w:val="28"/>
          <w:lang w:val="en-US" w:eastAsia="zh-CN"/>
          <w14:textFill>
            <w14:solidFill>
              <w14:schemeClr w14:val="tx1"/>
            </w14:solidFill>
          </w14:textFill>
        </w:rPr>
        <w:t>新增2台可燃气体探测器，其余</w:t>
      </w:r>
      <w:r>
        <w:rPr>
          <w:rFonts w:hint="eastAsia" w:ascii="宋体" w:hAnsi="宋体"/>
          <w:color w:val="000000" w:themeColor="text1"/>
          <w:szCs w:val="28"/>
          <w14:textFill>
            <w14:solidFill>
              <w14:schemeClr w14:val="tx1"/>
            </w14:solidFill>
          </w14:textFill>
        </w:rPr>
        <w:t>周边环境、站内设备设施、主要建构筑物均未发生变化。</w:t>
      </w:r>
    </w:p>
    <w:p w14:paraId="791C6E81">
      <w:pPr>
        <w:pStyle w:val="9"/>
        <w:widowControl w:val="0"/>
        <w:adjustRightInd w:val="0"/>
        <w:snapToGrid w:val="0"/>
        <w:spacing w:line="360" w:lineRule="auto"/>
        <w:ind w:firstLine="560"/>
        <w:rPr>
          <w:rFonts w:ascii="宋体" w:hAnsi="宋体"/>
          <w:color w:val="000000" w:themeColor="text1"/>
          <w:szCs w:val="28"/>
          <w14:textFill>
            <w14:solidFill>
              <w14:schemeClr w14:val="tx1"/>
            </w14:solidFill>
          </w14:textFill>
        </w:rPr>
      </w:pPr>
      <w:r>
        <w:rPr>
          <w:rFonts w:hint="eastAsia" w:ascii="宋体" w:hAnsi="宋体"/>
          <w:color w:val="000000" w:themeColor="text1"/>
          <w:szCs w:val="28"/>
          <w14:textFill>
            <w14:solidFill>
              <w14:schemeClr w14:val="tx1"/>
            </w14:solidFill>
          </w14:textFill>
        </w:rPr>
        <w:t>该加油站主要建有</w:t>
      </w:r>
      <w:r>
        <w:rPr>
          <w:rFonts w:hint="eastAsia" w:ascii="宋体" w:hAnsi="宋体" w:cs="宋体"/>
          <w:color w:val="000000" w:themeColor="text1"/>
          <w:kern w:val="2"/>
          <w:szCs w:val="21"/>
          <w14:textFill>
            <w14:solidFill>
              <w14:schemeClr w14:val="tx1"/>
            </w14:solidFill>
          </w14:textFill>
        </w:rPr>
        <w:t>站房、罩棚、油罐区、加油区</w:t>
      </w:r>
      <w:r>
        <w:rPr>
          <w:rFonts w:hint="eastAsia" w:ascii="宋体" w:hAnsi="宋体" w:cs="宋体"/>
          <w:color w:val="000000" w:themeColor="text1"/>
          <w:kern w:val="2"/>
          <w:szCs w:val="21"/>
          <w:lang w:eastAsia="zh-CN"/>
          <w14:textFill>
            <w14:solidFill>
              <w14:schemeClr w14:val="tx1"/>
            </w14:solidFill>
          </w14:textFill>
        </w:rPr>
        <w:t>、</w:t>
      </w:r>
      <w:r>
        <w:rPr>
          <w:rFonts w:hint="eastAsia" w:ascii="宋体" w:hAnsi="宋体" w:cs="宋体"/>
          <w:color w:val="000000" w:themeColor="text1"/>
          <w:kern w:val="2"/>
          <w:szCs w:val="21"/>
          <w:lang w:val="en-US" w:eastAsia="zh-CN"/>
          <w14:textFill>
            <w14:solidFill>
              <w14:schemeClr w14:val="tx1"/>
            </w14:solidFill>
          </w14:textFill>
        </w:rPr>
        <w:t>辅助服务区</w:t>
      </w:r>
      <w:r>
        <w:rPr>
          <w:rFonts w:hint="eastAsia" w:ascii="宋体" w:hAnsi="宋体"/>
          <w:color w:val="000000" w:themeColor="text1"/>
          <w:szCs w:val="28"/>
          <w14:textFill>
            <w14:solidFill>
              <w14:schemeClr w14:val="tx1"/>
            </w14:solidFill>
          </w14:textFill>
        </w:rPr>
        <w:t>等。加油区在站房</w:t>
      </w:r>
      <w:r>
        <w:rPr>
          <w:rFonts w:hint="eastAsia" w:ascii="宋体" w:hAnsi="宋体"/>
          <w:color w:val="000000" w:themeColor="text1"/>
          <w:szCs w:val="28"/>
          <w:lang w:val="en-US" w:eastAsia="zh-CN"/>
          <w14:textFill>
            <w14:solidFill>
              <w14:schemeClr w14:val="tx1"/>
            </w14:solidFill>
          </w14:textFill>
        </w:rPr>
        <w:t>西</w:t>
      </w:r>
      <w:r>
        <w:rPr>
          <w:rFonts w:hint="eastAsia" w:ascii="宋体" w:hAnsi="宋体"/>
          <w:color w:val="000000" w:themeColor="text1"/>
          <w:szCs w:val="28"/>
          <w14:textFill>
            <w14:solidFill>
              <w14:schemeClr w14:val="tx1"/>
            </w14:solidFill>
          </w14:textFill>
        </w:rPr>
        <w:t>侧，现有4台</w:t>
      </w:r>
      <w:r>
        <w:rPr>
          <w:rFonts w:hint="eastAsia" w:ascii="宋体" w:hAnsi="宋体"/>
          <w:color w:val="000000" w:themeColor="text1"/>
          <w:szCs w:val="28"/>
          <w:lang w:val="en-US" w:eastAsia="zh-CN"/>
          <w14:textFill>
            <w14:solidFill>
              <w14:schemeClr w14:val="tx1"/>
            </w14:solidFill>
          </w14:textFill>
        </w:rPr>
        <w:t>双</w:t>
      </w:r>
      <w:r>
        <w:rPr>
          <w:rFonts w:hint="eastAsia" w:ascii="宋体" w:hAnsi="宋体"/>
          <w:color w:val="000000" w:themeColor="text1"/>
          <w:szCs w:val="28"/>
          <w14:textFill>
            <w14:solidFill>
              <w14:schemeClr w14:val="tx1"/>
            </w14:solidFill>
          </w14:textFill>
        </w:rPr>
        <w:t>枪加油机（</w:t>
      </w:r>
      <w:r>
        <w:rPr>
          <w:rFonts w:hint="eastAsia" w:asciiTheme="minorEastAsia" w:hAnsiTheme="minorEastAsia" w:eastAsiaTheme="minorEastAsia" w:cstheme="minorEastAsia"/>
          <w:bCs/>
          <w:color w:val="000000" w:themeColor="text1"/>
          <w14:textFill>
            <w14:solidFill>
              <w14:schemeClr w14:val="tx1"/>
            </w14:solidFill>
          </w14:textFill>
        </w:rPr>
        <w:t>1台92#</w:t>
      </w:r>
      <w:r>
        <w:rPr>
          <w:rFonts w:hint="eastAsia" w:asciiTheme="minorEastAsia" w:hAnsiTheme="minorEastAsia" w:eastAsiaTheme="minorEastAsia" w:cstheme="minorEastAsia"/>
          <w:bCs/>
          <w:color w:val="000000" w:themeColor="text1"/>
          <w:lang w:val="en-US" w:eastAsia="zh-CN"/>
          <w14:textFill>
            <w14:solidFill>
              <w14:schemeClr w14:val="tx1"/>
            </w14:solidFill>
          </w14:textFill>
        </w:rPr>
        <w:t>汽油</w:t>
      </w:r>
      <w:r>
        <w:rPr>
          <w:rFonts w:hint="eastAsia" w:asciiTheme="minorEastAsia" w:hAnsiTheme="minorEastAsia" w:eastAsiaTheme="minorEastAsia" w:cstheme="minorEastAsia"/>
          <w:bCs/>
          <w:color w:val="000000" w:themeColor="text1"/>
          <w14:textFill>
            <w14:solidFill>
              <w14:schemeClr w14:val="tx1"/>
            </w14:solidFill>
          </w14:textFill>
        </w:rPr>
        <w:t>，1台</w:t>
      </w:r>
      <w:r>
        <w:rPr>
          <w:rFonts w:hint="eastAsia" w:ascii="宋体" w:hAnsi="宋体" w:cs="宋体"/>
          <w:color w:val="000000" w:themeColor="text1"/>
          <w:highlight w:val="none"/>
          <w14:textFill>
            <w14:solidFill>
              <w14:schemeClr w14:val="tx1"/>
            </w14:solidFill>
          </w14:textFill>
        </w:rPr>
        <w:t>92#汽油/</w:t>
      </w:r>
      <w:r>
        <w:rPr>
          <w:rFonts w:hint="eastAsia" w:asciiTheme="minorEastAsia" w:hAnsiTheme="minorEastAsia" w:eastAsiaTheme="minorEastAsia" w:cstheme="minorEastAsia"/>
          <w:bCs/>
          <w:color w:val="000000" w:themeColor="text1"/>
          <w14:textFill>
            <w14:solidFill>
              <w14:schemeClr w14:val="tx1"/>
            </w14:solidFill>
          </w14:textFill>
        </w:rPr>
        <w:t>95#汽油，2台柴油</w:t>
      </w:r>
      <w:r>
        <w:rPr>
          <w:rFonts w:hint="eastAsia" w:ascii="宋体" w:hAnsi="宋体"/>
          <w:color w:val="000000" w:themeColor="text1"/>
          <w:szCs w:val="28"/>
          <w14:textFill>
            <w14:solidFill>
              <w14:schemeClr w14:val="tx1"/>
            </w14:solidFill>
          </w14:textFill>
        </w:rPr>
        <w:t>），均为自吸式；油罐区位于站房</w:t>
      </w:r>
      <w:r>
        <w:rPr>
          <w:rFonts w:hint="eastAsia" w:ascii="宋体" w:hAnsi="宋体"/>
          <w:color w:val="000000" w:themeColor="text1"/>
          <w:szCs w:val="28"/>
          <w:lang w:val="en-US" w:eastAsia="zh-CN"/>
          <w14:textFill>
            <w14:solidFill>
              <w14:schemeClr w14:val="tx1"/>
            </w14:solidFill>
          </w14:textFill>
        </w:rPr>
        <w:t>西北</w:t>
      </w:r>
      <w:r>
        <w:rPr>
          <w:rFonts w:hint="eastAsia" w:ascii="宋体" w:hAnsi="宋体"/>
          <w:color w:val="000000" w:themeColor="text1"/>
          <w:szCs w:val="28"/>
          <w14:textFill>
            <w14:solidFill>
              <w14:schemeClr w14:val="tx1"/>
            </w14:solidFill>
          </w14:textFill>
        </w:rPr>
        <w:t>侧，现有</w:t>
      </w:r>
      <w:r>
        <w:rPr>
          <w:rFonts w:hint="eastAsia" w:ascii="宋体" w:hAnsi="宋体"/>
          <w:color w:val="000000" w:themeColor="text1"/>
          <w:szCs w:val="28"/>
          <w:lang w:val="en-US" w:eastAsia="zh-CN"/>
          <w14:textFill>
            <w14:solidFill>
              <w14:schemeClr w14:val="tx1"/>
            </w14:solidFill>
          </w14:textFill>
        </w:rPr>
        <w:t>4</w:t>
      </w:r>
      <w:r>
        <w:rPr>
          <w:rFonts w:hint="eastAsia" w:ascii="宋体" w:hAnsi="宋体"/>
          <w:color w:val="000000" w:themeColor="text1"/>
          <w:szCs w:val="28"/>
          <w14:textFill>
            <w14:solidFill>
              <w14:schemeClr w14:val="tx1"/>
            </w14:solidFill>
          </w14:textFill>
        </w:rPr>
        <w:t>台30m³埋地双层储罐：1台92#罐、1台95#汽油罐、</w:t>
      </w:r>
      <w:r>
        <w:rPr>
          <w:rFonts w:hint="eastAsia" w:ascii="宋体" w:hAnsi="宋体"/>
          <w:color w:val="000000" w:themeColor="text1"/>
          <w:szCs w:val="28"/>
          <w:lang w:val="en-US" w:eastAsia="zh-CN"/>
          <w14:textFill>
            <w14:solidFill>
              <w14:schemeClr w14:val="tx1"/>
            </w14:solidFill>
          </w14:textFill>
        </w:rPr>
        <w:t>2</w:t>
      </w:r>
      <w:r>
        <w:rPr>
          <w:rFonts w:hint="eastAsia" w:ascii="宋体" w:hAnsi="宋体"/>
          <w:color w:val="000000" w:themeColor="text1"/>
          <w:szCs w:val="28"/>
          <w14:textFill>
            <w14:solidFill>
              <w14:schemeClr w14:val="tx1"/>
            </w14:solidFill>
          </w14:textFill>
        </w:rPr>
        <w:t>台柴油罐，</w:t>
      </w:r>
      <w:r>
        <w:rPr>
          <w:rFonts w:hint="eastAsia" w:ascii="宋体" w:hAnsi="宋体"/>
          <w:color w:val="000000" w:themeColor="text1"/>
          <w:szCs w:val="28"/>
          <w:lang w:val="en-US" w:eastAsia="zh-CN"/>
          <w14:textFill>
            <w14:solidFill>
              <w14:schemeClr w14:val="tx1"/>
            </w14:solidFill>
          </w14:textFill>
        </w:rPr>
        <w:t>4</w:t>
      </w:r>
      <w:r>
        <w:rPr>
          <w:rFonts w:hint="eastAsia" w:ascii="宋体" w:hAnsi="宋体"/>
          <w:color w:val="000000" w:themeColor="text1"/>
          <w:szCs w:val="28"/>
          <w14:textFill>
            <w14:solidFill>
              <w14:schemeClr w14:val="tx1"/>
            </w14:solidFill>
          </w14:textFill>
        </w:rPr>
        <w:t>台油罐均安装了液位仪、检漏仪；汽油、柴油卸油口位于罐区</w:t>
      </w:r>
      <w:r>
        <w:rPr>
          <w:rFonts w:hint="eastAsia" w:ascii="宋体" w:hAnsi="宋体"/>
          <w:color w:val="000000" w:themeColor="text1"/>
          <w:szCs w:val="28"/>
          <w:lang w:val="en-US" w:eastAsia="zh-CN"/>
          <w14:textFill>
            <w14:solidFill>
              <w14:schemeClr w14:val="tx1"/>
            </w14:solidFill>
          </w14:textFill>
        </w:rPr>
        <w:t>南</w:t>
      </w:r>
      <w:r>
        <w:rPr>
          <w:rFonts w:hint="eastAsia" w:ascii="宋体" w:hAnsi="宋体"/>
          <w:color w:val="000000" w:themeColor="text1"/>
          <w:szCs w:val="28"/>
          <w14:textFill>
            <w14:solidFill>
              <w14:schemeClr w14:val="tx1"/>
            </w14:solidFill>
          </w14:textFill>
        </w:rPr>
        <w:t>侧；通气管</w:t>
      </w:r>
      <w:r>
        <w:rPr>
          <w:rFonts w:hint="eastAsia" w:ascii="宋体" w:hAnsi="宋体"/>
          <w:color w:val="000000" w:themeColor="text1"/>
          <w:szCs w:val="28"/>
          <w:lang w:val="en-US" w:eastAsia="zh-CN"/>
          <w14:textFill>
            <w14:solidFill>
              <w14:schemeClr w14:val="tx1"/>
            </w14:solidFill>
          </w14:textFill>
        </w:rPr>
        <w:t>4</w:t>
      </w:r>
      <w:r>
        <w:rPr>
          <w:rFonts w:hint="eastAsia" w:ascii="宋体" w:hAnsi="宋体"/>
          <w:color w:val="000000" w:themeColor="text1"/>
          <w:szCs w:val="28"/>
          <w14:textFill>
            <w14:solidFill>
              <w14:schemeClr w14:val="tx1"/>
            </w14:solidFill>
          </w14:textFill>
        </w:rPr>
        <w:t>根位于罐区北侧，</w:t>
      </w:r>
      <w:r>
        <w:rPr>
          <w:rFonts w:hint="eastAsia" w:asciiTheme="minorEastAsia" w:hAnsiTheme="minorEastAsia" w:eastAsiaTheme="minorEastAsia" w:cstheme="minorEastAsia"/>
          <w:snapToGrid w:val="0"/>
          <w:color w:val="000000" w:themeColor="text1"/>
          <w:sz w:val="28"/>
          <w14:textFill>
            <w14:solidFill>
              <w14:schemeClr w14:val="tx1"/>
            </w14:solidFill>
          </w14:textFill>
        </w:rPr>
        <w:t>油气回收处理装置位于通气管</w:t>
      </w:r>
      <w:r>
        <w:rPr>
          <w:rFonts w:hint="eastAsia" w:asciiTheme="minorEastAsia" w:hAnsiTheme="minorEastAsia" w:eastAsiaTheme="minorEastAsia" w:cstheme="minorEastAsia"/>
          <w:snapToGrid w:val="0"/>
          <w:color w:val="000000" w:themeColor="text1"/>
          <w:sz w:val="28"/>
          <w:lang w:val="en-US" w:eastAsia="zh-CN"/>
          <w14:textFill>
            <w14:solidFill>
              <w14:schemeClr w14:val="tx1"/>
            </w14:solidFill>
          </w14:textFill>
        </w:rPr>
        <w:t>北</w:t>
      </w:r>
      <w:r>
        <w:rPr>
          <w:rFonts w:hint="eastAsia" w:asciiTheme="minorEastAsia" w:hAnsiTheme="minorEastAsia" w:eastAsiaTheme="minorEastAsia" w:cstheme="minorEastAsia"/>
          <w:snapToGrid w:val="0"/>
          <w:color w:val="000000" w:themeColor="text1"/>
          <w:sz w:val="28"/>
          <w14:textFill>
            <w14:solidFill>
              <w14:schemeClr w14:val="tx1"/>
            </w14:solidFill>
          </w14:textFill>
        </w:rPr>
        <w:t>侧</w:t>
      </w:r>
      <w:r>
        <w:rPr>
          <w:rFonts w:hint="eastAsia" w:asciiTheme="minorEastAsia" w:hAnsiTheme="minorEastAsia" w:eastAsiaTheme="minorEastAsia" w:cstheme="minorEastAsia"/>
          <w:snapToGrid w:val="0"/>
          <w:color w:val="000000" w:themeColor="text1"/>
          <w:sz w:val="28"/>
          <w:lang w:eastAsia="zh-CN"/>
          <w14:textFill>
            <w14:solidFill>
              <w14:schemeClr w14:val="tx1"/>
            </w14:solidFill>
          </w14:textFill>
        </w:rPr>
        <w:t>，</w:t>
      </w:r>
      <w:r>
        <w:rPr>
          <w:rFonts w:hint="eastAsia" w:ascii="宋体" w:hAnsi="宋体"/>
          <w:color w:val="000000" w:themeColor="text1"/>
          <w:szCs w:val="28"/>
          <w14:textFill>
            <w14:solidFill>
              <w14:schemeClr w14:val="tx1"/>
            </w14:solidFill>
          </w14:textFill>
        </w:rPr>
        <w:t>该站设有</w:t>
      </w:r>
      <w:r>
        <w:rPr>
          <w:rFonts w:hint="eastAsia" w:ascii="宋体" w:hAnsi="宋体"/>
          <w:color w:val="000000" w:themeColor="text1"/>
          <w:szCs w:val="28"/>
          <w:lang w:val="en-US" w:eastAsia="zh-CN"/>
          <w14:textFill>
            <w14:solidFill>
              <w14:schemeClr w14:val="tx1"/>
            </w14:solidFill>
          </w14:textFill>
        </w:rPr>
        <w:t>三</w:t>
      </w:r>
      <w:r>
        <w:rPr>
          <w:rFonts w:hint="eastAsia" w:ascii="宋体" w:hAnsi="宋体"/>
          <w:color w:val="000000" w:themeColor="text1"/>
          <w:szCs w:val="28"/>
          <w14:textFill>
            <w14:solidFill>
              <w14:schemeClr w14:val="tx1"/>
            </w14:solidFill>
          </w14:textFill>
        </w:rPr>
        <w:t>次油气回收系统（卸油油气回收系统、加油油气回收系统</w:t>
      </w:r>
      <w:r>
        <w:rPr>
          <w:rFonts w:hint="eastAsia" w:asciiTheme="minorEastAsia" w:hAnsiTheme="minorEastAsia" w:eastAsiaTheme="minorEastAsia" w:cstheme="minorEastAsia"/>
          <w:snapToGrid w:val="0"/>
          <w:color w:val="000000" w:themeColor="text1"/>
          <w:sz w:val="28"/>
          <w14:textFill>
            <w14:solidFill>
              <w14:schemeClr w14:val="tx1"/>
            </w14:solidFill>
          </w14:textFill>
        </w:rPr>
        <w:t>及油气回收处理系统</w:t>
      </w:r>
      <w:r>
        <w:rPr>
          <w:rFonts w:hint="eastAsia" w:ascii="宋体" w:hAnsi="宋体"/>
          <w:color w:val="000000" w:themeColor="text1"/>
          <w:szCs w:val="28"/>
          <w14:textFill>
            <w14:solidFill>
              <w14:schemeClr w14:val="tx1"/>
            </w14:solidFill>
          </w14:textFill>
        </w:rPr>
        <w:t>）；</w:t>
      </w:r>
      <w:r>
        <w:rPr>
          <w:rFonts w:hint="eastAsia" w:ascii="宋体" w:hAnsi="宋体"/>
          <w:color w:val="000000" w:themeColor="text1"/>
          <w:szCs w:val="28"/>
          <w:lang w:val="en-US" w:eastAsia="zh-CN"/>
          <w14:textFill>
            <w14:solidFill>
              <w14:schemeClr w14:val="tx1"/>
            </w14:solidFill>
          </w14:textFill>
        </w:rPr>
        <w:t>洗车间位于加油区西侧，仓库（仓库西侧为闲置房）位于罐区北侧；</w:t>
      </w:r>
      <w:r>
        <w:rPr>
          <w:rFonts w:hint="eastAsia" w:ascii="宋体" w:hAnsi="宋体"/>
          <w:color w:val="000000" w:themeColor="text1"/>
          <w:szCs w:val="28"/>
          <w14:textFill>
            <w14:solidFill>
              <w14:schemeClr w14:val="tx1"/>
            </w14:solidFill>
          </w14:textFill>
        </w:rPr>
        <w:t>按《汽车加油加气加氢站技术标准》GB50156-2021标准规定：油罐总储量为</w:t>
      </w:r>
      <w:r>
        <w:rPr>
          <w:rFonts w:hint="eastAsia" w:ascii="宋体" w:hAnsi="宋体"/>
          <w:color w:val="000000" w:themeColor="text1"/>
          <w:szCs w:val="28"/>
          <w:lang w:val="en-US" w:eastAsia="zh-CN"/>
          <w14:textFill>
            <w14:solidFill>
              <w14:schemeClr w14:val="tx1"/>
            </w14:solidFill>
          </w14:textFill>
        </w:rPr>
        <w:t>120</w:t>
      </w:r>
      <w:r>
        <w:rPr>
          <w:rFonts w:hint="eastAsia" w:ascii="宋体" w:hAnsi="宋体"/>
          <w:color w:val="000000" w:themeColor="text1"/>
          <w:szCs w:val="28"/>
          <w14:textFill>
            <w14:solidFill>
              <w14:schemeClr w14:val="tx1"/>
            </w14:solidFill>
          </w14:textFill>
        </w:rPr>
        <w:t>m³，柴油储罐容积折半计入总容积为</w:t>
      </w:r>
      <w:r>
        <w:rPr>
          <w:rFonts w:hint="eastAsia" w:ascii="宋体" w:hAnsi="宋体"/>
          <w:color w:val="000000" w:themeColor="text1"/>
          <w:szCs w:val="28"/>
          <w:lang w:val="en-US" w:eastAsia="zh-CN"/>
          <w14:textFill>
            <w14:solidFill>
              <w14:schemeClr w14:val="tx1"/>
            </w14:solidFill>
          </w14:textFill>
        </w:rPr>
        <w:t>90</w:t>
      </w:r>
      <w:r>
        <w:rPr>
          <w:rFonts w:hint="eastAsia" w:ascii="宋体" w:hAnsi="宋体"/>
          <w:color w:val="000000" w:themeColor="text1"/>
          <w:szCs w:val="28"/>
          <w14:textFill>
            <w14:solidFill>
              <w14:schemeClr w14:val="tx1"/>
            </w14:solidFill>
          </w14:textFill>
        </w:rPr>
        <w:t>m³，该站属三级加油站。</w:t>
      </w:r>
    </w:p>
    <w:p w14:paraId="1289FAE9">
      <w:pPr>
        <w:pStyle w:val="11"/>
        <w:widowControl w:val="0"/>
        <w:adjustRightInd w:val="0"/>
        <w:snapToGrid w:val="0"/>
        <w:spacing w:line="360" w:lineRule="auto"/>
        <w:outlineLvl w:val="9"/>
        <w:rPr>
          <w:color w:val="000000" w:themeColor="text1"/>
          <w14:textFill>
            <w14:solidFill>
              <w14:schemeClr w14:val="tx1"/>
            </w14:solidFill>
          </w14:textFill>
        </w:rPr>
      </w:pPr>
      <w:r>
        <w:rPr>
          <w:color w:val="000000" w:themeColor="text1"/>
          <w14:textFill>
            <w14:solidFill>
              <w14:schemeClr w14:val="tx1"/>
            </w14:solidFill>
          </w14:textFill>
        </w:rPr>
        <w:t>表</w:t>
      </w:r>
      <w:r>
        <w:rPr>
          <w:rFonts w:ascii="黑体" w:hAnsi="黑体"/>
          <w:color w:val="000000" w:themeColor="text1"/>
          <w14:textFill>
            <w14:solidFill>
              <w14:schemeClr w14:val="tx1"/>
            </w14:solidFill>
          </w14:textFill>
        </w:rPr>
        <w:t xml:space="preserve">2.1-1 </w:t>
      </w:r>
      <w:r>
        <w:rPr>
          <w:color w:val="000000" w:themeColor="text1"/>
          <w14:textFill>
            <w14:solidFill>
              <w14:schemeClr w14:val="tx1"/>
            </w14:solidFill>
          </w14:textFill>
        </w:rPr>
        <w:t>加油站的等级划分</w:t>
      </w:r>
    </w:p>
    <w:tbl>
      <w:tblPr>
        <w:tblStyle w:val="4"/>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200"/>
        <w:gridCol w:w="3210"/>
        <w:gridCol w:w="3217"/>
      </w:tblGrid>
      <w:tr w14:paraId="19E657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Merge w:val="restart"/>
            <w:vAlign w:val="center"/>
          </w:tcPr>
          <w:p w14:paraId="526B7B82">
            <w:pPr>
              <w:pStyle w:val="12"/>
              <w:widowControl w:val="0"/>
              <w:spacing w:line="360" w:lineRule="auto"/>
              <w:rPr>
                <w:rFonts w:ascii="宋体" w:hAnsi="宋体"/>
                <w:b/>
                <w:bCs/>
                <w:color w:val="000000" w:themeColor="text1"/>
                <w14:textFill>
                  <w14:solidFill>
                    <w14:schemeClr w14:val="tx1"/>
                  </w14:solidFill>
                </w14:textFill>
              </w:rPr>
            </w:pPr>
            <w:r>
              <w:rPr>
                <w:rFonts w:ascii="宋体" w:hAnsi="宋体"/>
                <w:b/>
                <w:bCs/>
                <w:color w:val="000000" w:themeColor="text1"/>
                <w14:textFill>
                  <w14:solidFill>
                    <w14:schemeClr w14:val="tx1"/>
                  </w14:solidFill>
                </w14:textFill>
              </w:rPr>
              <w:t>加油站</w:t>
            </w:r>
            <w:r>
              <w:rPr>
                <w:rFonts w:hint="eastAsia" w:ascii="宋体" w:hAnsi="宋体"/>
                <w:b/>
                <w:bCs/>
                <w:color w:val="000000" w:themeColor="text1"/>
                <w14:textFill>
                  <w14:solidFill>
                    <w14:schemeClr w14:val="tx1"/>
                  </w14:solidFill>
                </w14:textFill>
              </w:rPr>
              <w:t>等级</w:t>
            </w:r>
          </w:p>
        </w:tc>
        <w:tc>
          <w:tcPr>
            <w:tcW w:w="3338" w:type="pct"/>
            <w:gridSpan w:val="2"/>
            <w:vAlign w:val="center"/>
          </w:tcPr>
          <w:p w14:paraId="006E1348">
            <w:pPr>
              <w:pStyle w:val="12"/>
              <w:widowControl w:val="0"/>
              <w:spacing w:line="360" w:lineRule="auto"/>
              <w:rPr>
                <w:rFonts w:ascii="宋体" w:hAnsi="宋体"/>
                <w:b/>
                <w:bCs/>
                <w:color w:val="000000" w:themeColor="text1"/>
                <w14:textFill>
                  <w14:solidFill>
                    <w14:schemeClr w14:val="tx1"/>
                  </w14:solidFill>
                </w14:textFill>
              </w:rPr>
            </w:pPr>
            <w:r>
              <w:rPr>
                <w:rFonts w:ascii="宋体" w:hAnsi="宋体"/>
                <w:b/>
                <w:bCs/>
                <w:color w:val="000000" w:themeColor="text1"/>
                <w14:textFill>
                  <w14:solidFill>
                    <w14:schemeClr w14:val="tx1"/>
                  </w14:solidFill>
                </w14:textFill>
              </w:rPr>
              <w:t>加油站油罐容积（m</w:t>
            </w:r>
            <w:r>
              <w:rPr>
                <w:rFonts w:ascii="宋体" w:hAnsi="宋体"/>
                <w:b/>
                <w:bCs/>
                <w:color w:val="000000" w:themeColor="text1"/>
                <w:vertAlign w:val="superscript"/>
                <w14:textFill>
                  <w14:solidFill>
                    <w14:schemeClr w14:val="tx1"/>
                  </w14:solidFill>
                </w14:textFill>
              </w:rPr>
              <w:t>3</w:t>
            </w:r>
            <w:r>
              <w:rPr>
                <w:rFonts w:ascii="宋体" w:hAnsi="宋体"/>
                <w:b/>
                <w:bCs/>
                <w:color w:val="000000" w:themeColor="text1"/>
                <w14:textFill>
                  <w14:solidFill>
                    <w14:schemeClr w14:val="tx1"/>
                  </w14:solidFill>
                </w14:textFill>
              </w:rPr>
              <w:t>）</w:t>
            </w:r>
          </w:p>
        </w:tc>
      </w:tr>
      <w:tr w14:paraId="2B0FC0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Merge w:val="continue"/>
            <w:vAlign w:val="center"/>
          </w:tcPr>
          <w:p w14:paraId="34BB4307">
            <w:pPr>
              <w:pStyle w:val="12"/>
              <w:widowControl w:val="0"/>
              <w:spacing w:line="360" w:lineRule="auto"/>
              <w:rPr>
                <w:rFonts w:ascii="宋体" w:hAnsi="宋体"/>
                <w:b/>
                <w:bCs/>
                <w:color w:val="000000" w:themeColor="text1"/>
                <w14:textFill>
                  <w14:solidFill>
                    <w14:schemeClr w14:val="tx1"/>
                  </w14:solidFill>
                </w14:textFill>
              </w:rPr>
            </w:pPr>
          </w:p>
        </w:tc>
        <w:tc>
          <w:tcPr>
            <w:tcW w:w="1667" w:type="pct"/>
            <w:vAlign w:val="center"/>
          </w:tcPr>
          <w:p w14:paraId="0F073C99">
            <w:pPr>
              <w:pStyle w:val="12"/>
              <w:widowControl w:val="0"/>
              <w:spacing w:line="360" w:lineRule="auto"/>
              <w:rPr>
                <w:rFonts w:ascii="宋体" w:hAnsi="宋体"/>
                <w:b/>
                <w:bCs/>
                <w:color w:val="000000" w:themeColor="text1"/>
                <w14:textFill>
                  <w14:solidFill>
                    <w14:schemeClr w14:val="tx1"/>
                  </w14:solidFill>
                </w14:textFill>
              </w:rPr>
            </w:pPr>
            <w:r>
              <w:rPr>
                <w:rFonts w:ascii="宋体" w:hAnsi="宋体"/>
                <w:b/>
                <w:bCs/>
                <w:color w:val="000000" w:themeColor="text1"/>
                <w14:textFill>
                  <w14:solidFill>
                    <w14:schemeClr w14:val="tx1"/>
                  </w14:solidFill>
                </w14:textFill>
              </w:rPr>
              <w:t>总容积</w:t>
            </w:r>
            <w:r>
              <w:rPr>
                <w:rFonts w:hint="eastAsia" w:ascii="宋体" w:hAnsi="宋体"/>
                <w:b/>
                <w:bCs/>
                <w:color w:val="000000" w:themeColor="text1"/>
                <w14:textFill>
                  <w14:solidFill>
                    <w14:schemeClr w14:val="tx1"/>
                  </w14:solidFill>
                </w14:textFill>
              </w:rPr>
              <w:t>V</w:t>
            </w:r>
          </w:p>
        </w:tc>
        <w:tc>
          <w:tcPr>
            <w:tcW w:w="1671" w:type="pct"/>
            <w:vAlign w:val="center"/>
          </w:tcPr>
          <w:p w14:paraId="23AC7BA2">
            <w:pPr>
              <w:pStyle w:val="12"/>
              <w:widowControl w:val="0"/>
              <w:spacing w:line="360" w:lineRule="auto"/>
              <w:rPr>
                <w:rFonts w:ascii="宋体" w:hAnsi="宋体"/>
                <w:b/>
                <w:bCs/>
                <w:color w:val="000000" w:themeColor="text1"/>
                <w14:textFill>
                  <w14:solidFill>
                    <w14:schemeClr w14:val="tx1"/>
                  </w14:solidFill>
                </w14:textFill>
              </w:rPr>
            </w:pPr>
            <w:r>
              <w:rPr>
                <w:rFonts w:ascii="宋体" w:hAnsi="宋体"/>
                <w:b/>
                <w:bCs/>
                <w:color w:val="000000" w:themeColor="text1"/>
                <w14:textFill>
                  <w14:solidFill>
                    <w14:schemeClr w14:val="tx1"/>
                  </w14:solidFill>
                </w14:textFill>
              </w:rPr>
              <w:t>单罐容积</w:t>
            </w:r>
          </w:p>
        </w:tc>
      </w:tr>
      <w:tr w14:paraId="74F7C5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Align w:val="center"/>
          </w:tcPr>
          <w:p w14:paraId="166AB463">
            <w:pPr>
              <w:pStyle w:val="12"/>
              <w:widowControl w:val="0"/>
              <w:spacing w:line="360" w:lineRule="auto"/>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一级</w:t>
            </w:r>
          </w:p>
        </w:tc>
        <w:tc>
          <w:tcPr>
            <w:tcW w:w="1667" w:type="pct"/>
            <w:vAlign w:val="center"/>
          </w:tcPr>
          <w:p w14:paraId="16970456">
            <w:pPr>
              <w:pStyle w:val="12"/>
              <w:widowControl w:val="0"/>
              <w:spacing w:line="360" w:lineRule="auto"/>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150＜V</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210</w:t>
            </w:r>
          </w:p>
        </w:tc>
        <w:tc>
          <w:tcPr>
            <w:tcW w:w="1671" w:type="pct"/>
            <w:vAlign w:val="center"/>
          </w:tcPr>
          <w:p w14:paraId="3A8E0237">
            <w:pPr>
              <w:pStyle w:val="12"/>
              <w:widowControl w:val="0"/>
              <w:spacing w:line="360" w:lineRule="auto"/>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50</w:t>
            </w:r>
          </w:p>
        </w:tc>
      </w:tr>
      <w:tr w14:paraId="0C1A7F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Align w:val="center"/>
          </w:tcPr>
          <w:p w14:paraId="6054DCCA">
            <w:pPr>
              <w:pStyle w:val="12"/>
              <w:widowControl w:val="0"/>
              <w:spacing w:line="360" w:lineRule="auto"/>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二级</w:t>
            </w:r>
          </w:p>
        </w:tc>
        <w:tc>
          <w:tcPr>
            <w:tcW w:w="1667" w:type="pct"/>
            <w:vAlign w:val="center"/>
          </w:tcPr>
          <w:p w14:paraId="32A7121E">
            <w:pPr>
              <w:pStyle w:val="12"/>
              <w:widowControl w:val="0"/>
              <w:spacing w:line="360" w:lineRule="auto"/>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90</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V</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150</w:t>
            </w:r>
          </w:p>
        </w:tc>
        <w:tc>
          <w:tcPr>
            <w:tcW w:w="1671" w:type="pct"/>
            <w:vAlign w:val="center"/>
          </w:tcPr>
          <w:p w14:paraId="4E6ECF7B">
            <w:pPr>
              <w:pStyle w:val="12"/>
              <w:widowControl w:val="0"/>
              <w:spacing w:line="360" w:lineRule="auto"/>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50</w:t>
            </w:r>
          </w:p>
        </w:tc>
      </w:tr>
      <w:tr w14:paraId="53565E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Align w:val="center"/>
          </w:tcPr>
          <w:p w14:paraId="6F9CCE5E">
            <w:pPr>
              <w:pStyle w:val="12"/>
              <w:widowControl w:val="0"/>
              <w:spacing w:line="360" w:lineRule="auto"/>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三级</w:t>
            </w:r>
          </w:p>
        </w:tc>
        <w:tc>
          <w:tcPr>
            <w:tcW w:w="1667" w:type="pct"/>
            <w:vAlign w:val="center"/>
          </w:tcPr>
          <w:p w14:paraId="6DA5CD2E">
            <w:pPr>
              <w:pStyle w:val="12"/>
              <w:widowControl w:val="0"/>
              <w:spacing w:line="360" w:lineRule="auto"/>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V</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90</w:t>
            </w:r>
          </w:p>
        </w:tc>
        <w:tc>
          <w:tcPr>
            <w:tcW w:w="1671" w:type="pct"/>
            <w:vAlign w:val="center"/>
          </w:tcPr>
          <w:p w14:paraId="0CBD403F">
            <w:pPr>
              <w:pStyle w:val="12"/>
              <w:widowControl w:val="0"/>
              <w:spacing w:line="360" w:lineRule="auto"/>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汽油</w:t>
            </w:r>
            <w:r>
              <w:rPr>
                <w:rFonts w:ascii="宋体" w:hAnsi="宋体"/>
                <w:color w:val="000000" w:themeColor="text1"/>
                <w14:textFill>
                  <w14:solidFill>
                    <w14:schemeClr w14:val="tx1"/>
                  </w14:solidFill>
                </w14:textFill>
              </w:rPr>
              <w:t>罐</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30，柴油罐</w:t>
            </w:r>
            <w:r>
              <w:rPr>
                <w:rFonts w:hint="eastAsia" w:ascii="宋体" w:hAnsi="宋体"/>
                <w:color w:val="000000" w:themeColor="text1"/>
                <w14:textFill>
                  <w14:solidFill>
                    <w14:schemeClr w14:val="tx1"/>
                  </w14:solidFill>
                </w14:textFill>
              </w:rPr>
              <w:t>≤</w:t>
            </w:r>
            <w:r>
              <w:rPr>
                <w:rFonts w:ascii="宋体" w:hAnsi="宋体"/>
                <w:color w:val="000000" w:themeColor="text1"/>
                <w14:textFill>
                  <w14:solidFill>
                    <w14:schemeClr w14:val="tx1"/>
                  </w14:solidFill>
                </w14:textFill>
              </w:rPr>
              <w:t>50</w:t>
            </w:r>
          </w:p>
        </w:tc>
      </w:tr>
    </w:tbl>
    <w:p w14:paraId="33861EC5">
      <w:pPr>
        <w:pStyle w:val="13"/>
        <w:widowControl w:val="0"/>
        <w:spacing w:line="360" w:lineRule="auto"/>
        <w:ind w:firstLine="436"/>
        <w:rPr>
          <w:color w:val="000000" w:themeColor="text1"/>
          <w14:textFill>
            <w14:solidFill>
              <w14:schemeClr w14:val="tx1"/>
            </w14:solidFill>
          </w14:textFill>
        </w:rPr>
      </w:pPr>
      <w:r>
        <w:rPr>
          <w:color w:val="000000" w:themeColor="text1"/>
          <w14:textFill>
            <w14:solidFill>
              <w14:schemeClr w14:val="tx1"/>
            </w14:solidFill>
          </w14:textFill>
        </w:rPr>
        <w:t>注：</w:t>
      </w:r>
      <w:r>
        <w:rPr>
          <w:rFonts w:hint="eastAsia"/>
          <w:color w:val="000000" w:themeColor="text1"/>
          <w14:textFill>
            <w14:solidFill>
              <w14:schemeClr w14:val="tx1"/>
            </w14:solidFill>
          </w14:textFill>
        </w:rPr>
        <w:t>V为油罐总容积。</w:t>
      </w:r>
      <w:r>
        <w:rPr>
          <w:color w:val="000000" w:themeColor="text1"/>
          <w14:textFill>
            <w14:solidFill>
              <w14:schemeClr w14:val="tx1"/>
            </w14:solidFill>
          </w14:textFill>
        </w:rPr>
        <w:t>柴油罐容积可折半计入油罐总容积。</w:t>
      </w:r>
    </w:p>
    <w:p w14:paraId="3B573AC4">
      <w:pPr>
        <w:pStyle w:val="9"/>
        <w:widowControl w:val="0"/>
        <w:adjustRightInd w:val="0"/>
        <w:snapToGrid w:val="0"/>
        <w:spacing w:line="360" w:lineRule="auto"/>
        <w:ind w:firstLine="560"/>
        <w:rPr>
          <w:rFonts w:ascii="宋体"/>
          <w:color w:val="000000" w:themeColor="text1"/>
          <w14:textFill>
            <w14:solidFill>
              <w14:schemeClr w14:val="tx1"/>
            </w14:solidFill>
          </w14:textFill>
        </w:rPr>
      </w:pPr>
      <w:r>
        <w:rPr>
          <w:rFonts w:ascii="宋体"/>
          <w:color w:val="000000" w:themeColor="text1"/>
          <w14:textFill>
            <w14:solidFill>
              <w14:schemeClr w14:val="tx1"/>
            </w14:solidFill>
          </w14:textFill>
        </w:rPr>
        <w:t>该站现有职工</w:t>
      </w:r>
      <w:r>
        <w:rPr>
          <w:rFonts w:hint="eastAsia" w:ascii="宋体"/>
          <w:color w:val="000000" w:themeColor="text1"/>
          <w:lang w:val="en-US" w:eastAsia="zh-CN"/>
          <w14:textFill>
            <w14:solidFill>
              <w14:schemeClr w14:val="tx1"/>
            </w14:solidFill>
          </w14:textFill>
        </w:rPr>
        <w:t>8</w:t>
      </w:r>
      <w:r>
        <w:rPr>
          <w:rFonts w:hint="eastAsia" w:ascii="宋体"/>
          <w:color w:val="000000" w:themeColor="text1"/>
          <w14:textFill>
            <w14:solidFill>
              <w14:schemeClr w14:val="tx1"/>
            </w14:solidFill>
          </w14:textFill>
        </w:rPr>
        <w:t>人</w:t>
      </w:r>
      <w:r>
        <w:rPr>
          <w:rFonts w:ascii="宋体"/>
          <w:color w:val="000000" w:themeColor="text1"/>
          <w14:textFill>
            <w14:solidFill>
              <w14:schemeClr w14:val="tx1"/>
            </w14:solidFill>
          </w14:textFill>
        </w:rPr>
        <w:t>，</w:t>
      </w:r>
      <w:r>
        <w:rPr>
          <w:rFonts w:hint="eastAsia" w:ascii="宋体"/>
          <w:color w:val="000000" w:themeColor="text1"/>
          <w14:textFill>
            <w14:solidFill>
              <w14:schemeClr w14:val="tx1"/>
            </w14:solidFill>
          </w14:textFill>
        </w:rPr>
        <w:t>其中主要</w:t>
      </w:r>
      <w:r>
        <w:rPr>
          <w:rFonts w:ascii="宋体"/>
          <w:color w:val="000000" w:themeColor="text1"/>
          <w14:textFill>
            <w14:solidFill>
              <w14:schemeClr w14:val="tx1"/>
            </w14:solidFill>
          </w14:textFill>
        </w:rPr>
        <w:t>负责人</w:t>
      </w:r>
      <w:r>
        <w:rPr>
          <w:rFonts w:hint="eastAsia" w:ascii="宋体"/>
          <w:color w:val="000000" w:themeColor="text1"/>
          <w14:textFill>
            <w14:solidFill>
              <w14:schemeClr w14:val="tx1"/>
            </w14:solidFill>
          </w14:textFill>
        </w:rPr>
        <w:t>1</w:t>
      </w:r>
      <w:r>
        <w:rPr>
          <w:rFonts w:ascii="宋体"/>
          <w:color w:val="000000" w:themeColor="text1"/>
          <w14:textFill>
            <w14:solidFill>
              <w14:schemeClr w14:val="tx1"/>
            </w14:solidFill>
          </w14:textFill>
        </w:rPr>
        <w:t>人，</w:t>
      </w:r>
      <w:r>
        <w:rPr>
          <w:rFonts w:hint="eastAsia" w:ascii="宋体"/>
          <w:color w:val="000000" w:themeColor="text1"/>
          <w14:textFill>
            <w14:solidFill>
              <w14:schemeClr w14:val="tx1"/>
            </w14:solidFill>
          </w14:textFill>
        </w:rPr>
        <w:t>安全生产管理</w:t>
      </w:r>
      <w:r>
        <w:rPr>
          <w:rFonts w:ascii="宋体"/>
          <w:color w:val="000000" w:themeColor="text1"/>
          <w14:textFill>
            <w14:solidFill>
              <w14:schemeClr w14:val="tx1"/>
            </w14:solidFill>
          </w14:textFill>
        </w:rPr>
        <w:t>员</w:t>
      </w:r>
      <w:r>
        <w:rPr>
          <w:rFonts w:hint="eastAsia" w:ascii="宋体"/>
          <w:color w:val="000000" w:themeColor="text1"/>
          <w14:textFill>
            <w14:solidFill>
              <w14:schemeClr w14:val="tx1"/>
            </w14:solidFill>
          </w14:textFill>
        </w:rPr>
        <w:t>1人。主要负责人和安全生产管理人员</w:t>
      </w:r>
      <w:r>
        <w:rPr>
          <w:rFonts w:ascii="宋体"/>
          <w:color w:val="000000" w:themeColor="text1"/>
          <w14:textFill>
            <w14:solidFill>
              <w14:schemeClr w14:val="tx1"/>
            </w14:solidFill>
          </w14:textFill>
        </w:rPr>
        <w:t>已</w:t>
      </w:r>
      <w:r>
        <w:rPr>
          <w:rFonts w:hint="eastAsia" w:ascii="宋体"/>
          <w:color w:val="000000" w:themeColor="text1"/>
          <w14:textFill>
            <w14:solidFill>
              <w14:schemeClr w14:val="tx1"/>
            </w14:solidFill>
          </w14:textFill>
        </w:rPr>
        <w:t>参加了</w:t>
      </w:r>
      <w:r>
        <w:rPr>
          <w:rFonts w:ascii="宋体"/>
          <w:color w:val="000000" w:themeColor="text1"/>
          <w14:textFill>
            <w14:solidFill>
              <w14:schemeClr w14:val="tx1"/>
            </w14:solidFill>
          </w14:textFill>
        </w:rPr>
        <w:t>危险化学品安全管理培训，</w:t>
      </w:r>
      <w:r>
        <w:rPr>
          <w:rFonts w:hint="eastAsia" w:ascii="宋体"/>
          <w:color w:val="000000" w:themeColor="text1"/>
          <w14:textFill>
            <w14:solidFill>
              <w14:schemeClr w14:val="tx1"/>
            </w14:solidFill>
          </w14:textFill>
        </w:rPr>
        <w:t>并取得考核合格证，</w:t>
      </w:r>
      <w:r>
        <w:rPr>
          <w:rFonts w:ascii="宋体"/>
          <w:color w:val="000000" w:themeColor="text1"/>
          <w14:textFill>
            <w14:solidFill>
              <w14:schemeClr w14:val="tx1"/>
            </w14:solidFill>
          </w14:textFill>
        </w:rPr>
        <w:t>详见附件。</w:t>
      </w:r>
    </w:p>
    <w:p w14:paraId="099134D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color w:val="000000" w:themeColor="text1"/>
          <w:sz w:val="28"/>
          <w:szCs w:val="28"/>
          <w:highlight w:val="none"/>
          <w:lang w:val="en-US" w:eastAsia="zh-CN"/>
          <w14:textFill>
            <w14:solidFill>
              <w14:schemeClr w14:val="tx1"/>
            </w14:solidFill>
          </w14:textFill>
        </w:rPr>
      </w:pPr>
      <w:bookmarkStart w:id="18" w:name="_Hlk508440011"/>
      <w:r>
        <w:rPr>
          <w:rFonts w:hint="eastAsia" w:ascii="宋体" w:hAnsi="宋体"/>
          <w:color w:val="000000" w:themeColor="text1"/>
          <w:sz w:val="28"/>
          <w:szCs w:val="28"/>
          <w:highlight w:val="none"/>
          <w:lang w:val="en-US" w:eastAsia="zh-CN"/>
          <w14:textFill>
            <w14:solidFill>
              <w14:schemeClr w14:val="tx1"/>
            </w14:solidFill>
          </w14:textFill>
        </w:rPr>
        <w:t>泰安鑫华腾石油有限公司（曾用名：宁阳县华源物资有限公司华丰加油站）于2004年12月29日取得了宁阳县公安消防大队出具的《建筑工程消防验收意见书》，意见书编号：宁公消验第033号，结论为：“认为合格，准许使用”，详见附件。</w:t>
      </w:r>
    </w:p>
    <w:p w14:paraId="47729E3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color w:val="000000" w:themeColor="text1"/>
          <w:sz w:val="28"/>
          <w:szCs w:val="28"/>
          <w:highlight w:val="none"/>
          <w14:textFill>
            <w14:solidFill>
              <w14:schemeClr w14:val="tx1"/>
            </w14:solidFill>
          </w14:textFill>
        </w:rPr>
      </w:pPr>
      <w:r>
        <w:rPr>
          <w:rFonts w:hint="eastAsia" w:ascii="宋体" w:hAnsi="宋体"/>
          <w:color w:val="000000" w:themeColor="text1"/>
          <w:sz w:val="28"/>
          <w:szCs w:val="28"/>
          <w:highlight w:val="none"/>
          <w:lang w:val="en-US" w:eastAsia="zh-CN"/>
          <w14:textFill>
            <w14:solidFill>
              <w14:schemeClr w14:val="tx1"/>
            </w14:solidFill>
          </w14:textFill>
        </w:rPr>
        <w:t>泰安鑫华腾石油有限公司于2022年07月22日与山东清大实业有限公司签订了《房屋租赁合同书》，</w:t>
      </w:r>
      <w:r>
        <w:rPr>
          <w:rFonts w:hint="eastAsia" w:ascii="宋体" w:hAnsi="宋体"/>
          <w:color w:val="000000" w:themeColor="text1"/>
          <w:sz w:val="28"/>
          <w:szCs w:val="28"/>
          <w:highlight w:val="none"/>
          <w:lang w:val="en-US" w:eastAsia="zh-CN"/>
          <w14:textFill>
            <w14:solidFill>
              <w14:schemeClr w14:val="tx1"/>
            </w14:solidFill>
          </w14:textFill>
        </w:rPr>
        <w:t>租赁期五年，自2022年07月22日至2027年07月21日止，</w:t>
      </w:r>
      <w:r>
        <w:rPr>
          <w:rFonts w:hint="eastAsia" w:ascii="宋体" w:hAnsi="宋体"/>
          <w:color w:val="000000" w:themeColor="text1"/>
          <w:sz w:val="28"/>
          <w:szCs w:val="28"/>
          <w:highlight w:val="none"/>
          <w14:textFill>
            <w14:solidFill>
              <w14:schemeClr w14:val="tx1"/>
            </w14:solidFill>
          </w14:textFill>
        </w:rPr>
        <w:t>详见附件。</w:t>
      </w:r>
    </w:p>
    <w:p w14:paraId="5D4C9A71">
      <w:pPr>
        <w:pStyle w:val="9"/>
        <w:widowControl w:val="0"/>
        <w:adjustRightInd w:val="0"/>
        <w:snapToGrid w:val="0"/>
        <w:spacing w:line="360" w:lineRule="auto"/>
        <w:ind w:firstLine="560"/>
        <w:rPr>
          <w:rFonts w:ascii="宋体"/>
          <w:color w:val="000000" w:themeColor="text1"/>
          <w:szCs w:val="28"/>
          <w14:textFill>
            <w14:solidFill>
              <w14:schemeClr w14:val="tx1"/>
            </w14:solidFill>
          </w14:textFill>
        </w:rPr>
      </w:pPr>
      <w:r>
        <w:rPr>
          <w:rFonts w:hint="eastAsia" w:ascii="宋体"/>
          <w:color w:val="000000" w:themeColor="text1"/>
          <w:szCs w:val="28"/>
          <w14:textFill>
            <w14:solidFill>
              <w14:schemeClr w14:val="tx1"/>
            </w14:solidFill>
          </w14:textFill>
        </w:rPr>
        <w:t>加油站于</w:t>
      </w:r>
      <w:r>
        <w:rPr>
          <w:rFonts w:ascii="宋体"/>
          <w:color w:val="000000" w:themeColor="text1"/>
          <w:szCs w:val="28"/>
          <w14:textFill>
            <w14:solidFill>
              <w14:schemeClr w14:val="tx1"/>
            </w14:solidFill>
          </w14:textFill>
        </w:rPr>
        <w:t>20</w:t>
      </w:r>
      <w:r>
        <w:rPr>
          <w:rFonts w:hint="eastAsia" w:ascii="宋体"/>
          <w:color w:val="000000" w:themeColor="text1"/>
          <w:szCs w:val="28"/>
          <w14:textFill>
            <w14:solidFill>
              <w14:schemeClr w14:val="tx1"/>
            </w14:solidFill>
          </w14:textFill>
        </w:rPr>
        <w:t>2</w:t>
      </w:r>
      <w:r>
        <w:rPr>
          <w:rFonts w:hint="eastAsia" w:ascii="宋体"/>
          <w:color w:val="000000" w:themeColor="text1"/>
          <w:szCs w:val="28"/>
          <w:lang w:val="en-US" w:eastAsia="zh-CN"/>
          <w14:textFill>
            <w14:solidFill>
              <w14:schemeClr w14:val="tx1"/>
            </w14:solidFill>
          </w14:textFill>
        </w:rPr>
        <w:t>3</w:t>
      </w:r>
      <w:r>
        <w:rPr>
          <w:rFonts w:ascii="宋体"/>
          <w:color w:val="000000" w:themeColor="text1"/>
          <w:szCs w:val="28"/>
          <w14:textFill>
            <w14:solidFill>
              <w14:schemeClr w14:val="tx1"/>
            </w14:solidFill>
          </w14:textFill>
        </w:rPr>
        <w:t>年</w:t>
      </w:r>
      <w:r>
        <w:rPr>
          <w:rFonts w:hint="eastAsia" w:ascii="宋体"/>
          <w:color w:val="000000" w:themeColor="text1"/>
          <w:szCs w:val="28"/>
          <w:lang w:val="en-US" w:eastAsia="zh-CN"/>
          <w14:textFill>
            <w14:solidFill>
              <w14:schemeClr w14:val="tx1"/>
            </w14:solidFill>
          </w14:textFill>
        </w:rPr>
        <w:t>05</w:t>
      </w:r>
      <w:r>
        <w:rPr>
          <w:rFonts w:ascii="宋体"/>
          <w:color w:val="000000" w:themeColor="text1"/>
          <w:szCs w:val="28"/>
          <w14:textFill>
            <w14:solidFill>
              <w14:schemeClr w14:val="tx1"/>
            </w14:solidFill>
          </w14:textFill>
        </w:rPr>
        <w:t>月</w:t>
      </w:r>
      <w:r>
        <w:rPr>
          <w:rFonts w:hint="eastAsia" w:ascii="宋体"/>
          <w:color w:val="000000" w:themeColor="text1"/>
          <w:szCs w:val="28"/>
          <w:lang w:val="en-US" w:eastAsia="zh-CN"/>
          <w14:textFill>
            <w14:solidFill>
              <w14:schemeClr w14:val="tx1"/>
            </w14:solidFill>
          </w14:textFill>
        </w:rPr>
        <w:t>05</w:t>
      </w:r>
      <w:r>
        <w:rPr>
          <w:rFonts w:ascii="宋体"/>
          <w:color w:val="000000" w:themeColor="text1"/>
          <w:szCs w:val="28"/>
          <w14:textFill>
            <w14:solidFill>
              <w14:schemeClr w14:val="tx1"/>
            </w14:solidFill>
          </w14:textFill>
        </w:rPr>
        <w:t>日</w:t>
      </w:r>
      <w:r>
        <w:rPr>
          <w:rFonts w:hint="eastAsia" w:ascii="宋体"/>
          <w:color w:val="000000" w:themeColor="text1"/>
          <w:szCs w:val="28"/>
          <w14:textFill>
            <w14:solidFill>
              <w14:schemeClr w14:val="tx1"/>
            </w14:solidFill>
          </w14:textFill>
        </w:rPr>
        <w:t>换发了</w:t>
      </w:r>
      <w:r>
        <w:rPr>
          <w:rFonts w:ascii="宋体"/>
          <w:color w:val="000000" w:themeColor="text1"/>
          <w:szCs w:val="28"/>
          <w14:textFill>
            <w14:solidFill>
              <w14:schemeClr w14:val="tx1"/>
            </w14:solidFill>
          </w14:textFill>
        </w:rPr>
        <w:t>《成品油零售经营批准证书》，证书编号：</w:t>
      </w:r>
      <w:r>
        <w:rPr>
          <w:rFonts w:hint="eastAsia" w:ascii="宋体"/>
          <w:color w:val="000000" w:themeColor="text1"/>
          <w:szCs w:val="28"/>
          <w14:textFill>
            <w14:solidFill>
              <w14:schemeClr w14:val="tx1"/>
            </w14:solidFill>
          </w14:textFill>
        </w:rPr>
        <w:t>鲁油零售证书第37090</w:t>
      </w:r>
      <w:r>
        <w:rPr>
          <w:rFonts w:hint="eastAsia" w:ascii="宋体"/>
          <w:color w:val="000000" w:themeColor="text1"/>
          <w:szCs w:val="28"/>
          <w:lang w:val="en-US" w:eastAsia="zh-CN"/>
          <w14:textFill>
            <w14:solidFill>
              <w14:schemeClr w14:val="tx1"/>
            </w14:solidFill>
          </w14:textFill>
        </w:rPr>
        <w:t>4</w:t>
      </w:r>
      <w:r>
        <w:rPr>
          <w:rFonts w:hint="eastAsia" w:ascii="宋体"/>
          <w:color w:val="000000" w:themeColor="text1"/>
          <w:szCs w:val="28"/>
          <w14:textFill>
            <w14:solidFill>
              <w14:schemeClr w14:val="tx1"/>
            </w14:solidFill>
          </w14:textFill>
        </w:rPr>
        <w:t>30</w:t>
      </w:r>
      <w:r>
        <w:rPr>
          <w:rFonts w:hint="eastAsia" w:ascii="宋体"/>
          <w:color w:val="000000" w:themeColor="text1"/>
          <w:szCs w:val="28"/>
          <w:lang w:val="en-US" w:eastAsia="zh-CN"/>
          <w14:textFill>
            <w14:solidFill>
              <w14:schemeClr w14:val="tx1"/>
            </w14:solidFill>
          </w14:textFill>
        </w:rPr>
        <w:t>28</w:t>
      </w:r>
      <w:r>
        <w:rPr>
          <w:rFonts w:ascii="宋体"/>
          <w:color w:val="000000" w:themeColor="text1"/>
          <w:szCs w:val="28"/>
          <w14:textFill>
            <w14:solidFill>
              <w14:schemeClr w14:val="tx1"/>
            </w14:solidFill>
          </w14:textFill>
        </w:rPr>
        <w:t>号</w:t>
      </w:r>
      <w:r>
        <w:rPr>
          <w:rFonts w:hint="eastAsia" w:ascii="宋体"/>
          <w:color w:val="000000" w:themeColor="text1"/>
          <w:szCs w:val="28"/>
          <w14:textFill>
            <w14:solidFill>
              <w14:schemeClr w14:val="tx1"/>
            </w14:solidFill>
          </w14:textFill>
        </w:rPr>
        <w:t>，证书有效期至202</w:t>
      </w:r>
      <w:r>
        <w:rPr>
          <w:rFonts w:hint="eastAsia" w:ascii="宋体"/>
          <w:color w:val="000000" w:themeColor="text1"/>
          <w:szCs w:val="28"/>
          <w:lang w:val="en-US" w:eastAsia="zh-CN"/>
          <w14:textFill>
            <w14:solidFill>
              <w14:schemeClr w14:val="tx1"/>
            </w14:solidFill>
          </w14:textFill>
        </w:rPr>
        <w:t>8</w:t>
      </w:r>
      <w:r>
        <w:rPr>
          <w:rFonts w:hint="eastAsia" w:ascii="宋体"/>
          <w:color w:val="000000" w:themeColor="text1"/>
          <w:szCs w:val="28"/>
          <w14:textFill>
            <w14:solidFill>
              <w14:schemeClr w14:val="tx1"/>
            </w14:solidFill>
          </w14:textFill>
        </w:rPr>
        <w:t>年</w:t>
      </w:r>
      <w:r>
        <w:rPr>
          <w:rFonts w:hint="eastAsia" w:ascii="宋体"/>
          <w:color w:val="000000" w:themeColor="text1"/>
          <w:szCs w:val="28"/>
          <w:lang w:val="en-US" w:eastAsia="zh-CN"/>
          <w14:textFill>
            <w14:solidFill>
              <w14:schemeClr w14:val="tx1"/>
            </w14:solidFill>
          </w14:textFill>
        </w:rPr>
        <w:t>06</w:t>
      </w:r>
      <w:r>
        <w:rPr>
          <w:rFonts w:hint="eastAsia" w:ascii="宋体"/>
          <w:color w:val="000000" w:themeColor="text1"/>
          <w:szCs w:val="28"/>
          <w14:textFill>
            <w14:solidFill>
              <w14:schemeClr w14:val="tx1"/>
            </w14:solidFill>
          </w14:textFill>
        </w:rPr>
        <w:t>月</w:t>
      </w:r>
      <w:r>
        <w:rPr>
          <w:rFonts w:hint="eastAsia" w:ascii="宋体"/>
          <w:color w:val="000000" w:themeColor="text1"/>
          <w:szCs w:val="28"/>
          <w:lang w:val="en-US" w:eastAsia="zh-CN"/>
          <w14:textFill>
            <w14:solidFill>
              <w14:schemeClr w14:val="tx1"/>
            </w14:solidFill>
          </w14:textFill>
        </w:rPr>
        <w:t>07</w:t>
      </w:r>
      <w:r>
        <w:rPr>
          <w:rFonts w:hint="eastAsia" w:ascii="宋体"/>
          <w:color w:val="000000" w:themeColor="text1"/>
          <w:szCs w:val="28"/>
          <w14:textFill>
            <w14:solidFill>
              <w14:schemeClr w14:val="tx1"/>
            </w14:solidFill>
          </w14:textFill>
        </w:rPr>
        <w:t>日，证书见附件</w:t>
      </w:r>
      <w:r>
        <w:rPr>
          <w:rFonts w:ascii="宋体"/>
          <w:color w:val="000000" w:themeColor="text1"/>
          <w:szCs w:val="28"/>
          <w14:textFill>
            <w14:solidFill>
              <w14:schemeClr w14:val="tx1"/>
            </w14:solidFill>
          </w14:textFill>
        </w:rPr>
        <w:t>。</w:t>
      </w:r>
    </w:p>
    <w:bookmarkEnd w:id="18"/>
    <w:p w14:paraId="1E0E0520">
      <w:pPr>
        <w:pStyle w:val="9"/>
        <w:widowControl w:val="0"/>
        <w:adjustRightInd w:val="0"/>
        <w:snapToGrid w:val="0"/>
        <w:spacing w:line="360" w:lineRule="auto"/>
        <w:ind w:firstLine="560"/>
        <w:rPr>
          <w:rFonts w:ascii="宋体"/>
          <w:color w:val="000000" w:themeColor="text1"/>
          <w:szCs w:val="28"/>
          <w14:textFill>
            <w14:solidFill>
              <w14:schemeClr w14:val="tx1"/>
            </w14:solidFill>
          </w14:textFill>
        </w:rPr>
      </w:pPr>
      <w:r>
        <w:rPr>
          <w:rFonts w:hint="eastAsia" w:ascii="宋体"/>
          <w:color w:val="000000" w:themeColor="text1"/>
          <w:szCs w:val="28"/>
          <w14:textFill>
            <w14:solidFill>
              <w14:schemeClr w14:val="tx1"/>
            </w14:solidFill>
          </w14:textFill>
        </w:rPr>
        <w:t>加油站于</w:t>
      </w:r>
      <w:r>
        <w:rPr>
          <w:rFonts w:ascii="宋体"/>
          <w:color w:val="000000" w:themeColor="text1"/>
          <w:szCs w:val="28"/>
          <w14:textFill>
            <w14:solidFill>
              <w14:schemeClr w14:val="tx1"/>
            </w14:solidFill>
          </w14:textFill>
        </w:rPr>
        <w:t>20</w:t>
      </w:r>
      <w:r>
        <w:rPr>
          <w:rFonts w:hint="eastAsia" w:ascii="宋体"/>
          <w:color w:val="000000" w:themeColor="text1"/>
          <w:szCs w:val="28"/>
          <w14:textFill>
            <w14:solidFill>
              <w14:schemeClr w14:val="tx1"/>
            </w14:solidFill>
          </w14:textFill>
        </w:rPr>
        <w:t>2</w:t>
      </w:r>
      <w:r>
        <w:rPr>
          <w:rFonts w:hint="eastAsia" w:ascii="宋体"/>
          <w:color w:val="000000" w:themeColor="text1"/>
          <w:szCs w:val="28"/>
          <w:lang w:val="en-US" w:eastAsia="zh-CN"/>
          <w14:textFill>
            <w14:solidFill>
              <w14:schemeClr w14:val="tx1"/>
            </w14:solidFill>
          </w14:textFill>
        </w:rPr>
        <w:t>3</w:t>
      </w:r>
      <w:r>
        <w:rPr>
          <w:rFonts w:ascii="宋体"/>
          <w:color w:val="000000" w:themeColor="text1"/>
          <w:szCs w:val="28"/>
          <w14:textFill>
            <w14:solidFill>
              <w14:schemeClr w14:val="tx1"/>
            </w14:solidFill>
          </w14:textFill>
        </w:rPr>
        <w:t>年</w:t>
      </w:r>
      <w:r>
        <w:rPr>
          <w:rFonts w:hint="eastAsia" w:ascii="宋体"/>
          <w:color w:val="000000" w:themeColor="text1"/>
          <w:szCs w:val="28"/>
          <w:lang w:val="en-US" w:eastAsia="zh-CN"/>
          <w14:textFill>
            <w14:solidFill>
              <w14:schemeClr w14:val="tx1"/>
            </w14:solidFill>
          </w14:textFill>
        </w:rPr>
        <w:t>07</w:t>
      </w:r>
      <w:r>
        <w:rPr>
          <w:rFonts w:ascii="宋体"/>
          <w:color w:val="000000" w:themeColor="text1"/>
          <w:szCs w:val="28"/>
          <w14:textFill>
            <w14:solidFill>
              <w14:schemeClr w14:val="tx1"/>
            </w14:solidFill>
          </w14:textFill>
        </w:rPr>
        <w:t>月</w:t>
      </w:r>
      <w:r>
        <w:rPr>
          <w:rFonts w:hint="eastAsia" w:ascii="宋体"/>
          <w:color w:val="000000" w:themeColor="text1"/>
          <w:szCs w:val="28"/>
          <w:lang w:val="en-US" w:eastAsia="zh-CN"/>
          <w14:textFill>
            <w14:solidFill>
              <w14:schemeClr w14:val="tx1"/>
            </w14:solidFill>
          </w14:textFill>
        </w:rPr>
        <w:t>28</w:t>
      </w:r>
      <w:r>
        <w:rPr>
          <w:rFonts w:ascii="宋体"/>
          <w:color w:val="000000" w:themeColor="text1"/>
          <w:szCs w:val="28"/>
          <w14:textFill>
            <w14:solidFill>
              <w14:schemeClr w14:val="tx1"/>
            </w14:solidFill>
          </w14:textFill>
        </w:rPr>
        <w:t>日</w:t>
      </w:r>
      <w:r>
        <w:rPr>
          <w:rFonts w:hint="eastAsia" w:ascii="宋体"/>
          <w:color w:val="000000" w:themeColor="text1"/>
          <w:szCs w:val="28"/>
          <w14:textFill>
            <w14:solidFill>
              <w14:schemeClr w14:val="tx1"/>
            </w14:solidFill>
          </w14:textFill>
        </w:rPr>
        <w:t>换发了《危险化学品经营许可证》，证书编号：鲁泰危化经[2023]000</w:t>
      </w:r>
      <w:r>
        <w:rPr>
          <w:rFonts w:hint="eastAsia" w:ascii="宋体"/>
          <w:color w:val="000000" w:themeColor="text1"/>
          <w:szCs w:val="28"/>
          <w:lang w:val="en-US" w:eastAsia="zh-CN"/>
          <w14:textFill>
            <w14:solidFill>
              <w14:schemeClr w14:val="tx1"/>
            </w14:solidFill>
          </w14:textFill>
        </w:rPr>
        <w:t>454</w:t>
      </w:r>
      <w:r>
        <w:rPr>
          <w:rFonts w:hint="eastAsia" w:ascii="宋体"/>
          <w:color w:val="000000" w:themeColor="text1"/>
          <w:szCs w:val="28"/>
          <w14:textFill>
            <w14:solidFill>
              <w14:schemeClr w14:val="tx1"/>
            </w14:solidFill>
          </w14:textFill>
        </w:rPr>
        <w:t>号，证书有效期至2026年</w:t>
      </w:r>
      <w:r>
        <w:rPr>
          <w:rFonts w:hint="eastAsia" w:ascii="宋体"/>
          <w:color w:val="000000" w:themeColor="text1"/>
          <w:szCs w:val="28"/>
          <w:lang w:val="en-US" w:eastAsia="zh-CN"/>
          <w14:textFill>
            <w14:solidFill>
              <w14:schemeClr w14:val="tx1"/>
            </w14:solidFill>
          </w14:textFill>
        </w:rPr>
        <w:t>07</w:t>
      </w:r>
      <w:r>
        <w:rPr>
          <w:rFonts w:hint="eastAsia" w:ascii="宋体"/>
          <w:color w:val="000000" w:themeColor="text1"/>
          <w:szCs w:val="28"/>
          <w14:textFill>
            <w14:solidFill>
              <w14:schemeClr w14:val="tx1"/>
            </w14:solidFill>
          </w14:textFill>
        </w:rPr>
        <w:t>月</w:t>
      </w:r>
      <w:r>
        <w:rPr>
          <w:rFonts w:hint="eastAsia" w:ascii="宋体"/>
          <w:color w:val="000000" w:themeColor="text1"/>
          <w:szCs w:val="28"/>
          <w:lang w:val="en-US" w:eastAsia="zh-CN"/>
          <w14:textFill>
            <w14:solidFill>
              <w14:schemeClr w14:val="tx1"/>
            </w14:solidFill>
          </w14:textFill>
        </w:rPr>
        <w:t>27</w:t>
      </w:r>
      <w:r>
        <w:rPr>
          <w:rFonts w:hint="eastAsia" w:ascii="宋体"/>
          <w:color w:val="000000" w:themeColor="text1"/>
          <w:szCs w:val="28"/>
          <w14:textFill>
            <w14:solidFill>
              <w14:schemeClr w14:val="tx1"/>
            </w14:solidFill>
          </w14:textFill>
        </w:rPr>
        <w:t>日，证书见附件。</w:t>
      </w:r>
    </w:p>
    <w:p w14:paraId="69236256">
      <w:pPr>
        <w:adjustRightInd w:val="0"/>
        <w:snapToGrid w:val="0"/>
        <w:spacing w:line="360" w:lineRule="auto"/>
        <w:ind w:firstLine="560" w:firstLineChars="20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该站编制了生产安全事故应急预案，于202</w:t>
      </w:r>
      <w:r>
        <w:rPr>
          <w:rFonts w:hint="eastAsia" w:ascii="宋体" w:hAnsi="宋体"/>
          <w:color w:val="000000" w:themeColor="text1"/>
          <w:sz w:val="28"/>
          <w:szCs w:val="28"/>
          <w:lang w:val="en-US" w:eastAsia="zh-CN"/>
          <w14:textFill>
            <w14:solidFill>
              <w14:schemeClr w14:val="tx1"/>
            </w14:solidFill>
          </w14:textFill>
        </w:rPr>
        <w:t>5</w:t>
      </w:r>
      <w:r>
        <w:rPr>
          <w:rFonts w:hint="eastAsia" w:ascii="宋体" w:hAnsi="宋体"/>
          <w:color w:val="000000" w:themeColor="text1"/>
          <w:sz w:val="28"/>
          <w:szCs w:val="28"/>
          <w14:textFill>
            <w14:solidFill>
              <w14:schemeClr w14:val="tx1"/>
            </w14:solidFill>
          </w14:textFill>
        </w:rPr>
        <w:t>年</w:t>
      </w:r>
      <w:r>
        <w:rPr>
          <w:rFonts w:hint="eastAsia" w:ascii="宋体" w:hAnsi="宋体"/>
          <w:color w:val="000000" w:themeColor="text1"/>
          <w:sz w:val="28"/>
          <w:szCs w:val="28"/>
          <w:lang w:val="en-US" w:eastAsia="zh-CN"/>
          <w14:textFill>
            <w14:solidFill>
              <w14:schemeClr w14:val="tx1"/>
            </w14:solidFill>
          </w14:textFill>
        </w:rPr>
        <w:t>09</w:t>
      </w:r>
      <w:r>
        <w:rPr>
          <w:rFonts w:hint="eastAsia" w:ascii="宋体" w:hAnsi="宋体"/>
          <w:color w:val="000000" w:themeColor="text1"/>
          <w:sz w:val="28"/>
          <w:szCs w:val="28"/>
          <w14:textFill>
            <w14:solidFill>
              <w14:schemeClr w14:val="tx1"/>
            </w14:solidFill>
          </w14:textFill>
        </w:rPr>
        <w:t>月</w:t>
      </w:r>
      <w:r>
        <w:rPr>
          <w:rFonts w:hint="eastAsia" w:ascii="宋体" w:hAnsi="宋体"/>
          <w:color w:val="000000" w:themeColor="text1"/>
          <w:sz w:val="28"/>
          <w:szCs w:val="28"/>
          <w:lang w:val="en-US" w:eastAsia="zh-CN"/>
          <w14:textFill>
            <w14:solidFill>
              <w14:schemeClr w14:val="tx1"/>
            </w14:solidFill>
          </w14:textFill>
        </w:rPr>
        <w:t>15</w:t>
      </w:r>
      <w:r>
        <w:rPr>
          <w:rFonts w:hint="eastAsia" w:ascii="宋体" w:hAnsi="宋体"/>
          <w:color w:val="000000" w:themeColor="text1"/>
          <w:sz w:val="28"/>
          <w:szCs w:val="28"/>
          <w14:textFill>
            <w14:solidFill>
              <w14:schemeClr w14:val="tx1"/>
            </w14:solidFill>
          </w14:textFill>
        </w:rPr>
        <w:t>日在</w:t>
      </w:r>
      <w:r>
        <w:rPr>
          <w:rFonts w:hint="eastAsia" w:ascii="宋体" w:hAnsi="宋体"/>
          <w:color w:val="000000" w:themeColor="text1"/>
          <w:sz w:val="28"/>
          <w:szCs w:val="28"/>
          <w:lang w:val="en-US" w:eastAsia="zh-CN"/>
          <w14:textFill>
            <w14:solidFill>
              <w14:schemeClr w14:val="tx1"/>
            </w14:solidFill>
          </w14:textFill>
        </w:rPr>
        <w:t>宁阳县</w:t>
      </w:r>
      <w:r>
        <w:rPr>
          <w:rFonts w:hint="eastAsia" w:ascii="宋体" w:hAnsi="宋体"/>
          <w:color w:val="000000" w:themeColor="text1"/>
          <w:sz w:val="28"/>
          <w:szCs w:val="28"/>
          <w14:textFill>
            <w14:solidFill>
              <w14:schemeClr w14:val="tx1"/>
            </w14:solidFill>
          </w14:textFill>
        </w:rPr>
        <w:t>应急管理局进行了备案，备案编号为：3709</w:t>
      </w:r>
      <w:r>
        <w:rPr>
          <w:rFonts w:hint="eastAsia" w:ascii="宋体" w:hAnsi="宋体"/>
          <w:color w:val="000000" w:themeColor="text1"/>
          <w:sz w:val="28"/>
          <w:szCs w:val="28"/>
          <w:lang w:val="en-US" w:eastAsia="zh-CN"/>
          <w14:textFill>
            <w14:solidFill>
              <w14:schemeClr w14:val="tx1"/>
            </w14:solidFill>
          </w14:textFill>
        </w:rPr>
        <w:t>21</w:t>
      </w:r>
      <w:r>
        <w:rPr>
          <w:rFonts w:hint="eastAsia" w:ascii="宋体" w:hAnsi="宋体"/>
          <w:color w:val="000000" w:themeColor="text1"/>
          <w:sz w:val="28"/>
          <w:szCs w:val="28"/>
          <w14:textFill>
            <w14:solidFill>
              <w14:schemeClr w14:val="tx1"/>
            </w14:solidFill>
          </w14:textFill>
        </w:rPr>
        <w:t>-202</w:t>
      </w:r>
      <w:r>
        <w:rPr>
          <w:rFonts w:hint="eastAsia" w:ascii="宋体" w:hAnsi="宋体"/>
          <w:color w:val="000000" w:themeColor="text1"/>
          <w:sz w:val="28"/>
          <w:szCs w:val="28"/>
          <w:lang w:val="en-US" w:eastAsia="zh-CN"/>
          <w14:textFill>
            <w14:solidFill>
              <w14:schemeClr w14:val="tx1"/>
            </w14:solidFill>
          </w14:textFill>
        </w:rPr>
        <w:t>5</w:t>
      </w:r>
      <w:r>
        <w:rPr>
          <w:rFonts w:hint="eastAsia" w:ascii="宋体" w:hAnsi="宋体"/>
          <w:color w:val="000000" w:themeColor="text1"/>
          <w:sz w:val="28"/>
          <w:szCs w:val="28"/>
          <w14:textFill>
            <w14:solidFill>
              <w14:schemeClr w14:val="tx1"/>
            </w14:solidFill>
          </w14:textFill>
        </w:rPr>
        <w:t>-</w:t>
      </w:r>
      <w:r>
        <w:rPr>
          <w:rFonts w:hint="eastAsia" w:ascii="宋体" w:hAnsi="宋体"/>
          <w:color w:val="000000" w:themeColor="text1"/>
          <w:sz w:val="28"/>
          <w:szCs w:val="28"/>
          <w:lang w:val="en-US" w:eastAsia="zh-CN"/>
          <w14:textFill>
            <w14:solidFill>
              <w14:schemeClr w14:val="tx1"/>
            </w14:solidFill>
          </w14:textFill>
        </w:rPr>
        <w:t>YJ0061</w:t>
      </w:r>
      <w:r>
        <w:rPr>
          <w:rFonts w:hint="eastAsia" w:ascii="宋体" w:hAnsi="宋体"/>
          <w:color w:val="000000" w:themeColor="text1"/>
          <w:sz w:val="28"/>
          <w:szCs w:val="28"/>
          <w14:textFill>
            <w14:solidFill>
              <w14:schemeClr w14:val="tx1"/>
            </w14:solidFill>
          </w14:textFill>
        </w:rPr>
        <w:t>，详见附件。</w:t>
      </w:r>
    </w:p>
    <w:p w14:paraId="077001B7">
      <w:pPr>
        <w:adjustRightInd w:val="0"/>
        <w:snapToGrid w:val="0"/>
        <w:spacing w:line="360" w:lineRule="auto"/>
        <w:ind w:firstLine="560" w:firstLineChars="200"/>
        <w:rPr>
          <w:rFonts w:ascii="宋体" w:hAnsi="宋体"/>
          <w:color w:val="000000" w:themeColor="text1"/>
          <w:sz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山东天科防雷工程有限公司对该站进行了相关防雷设施的检测，出具了合格的《雷电防护装置定期检测报告》，报告编号：（1122016001）[2025]D-TA</w:t>
      </w:r>
      <w:r>
        <w:rPr>
          <w:rFonts w:hint="eastAsia" w:ascii="宋体" w:hAnsi="宋体"/>
          <w:color w:val="000000" w:themeColor="text1"/>
          <w:sz w:val="28"/>
          <w:szCs w:val="28"/>
          <w:lang w:val="en-US" w:eastAsia="zh-CN"/>
          <w14:textFill>
            <w14:solidFill>
              <w14:schemeClr w14:val="tx1"/>
            </w14:solidFill>
          </w14:textFill>
        </w:rPr>
        <w:t>NY</w:t>
      </w:r>
      <w:r>
        <w:rPr>
          <w:rFonts w:hint="eastAsia" w:ascii="宋体" w:hAnsi="宋体"/>
          <w:color w:val="000000" w:themeColor="text1"/>
          <w:sz w:val="28"/>
          <w:szCs w:val="28"/>
          <w14:textFill>
            <w14:solidFill>
              <w14:schemeClr w14:val="tx1"/>
            </w14:solidFill>
          </w14:textFill>
        </w:rPr>
        <w:t>0</w:t>
      </w:r>
      <w:r>
        <w:rPr>
          <w:rFonts w:hint="eastAsia" w:ascii="宋体" w:hAnsi="宋体"/>
          <w:color w:val="000000" w:themeColor="text1"/>
          <w:sz w:val="28"/>
          <w:szCs w:val="28"/>
          <w:lang w:val="en-US" w:eastAsia="zh-CN"/>
          <w14:textFill>
            <w14:solidFill>
              <w14:schemeClr w14:val="tx1"/>
            </w14:solidFill>
          </w14:textFill>
        </w:rPr>
        <w:t>180</w:t>
      </w:r>
      <w:r>
        <w:rPr>
          <w:rFonts w:hint="eastAsia" w:ascii="宋体" w:hAnsi="宋体"/>
          <w:color w:val="000000" w:themeColor="text1"/>
          <w:sz w:val="28"/>
          <w:szCs w:val="28"/>
          <w14:textFill>
            <w14:solidFill>
              <w14:schemeClr w14:val="tx1"/>
            </w14:solidFill>
          </w14:textFill>
        </w:rPr>
        <w:t>号，防雷类别：二类，结论为“合格：加油站雷电防</w:t>
      </w:r>
      <w:r>
        <w:rPr>
          <w:rFonts w:hint="eastAsia" w:ascii="宋体" w:hAnsi="宋体"/>
          <w:color w:val="000000" w:themeColor="text1"/>
          <w:sz w:val="28"/>
          <w14:textFill>
            <w14:solidFill>
              <w14:schemeClr w14:val="tx1"/>
            </w14:solidFill>
          </w14:textFill>
        </w:rPr>
        <w:t>护装置符合现行国家防雷规范标准要求”，有效期至2026年0</w:t>
      </w:r>
      <w:r>
        <w:rPr>
          <w:rFonts w:hint="eastAsia" w:ascii="宋体" w:hAnsi="宋体"/>
          <w:color w:val="000000" w:themeColor="text1"/>
          <w:sz w:val="28"/>
          <w:lang w:val="en-US" w:eastAsia="zh-CN"/>
          <w14:textFill>
            <w14:solidFill>
              <w14:schemeClr w14:val="tx1"/>
            </w14:solidFill>
          </w14:textFill>
        </w:rPr>
        <w:t>5</w:t>
      </w:r>
      <w:r>
        <w:rPr>
          <w:rFonts w:hint="eastAsia" w:ascii="宋体" w:hAnsi="宋体"/>
          <w:color w:val="000000" w:themeColor="text1"/>
          <w:sz w:val="28"/>
          <w14:textFill>
            <w14:solidFill>
              <w14:schemeClr w14:val="tx1"/>
            </w14:solidFill>
          </w14:textFill>
        </w:rPr>
        <w:t>月</w:t>
      </w:r>
      <w:r>
        <w:rPr>
          <w:rFonts w:hint="eastAsia" w:ascii="宋体" w:hAnsi="宋体"/>
          <w:color w:val="000000" w:themeColor="text1"/>
          <w:sz w:val="28"/>
          <w:lang w:val="en-US" w:eastAsia="zh-CN"/>
          <w14:textFill>
            <w14:solidFill>
              <w14:schemeClr w14:val="tx1"/>
            </w14:solidFill>
          </w14:textFill>
        </w:rPr>
        <w:t>23</w:t>
      </w:r>
      <w:r>
        <w:rPr>
          <w:rFonts w:hint="eastAsia" w:ascii="宋体" w:hAnsi="宋体"/>
          <w:color w:val="000000" w:themeColor="text1"/>
          <w:sz w:val="28"/>
          <w14:textFill>
            <w14:solidFill>
              <w14:schemeClr w14:val="tx1"/>
            </w14:solidFill>
          </w14:textFill>
        </w:rPr>
        <w:t>日，检测报告见附件。</w:t>
      </w:r>
    </w:p>
    <w:p w14:paraId="54138E6D">
      <w:pPr>
        <w:pStyle w:val="9"/>
        <w:widowControl w:val="0"/>
        <w:adjustRightInd w:val="0"/>
        <w:snapToGrid w:val="0"/>
        <w:spacing w:line="360" w:lineRule="auto"/>
        <w:ind w:firstLine="560"/>
        <w:rPr>
          <w:rFonts w:ascii="宋体"/>
          <w:color w:val="000000" w:themeColor="text1"/>
          <w:shd w:val="clear" w:color="auto" w:fill="FFC000"/>
          <w14:textFill>
            <w14:solidFill>
              <w14:schemeClr w14:val="tx1"/>
            </w14:solidFill>
          </w14:textFill>
        </w:rPr>
      </w:pPr>
      <w:r>
        <w:rPr>
          <w:rFonts w:hint="eastAsia" w:ascii="宋体"/>
          <w:color w:val="000000" w:themeColor="text1"/>
          <w:lang w:val="en-US" w:eastAsia="zh-CN"/>
          <w14:textFill>
            <w14:solidFill>
              <w14:schemeClr w14:val="tx1"/>
            </w14:solidFill>
          </w14:textFill>
        </w:rPr>
        <w:t>唐山恒测计量器具检测</w:t>
      </w:r>
      <w:r>
        <w:rPr>
          <w:rFonts w:hint="eastAsia" w:ascii="宋体"/>
          <w:color w:val="000000" w:themeColor="text1"/>
          <w14:textFill>
            <w14:solidFill>
              <w14:schemeClr w14:val="tx1"/>
            </w14:solidFill>
          </w14:textFill>
        </w:rPr>
        <w:t>有限公司对该站的</w:t>
      </w:r>
      <w:r>
        <w:rPr>
          <w:rFonts w:hint="eastAsia" w:ascii="宋体"/>
          <w:color w:val="000000" w:themeColor="text1"/>
          <w:lang w:val="en-US" w:eastAsia="zh-CN"/>
          <w14:textFill>
            <w14:solidFill>
              <w14:schemeClr w14:val="tx1"/>
            </w14:solidFill>
          </w14:textFill>
        </w:rPr>
        <w:t>2</w:t>
      </w:r>
      <w:r>
        <w:rPr>
          <w:rFonts w:hint="eastAsia" w:ascii="宋体"/>
          <w:color w:val="000000" w:themeColor="text1"/>
          <w14:textFill>
            <w14:solidFill>
              <w14:schemeClr w14:val="tx1"/>
            </w14:solidFill>
          </w14:textFill>
        </w:rPr>
        <w:t>个可燃气体检测报警器进行了相关检验，出具了合格的《校准证书》，校准结果：符合要求。校准日期为2025年0</w:t>
      </w:r>
      <w:r>
        <w:rPr>
          <w:rFonts w:hint="eastAsia" w:ascii="宋体"/>
          <w:color w:val="000000" w:themeColor="text1"/>
          <w:lang w:val="en-US" w:eastAsia="zh-CN"/>
          <w14:textFill>
            <w14:solidFill>
              <w14:schemeClr w14:val="tx1"/>
            </w14:solidFill>
          </w14:textFill>
        </w:rPr>
        <w:t>3</w:t>
      </w:r>
      <w:r>
        <w:rPr>
          <w:rFonts w:hint="eastAsia" w:ascii="宋体"/>
          <w:color w:val="000000" w:themeColor="text1"/>
          <w14:textFill>
            <w14:solidFill>
              <w14:schemeClr w14:val="tx1"/>
            </w14:solidFill>
          </w14:textFill>
        </w:rPr>
        <w:t>月</w:t>
      </w:r>
      <w:r>
        <w:rPr>
          <w:rFonts w:hint="eastAsia" w:ascii="宋体"/>
          <w:color w:val="000000" w:themeColor="text1"/>
          <w:lang w:val="en-US" w:eastAsia="zh-CN"/>
          <w14:textFill>
            <w14:solidFill>
              <w14:schemeClr w14:val="tx1"/>
            </w14:solidFill>
          </w14:textFill>
        </w:rPr>
        <w:t>31</w:t>
      </w:r>
      <w:r>
        <w:rPr>
          <w:rFonts w:hint="eastAsia" w:ascii="宋体"/>
          <w:color w:val="000000" w:themeColor="text1"/>
          <w14:textFill>
            <w14:solidFill>
              <w14:schemeClr w14:val="tx1"/>
            </w14:solidFill>
          </w14:textFill>
        </w:rPr>
        <w:t>日，有效期至2026年0</w:t>
      </w:r>
      <w:r>
        <w:rPr>
          <w:rFonts w:hint="eastAsia" w:ascii="宋体"/>
          <w:color w:val="000000" w:themeColor="text1"/>
          <w:lang w:val="en-US" w:eastAsia="zh-CN"/>
          <w14:textFill>
            <w14:solidFill>
              <w14:schemeClr w14:val="tx1"/>
            </w14:solidFill>
          </w14:textFill>
        </w:rPr>
        <w:t>3</w:t>
      </w:r>
      <w:r>
        <w:rPr>
          <w:rFonts w:hint="eastAsia" w:ascii="宋体"/>
          <w:color w:val="000000" w:themeColor="text1"/>
          <w14:textFill>
            <w14:solidFill>
              <w14:schemeClr w14:val="tx1"/>
            </w14:solidFill>
          </w14:textFill>
        </w:rPr>
        <w:t>月</w:t>
      </w:r>
      <w:r>
        <w:rPr>
          <w:rFonts w:hint="eastAsia" w:ascii="宋体"/>
          <w:color w:val="000000" w:themeColor="text1"/>
          <w:lang w:val="en-US" w:eastAsia="zh-CN"/>
          <w14:textFill>
            <w14:solidFill>
              <w14:schemeClr w14:val="tx1"/>
            </w14:solidFill>
          </w14:textFill>
        </w:rPr>
        <w:t>30</w:t>
      </w:r>
      <w:r>
        <w:rPr>
          <w:rFonts w:hint="eastAsia" w:ascii="宋体"/>
          <w:color w:val="000000" w:themeColor="text1"/>
          <w14:textFill>
            <w14:solidFill>
              <w14:schemeClr w14:val="tx1"/>
            </w14:solidFill>
          </w14:textFill>
        </w:rPr>
        <w:t>日。</w:t>
      </w:r>
    </w:p>
    <w:p w14:paraId="2C452701">
      <w:pPr>
        <w:pStyle w:val="9"/>
        <w:widowControl w:val="0"/>
        <w:adjustRightInd w:val="0"/>
        <w:snapToGrid w:val="0"/>
        <w:spacing w:line="360" w:lineRule="auto"/>
        <w:ind w:firstLine="560"/>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该站在中</w:t>
      </w:r>
      <w:r>
        <w:rPr>
          <w:rFonts w:hint="eastAsia" w:ascii="宋体"/>
          <w:color w:val="000000" w:themeColor="text1"/>
          <w:lang w:val="en-US" w:eastAsia="zh-CN"/>
          <w14:textFill>
            <w14:solidFill>
              <w14:schemeClr w14:val="tx1"/>
            </w14:solidFill>
          </w14:textFill>
        </w:rPr>
        <w:t>国平安</w:t>
      </w:r>
      <w:r>
        <w:rPr>
          <w:rFonts w:hint="eastAsia" w:ascii="宋体"/>
          <w:color w:val="000000" w:themeColor="text1"/>
          <w14:textFill>
            <w14:solidFill>
              <w14:schemeClr w14:val="tx1"/>
            </w14:solidFill>
          </w14:textFill>
        </w:rPr>
        <w:t>财产保险股份有限公司投保安全生产责任险，保险期限202</w:t>
      </w:r>
      <w:r>
        <w:rPr>
          <w:rFonts w:hint="eastAsia" w:ascii="宋体"/>
          <w:color w:val="000000" w:themeColor="text1"/>
          <w:lang w:val="en-US" w:eastAsia="zh-CN"/>
          <w14:textFill>
            <w14:solidFill>
              <w14:schemeClr w14:val="tx1"/>
            </w14:solidFill>
          </w14:textFill>
        </w:rPr>
        <w:t>5</w:t>
      </w:r>
      <w:r>
        <w:rPr>
          <w:rFonts w:hint="eastAsia" w:ascii="宋体"/>
          <w:color w:val="000000" w:themeColor="text1"/>
          <w14:textFill>
            <w14:solidFill>
              <w14:schemeClr w14:val="tx1"/>
            </w14:solidFill>
          </w14:textFill>
        </w:rPr>
        <w:t>年</w:t>
      </w:r>
      <w:r>
        <w:rPr>
          <w:rFonts w:hint="eastAsia" w:ascii="宋体"/>
          <w:color w:val="000000" w:themeColor="text1"/>
          <w:lang w:val="en-US" w:eastAsia="zh-CN"/>
          <w14:textFill>
            <w14:solidFill>
              <w14:schemeClr w14:val="tx1"/>
            </w14:solidFill>
          </w14:textFill>
        </w:rPr>
        <w:t>10</w:t>
      </w:r>
      <w:r>
        <w:rPr>
          <w:rFonts w:hint="eastAsia" w:ascii="宋体"/>
          <w:color w:val="000000" w:themeColor="text1"/>
          <w14:textFill>
            <w14:solidFill>
              <w14:schemeClr w14:val="tx1"/>
            </w14:solidFill>
          </w14:textFill>
        </w:rPr>
        <w:t>月29日至202</w:t>
      </w:r>
      <w:r>
        <w:rPr>
          <w:rFonts w:hint="eastAsia" w:ascii="宋体"/>
          <w:color w:val="000000" w:themeColor="text1"/>
          <w:lang w:val="en-US" w:eastAsia="zh-CN"/>
          <w14:textFill>
            <w14:solidFill>
              <w14:schemeClr w14:val="tx1"/>
            </w14:solidFill>
          </w14:textFill>
        </w:rPr>
        <w:t>6</w:t>
      </w:r>
      <w:r>
        <w:rPr>
          <w:rFonts w:hint="eastAsia" w:ascii="宋体"/>
          <w:color w:val="000000" w:themeColor="text1"/>
          <w14:textFill>
            <w14:solidFill>
              <w14:schemeClr w14:val="tx1"/>
            </w14:solidFill>
          </w14:textFill>
        </w:rPr>
        <w:t>年</w:t>
      </w:r>
      <w:r>
        <w:rPr>
          <w:rFonts w:hint="eastAsia" w:ascii="宋体"/>
          <w:color w:val="000000" w:themeColor="text1"/>
          <w:lang w:val="en-US" w:eastAsia="zh-CN"/>
          <w14:textFill>
            <w14:solidFill>
              <w14:schemeClr w14:val="tx1"/>
            </w14:solidFill>
          </w14:textFill>
        </w:rPr>
        <w:t>10</w:t>
      </w:r>
      <w:r>
        <w:rPr>
          <w:rFonts w:hint="eastAsia" w:ascii="宋体"/>
          <w:color w:val="000000" w:themeColor="text1"/>
          <w14:textFill>
            <w14:solidFill>
              <w14:schemeClr w14:val="tx1"/>
            </w14:solidFill>
          </w14:textFill>
        </w:rPr>
        <w:t>月28日，详见附件。</w:t>
      </w:r>
    </w:p>
    <w:p w14:paraId="0693CF36">
      <w:pPr>
        <w:pStyle w:val="9"/>
        <w:widowControl w:val="0"/>
        <w:adjustRightInd w:val="0"/>
        <w:snapToGrid w:val="0"/>
        <w:spacing w:line="360" w:lineRule="auto"/>
        <w:ind w:firstLine="560"/>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该站建立健全了安全生产责任制、安全生产规章制度和安全操作规程，执行情况较好。</w:t>
      </w:r>
    </w:p>
    <w:p w14:paraId="79A8433E">
      <w:pPr>
        <w:pStyle w:val="9"/>
        <w:widowControl w:val="0"/>
        <w:adjustRightInd w:val="0"/>
        <w:snapToGrid w:val="0"/>
        <w:spacing w:line="360" w:lineRule="auto"/>
        <w:ind w:firstLine="560"/>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该站有生产经营单位生产事故应急预案，并定期进行应急救援演练。该加油站消防器材配备齐全，加油站配备了35kg推车式干粉灭火器</w:t>
      </w:r>
      <w:r>
        <w:rPr>
          <w:rFonts w:hint="eastAsia" w:ascii="宋体"/>
          <w:color w:val="000000" w:themeColor="text1"/>
          <w:lang w:val="en-US" w:eastAsia="zh-CN"/>
          <w14:textFill>
            <w14:solidFill>
              <w14:schemeClr w14:val="tx1"/>
            </w14:solidFill>
          </w14:textFill>
        </w:rPr>
        <w:t>2</w:t>
      </w:r>
      <w:r>
        <w:rPr>
          <w:rFonts w:hint="eastAsia" w:ascii="宋体"/>
          <w:color w:val="000000" w:themeColor="text1"/>
          <w14:textFill>
            <w14:solidFill>
              <w14:schemeClr w14:val="tx1"/>
            </w14:solidFill>
          </w14:textFill>
        </w:rPr>
        <w:t>具，</w:t>
      </w:r>
      <w:r>
        <w:rPr>
          <w:rFonts w:hint="eastAsia" w:ascii="宋体"/>
          <w:color w:val="000000" w:themeColor="text1"/>
          <w:lang w:val="en-US" w:eastAsia="zh-CN"/>
          <w14:textFill>
            <w14:solidFill>
              <w14:schemeClr w14:val="tx1"/>
            </w14:solidFill>
          </w14:textFill>
        </w:rPr>
        <w:t>8</w:t>
      </w:r>
      <w:r>
        <w:rPr>
          <w:rFonts w:hint="eastAsia" w:ascii="宋体"/>
          <w:color w:val="000000" w:themeColor="text1"/>
          <w14:textFill>
            <w14:solidFill>
              <w14:schemeClr w14:val="tx1"/>
            </w14:solidFill>
          </w14:textFill>
        </w:rPr>
        <w:t>kg手提式干粉灭火器1</w:t>
      </w:r>
      <w:r>
        <w:rPr>
          <w:rFonts w:hint="eastAsia" w:ascii="宋体"/>
          <w:color w:val="000000" w:themeColor="text1"/>
          <w:lang w:val="en-US" w:eastAsia="zh-CN"/>
          <w14:textFill>
            <w14:solidFill>
              <w14:schemeClr w14:val="tx1"/>
            </w14:solidFill>
          </w14:textFill>
        </w:rPr>
        <w:t>4</w:t>
      </w:r>
      <w:r>
        <w:rPr>
          <w:rFonts w:hint="eastAsia" w:ascii="宋体"/>
          <w:color w:val="000000" w:themeColor="text1"/>
          <w14:textFill>
            <w14:solidFill>
              <w14:schemeClr w14:val="tx1"/>
            </w14:solidFill>
          </w14:textFill>
        </w:rPr>
        <w:t>具，CO</w:t>
      </w:r>
      <w:r>
        <w:rPr>
          <w:rFonts w:hint="eastAsia" w:ascii="宋体"/>
          <w:color w:val="000000" w:themeColor="text1"/>
          <w:vertAlign w:val="subscript"/>
          <w14:textFill>
            <w14:solidFill>
              <w14:schemeClr w14:val="tx1"/>
            </w14:solidFill>
          </w14:textFill>
        </w:rPr>
        <w:t>2</w:t>
      </w:r>
      <w:r>
        <w:rPr>
          <w:rFonts w:hint="eastAsia" w:ascii="宋体"/>
          <w:color w:val="000000" w:themeColor="text1"/>
          <w14:textFill>
            <w14:solidFill>
              <w14:schemeClr w14:val="tx1"/>
            </w14:solidFill>
          </w14:textFill>
        </w:rPr>
        <w:t>灭火器</w:t>
      </w:r>
      <w:r>
        <w:rPr>
          <w:rFonts w:hint="eastAsia" w:ascii="宋体"/>
          <w:color w:val="000000" w:themeColor="text1"/>
          <w:lang w:val="en-US" w:eastAsia="zh-CN"/>
          <w14:textFill>
            <w14:solidFill>
              <w14:schemeClr w14:val="tx1"/>
            </w14:solidFill>
          </w14:textFill>
        </w:rPr>
        <w:t>2</w:t>
      </w:r>
      <w:r>
        <w:rPr>
          <w:rFonts w:hint="eastAsia" w:ascii="宋体"/>
          <w:color w:val="000000" w:themeColor="text1"/>
          <w14:textFill>
            <w14:solidFill>
              <w14:schemeClr w14:val="tx1"/>
            </w14:solidFill>
          </w14:textFill>
        </w:rPr>
        <w:t>具，灭火毯</w:t>
      </w:r>
      <w:r>
        <w:rPr>
          <w:rFonts w:hint="eastAsia" w:ascii="宋体"/>
          <w:color w:val="000000" w:themeColor="text1"/>
          <w:lang w:val="en-US" w:eastAsia="zh-CN"/>
          <w14:textFill>
            <w14:solidFill>
              <w14:schemeClr w14:val="tx1"/>
            </w14:solidFill>
          </w14:textFill>
        </w:rPr>
        <w:t>8</w:t>
      </w:r>
      <w:r>
        <w:rPr>
          <w:rFonts w:hint="eastAsia" w:ascii="宋体"/>
          <w:color w:val="000000" w:themeColor="text1"/>
          <w14:textFill>
            <w14:solidFill>
              <w14:schemeClr w14:val="tx1"/>
            </w14:solidFill>
          </w14:textFill>
        </w:rPr>
        <w:t>块，消防锨</w:t>
      </w:r>
      <w:r>
        <w:rPr>
          <w:rFonts w:hint="eastAsia" w:ascii="宋体"/>
          <w:color w:val="000000" w:themeColor="text1"/>
          <w:lang w:val="en-US" w:eastAsia="zh-CN"/>
          <w14:textFill>
            <w14:solidFill>
              <w14:schemeClr w14:val="tx1"/>
            </w14:solidFill>
          </w14:textFill>
        </w:rPr>
        <w:t>3</w:t>
      </w:r>
      <w:r>
        <w:rPr>
          <w:rFonts w:hint="eastAsia" w:ascii="宋体"/>
          <w:color w:val="000000" w:themeColor="text1"/>
          <w14:textFill>
            <w14:solidFill>
              <w14:schemeClr w14:val="tx1"/>
            </w14:solidFill>
          </w14:textFill>
        </w:rPr>
        <w:t>把，消防桶</w:t>
      </w:r>
      <w:r>
        <w:rPr>
          <w:rFonts w:hint="eastAsia" w:ascii="宋体"/>
          <w:color w:val="000000" w:themeColor="text1"/>
          <w:lang w:val="en-US" w:eastAsia="zh-CN"/>
          <w14:textFill>
            <w14:solidFill>
              <w14:schemeClr w14:val="tx1"/>
            </w14:solidFill>
          </w14:textFill>
        </w:rPr>
        <w:t>3</w:t>
      </w:r>
      <w:r>
        <w:rPr>
          <w:rFonts w:hint="eastAsia" w:ascii="宋体"/>
          <w:color w:val="000000" w:themeColor="text1"/>
          <w14:textFill>
            <w14:solidFill>
              <w14:schemeClr w14:val="tx1"/>
            </w14:solidFill>
          </w14:textFill>
        </w:rPr>
        <w:t>个，消防沙池2m</w:t>
      </w:r>
      <w:r>
        <w:rPr>
          <w:rFonts w:hint="eastAsia" w:ascii="宋体"/>
          <w:color w:val="000000" w:themeColor="text1"/>
          <w:vertAlign w:val="superscript"/>
          <w14:textFill>
            <w14:solidFill>
              <w14:schemeClr w14:val="tx1"/>
            </w14:solidFill>
          </w14:textFill>
        </w:rPr>
        <w:t>3</w:t>
      </w:r>
      <w:r>
        <w:rPr>
          <w:rFonts w:hint="eastAsia" w:ascii="宋体"/>
          <w:color w:val="000000" w:themeColor="text1"/>
          <w14:textFill>
            <w14:solidFill>
              <w14:schemeClr w14:val="tx1"/>
            </w14:solidFill>
          </w14:textFill>
        </w:rPr>
        <w:t>。</w:t>
      </w:r>
    </w:p>
    <w:p w14:paraId="57E8458B">
      <w:pPr>
        <w:pStyle w:val="9"/>
        <w:widowControl w:val="0"/>
        <w:adjustRightInd w:val="0"/>
        <w:snapToGrid w:val="0"/>
        <w:spacing w:line="360" w:lineRule="auto"/>
        <w:ind w:firstLine="560"/>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该加油站按功能分区布置，有油罐区、加油区、站房</w:t>
      </w:r>
      <w:r>
        <w:rPr>
          <w:rFonts w:hint="eastAsia" w:ascii="宋体"/>
          <w:color w:val="000000" w:themeColor="text1"/>
          <w:lang w:eastAsia="zh-CN"/>
          <w14:textFill>
            <w14:solidFill>
              <w14:schemeClr w14:val="tx1"/>
            </w14:solidFill>
          </w14:textFill>
        </w:rPr>
        <w:t>、</w:t>
      </w:r>
      <w:r>
        <w:rPr>
          <w:rFonts w:hint="eastAsia" w:ascii="宋体"/>
          <w:color w:val="000000" w:themeColor="text1"/>
          <w:lang w:val="en-US" w:eastAsia="zh-CN"/>
          <w14:textFill>
            <w14:solidFill>
              <w14:schemeClr w14:val="tx1"/>
            </w14:solidFill>
          </w14:textFill>
        </w:rPr>
        <w:t>辅助服务区</w:t>
      </w:r>
      <w:r>
        <w:rPr>
          <w:rFonts w:hint="eastAsia" w:ascii="宋体"/>
          <w:color w:val="000000" w:themeColor="text1"/>
          <w14:textFill>
            <w14:solidFill>
              <w14:schemeClr w14:val="tx1"/>
            </w14:solidFill>
          </w14:textFill>
        </w:rPr>
        <w:t>，布置较合理。</w:t>
      </w:r>
    </w:p>
    <w:p w14:paraId="6AFFCC11">
      <w:pPr>
        <w:pStyle w:val="9"/>
        <w:widowControl w:val="0"/>
        <w:adjustRightInd w:val="0"/>
        <w:snapToGrid w:val="0"/>
        <w:spacing w:line="360" w:lineRule="auto"/>
        <w:ind w:firstLine="560"/>
        <w:rPr>
          <w:rFonts w:ascii="宋体"/>
          <w:color w:val="000000" w:themeColor="text1"/>
          <w14:textFill>
            <w14:solidFill>
              <w14:schemeClr w14:val="tx1"/>
            </w14:solidFill>
          </w14:textFill>
        </w:rPr>
      </w:pPr>
      <w:r>
        <w:rPr>
          <w:rFonts w:hint="eastAsia" w:ascii="宋体"/>
          <w:color w:val="000000" w:themeColor="text1"/>
          <w14:textFill>
            <w14:solidFill>
              <w14:schemeClr w14:val="tx1"/>
            </w14:solidFill>
          </w14:textFill>
        </w:rPr>
        <w:t>站房地上一层（砖混），罩棚为钢架结构。</w:t>
      </w:r>
      <w:r>
        <w:rPr>
          <w:rFonts w:ascii="宋体"/>
          <w:color w:val="000000" w:themeColor="text1"/>
          <w14:textFill>
            <w14:solidFill>
              <w14:schemeClr w14:val="tx1"/>
            </w14:solidFill>
          </w14:textFill>
        </w:rPr>
        <w:t>该站基本情况见下表2.1-2。</w:t>
      </w:r>
      <w:r>
        <w:rPr>
          <w:rFonts w:hint="eastAsia" w:ascii="宋体"/>
          <w:color w:val="000000" w:themeColor="text1"/>
          <w14:textFill>
            <w14:solidFill>
              <w14:schemeClr w14:val="tx1"/>
            </w14:solidFill>
          </w14:textFill>
        </w:rPr>
        <w:t xml:space="preserve">                                                                                                                                                                                                                                                                                                                                                                                                                                                                                                                                                                                                                                                                                                                                                                                                                                                                                                                                                                                                                                                                                                                                                                                                                                                                                                                                                                                                                                                                                                                                                                                                                                                                                                                                                                                                                                                                                                                                                                                                                                                                                                                                                                                                                                                                                                                                                                                                                                                                                                                                                                                                                                                                                                                                                                                                                                                                                                                                                                                                                                                                                                                                                                                                                                                                                                                                                             </w:t>
      </w:r>
    </w:p>
    <w:p w14:paraId="7244A2AE">
      <w:pPr>
        <w:pStyle w:val="11"/>
        <w:widowControl w:val="0"/>
        <w:adjustRightInd w:val="0"/>
        <w:snapToGrid w:val="0"/>
        <w:spacing w:line="360" w:lineRule="auto"/>
        <w:outlineLvl w:val="9"/>
        <w:rPr>
          <w:rFonts w:ascii="黑体" w:hAnsi="黑体"/>
          <w:color w:val="000000" w:themeColor="text1"/>
          <w14:textFill>
            <w14:solidFill>
              <w14:schemeClr w14:val="tx1"/>
            </w14:solidFill>
          </w14:textFill>
        </w:rPr>
      </w:pPr>
      <w:r>
        <w:rPr>
          <w:rFonts w:ascii="黑体" w:hAnsi="黑体"/>
          <w:color w:val="000000" w:themeColor="text1"/>
          <w14:textFill>
            <w14:solidFill>
              <w14:schemeClr w14:val="tx1"/>
            </w14:solidFill>
          </w14:textFill>
        </w:rPr>
        <w:t>表2.1-2 加油站基本情况表</w:t>
      </w:r>
    </w:p>
    <w:tbl>
      <w:tblPr>
        <w:tblStyle w:val="4"/>
        <w:tblW w:w="5000"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57" w:type="dxa"/>
          <w:left w:w="108" w:type="dxa"/>
          <w:bottom w:w="57" w:type="dxa"/>
          <w:right w:w="108" w:type="dxa"/>
        </w:tblCellMar>
      </w:tblPr>
      <w:tblGrid>
        <w:gridCol w:w="1596"/>
        <w:gridCol w:w="1602"/>
        <w:gridCol w:w="1051"/>
        <w:gridCol w:w="1211"/>
        <w:gridCol w:w="169"/>
        <w:gridCol w:w="116"/>
        <w:gridCol w:w="1221"/>
        <w:gridCol w:w="235"/>
        <w:gridCol w:w="915"/>
        <w:gridCol w:w="245"/>
        <w:gridCol w:w="1266"/>
      </w:tblGrid>
      <w:tr w14:paraId="7CA4C7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54" w:hRule="atLeast"/>
          <w:jc w:val="center"/>
        </w:trPr>
        <w:tc>
          <w:tcPr>
            <w:tcW w:w="829" w:type="pct"/>
            <w:vAlign w:val="center"/>
          </w:tcPr>
          <w:p w14:paraId="4E21ECD0">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企业名称</w:t>
            </w:r>
          </w:p>
        </w:tc>
        <w:tc>
          <w:tcPr>
            <w:tcW w:w="4170" w:type="pct"/>
            <w:gridSpan w:val="10"/>
            <w:vAlign w:val="center"/>
          </w:tcPr>
          <w:p w14:paraId="0686CE4B">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泰安鑫华腾石油有限公司</w:t>
            </w:r>
          </w:p>
        </w:tc>
      </w:tr>
      <w:tr w14:paraId="289C38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54" w:hRule="atLeast"/>
          <w:jc w:val="center"/>
        </w:trPr>
        <w:tc>
          <w:tcPr>
            <w:tcW w:w="829" w:type="pct"/>
            <w:vAlign w:val="center"/>
          </w:tcPr>
          <w:p w14:paraId="589396F0">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注册地址</w:t>
            </w:r>
          </w:p>
        </w:tc>
        <w:tc>
          <w:tcPr>
            <w:tcW w:w="4170" w:type="pct"/>
            <w:gridSpan w:val="10"/>
            <w:vAlign w:val="center"/>
          </w:tcPr>
          <w:p w14:paraId="31125D90">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山东省泰安市宁阳县华丰镇华丰煤矿东50米处路北</w:t>
            </w:r>
          </w:p>
        </w:tc>
      </w:tr>
      <w:tr w14:paraId="0611849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54" w:hRule="atLeast"/>
          <w:jc w:val="center"/>
        </w:trPr>
        <w:tc>
          <w:tcPr>
            <w:tcW w:w="829" w:type="pct"/>
            <w:vAlign w:val="center"/>
          </w:tcPr>
          <w:p w14:paraId="0C220329">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电话</w:t>
            </w:r>
          </w:p>
        </w:tc>
        <w:tc>
          <w:tcPr>
            <w:tcW w:w="1378" w:type="pct"/>
            <w:gridSpan w:val="2"/>
            <w:vAlign w:val="center"/>
          </w:tcPr>
          <w:p w14:paraId="0FE00614">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15269891138</w:t>
            </w:r>
          </w:p>
        </w:tc>
        <w:tc>
          <w:tcPr>
            <w:tcW w:w="776" w:type="pct"/>
            <w:gridSpan w:val="3"/>
            <w:vAlign w:val="center"/>
          </w:tcPr>
          <w:p w14:paraId="2055DA00">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传 真</w:t>
            </w:r>
          </w:p>
        </w:tc>
        <w:tc>
          <w:tcPr>
            <w:tcW w:w="633" w:type="pct"/>
            <w:vAlign w:val="center"/>
          </w:tcPr>
          <w:p w14:paraId="1898F656">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w:t>
            </w:r>
          </w:p>
        </w:tc>
        <w:tc>
          <w:tcPr>
            <w:tcW w:w="597" w:type="pct"/>
            <w:gridSpan w:val="2"/>
            <w:vAlign w:val="center"/>
          </w:tcPr>
          <w:p w14:paraId="3F2F0DE5">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邮政编码</w:t>
            </w:r>
          </w:p>
        </w:tc>
        <w:tc>
          <w:tcPr>
            <w:tcW w:w="784" w:type="pct"/>
            <w:gridSpan w:val="2"/>
            <w:vAlign w:val="center"/>
          </w:tcPr>
          <w:p w14:paraId="0B34DD11">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271000</w:t>
            </w:r>
          </w:p>
        </w:tc>
      </w:tr>
      <w:tr w14:paraId="6AD373E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54" w:hRule="atLeast"/>
          <w:jc w:val="center"/>
        </w:trPr>
        <w:tc>
          <w:tcPr>
            <w:tcW w:w="829" w:type="pct"/>
            <w:vAlign w:val="center"/>
          </w:tcPr>
          <w:p w14:paraId="69190752">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经营产品</w:t>
            </w:r>
          </w:p>
        </w:tc>
        <w:tc>
          <w:tcPr>
            <w:tcW w:w="4170" w:type="pct"/>
            <w:gridSpan w:val="10"/>
            <w:vAlign w:val="center"/>
          </w:tcPr>
          <w:p w14:paraId="003ACCE7">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汽油、柴油</w:t>
            </w:r>
          </w:p>
        </w:tc>
      </w:tr>
      <w:tr w14:paraId="211E4F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54" w:hRule="atLeast"/>
          <w:jc w:val="center"/>
        </w:trPr>
        <w:tc>
          <w:tcPr>
            <w:tcW w:w="829" w:type="pct"/>
            <w:vAlign w:val="center"/>
          </w:tcPr>
          <w:p w14:paraId="4D12A21D">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登记机关</w:t>
            </w:r>
          </w:p>
        </w:tc>
        <w:tc>
          <w:tcPr>
            <w:tcW w:w="4170" w:type="pct"/>
            <w:gridSpan w:val="10"/>
            <w:vAlign w:val="center"/>
          </w:tcPr>
          <w:p w14:paraId="5EE20D1F">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宁阳县行政审批服务局</w:t>
            </w:r>
          </w:p>
        </w:tc>
      </w:tr>
      <w:tr w14:paraId="56A3BF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54" w:hRule="atLeast"/>
          <w:jc w:val="center"/>
        </w:trPr>
        <w:tc>
          <w:tcPr>
            <w:tcW w:w="829" w:type="pct"/>
            <w:vAlign w:val="center"/>
          </w:tcPr>
          <w:p w14:paraId="22D34728">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法定代表人</w:t>
            </w:r>
          </w:p>
        </w:tc>
        <w:tc>
          <w:tcPr>
            <w:tcW w:w="2095" w:type="pct"/>
            <w:gridSpan w:val="4"/>
            <w:vAlign w:val="center"/>
          </w:tcPr>
          <w:p w14:paraId="1E5D9B81">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张呈峰</w:t>
            </w:r>
          </w:p>
        </w:tc>
        <w:tc>
          <w:tcPr>
            <w:tcW w:w="693" w:type="pct"/>
            <w:gridSpan w:val="2"/>
            <w:vAlign w:val="center"/>
          </w:tcPr>
          <w:p w14:paraId="082372C4">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主要负责人</w:t>
            </w:r>
          </w:p>
        </w:tc>
        <w:tc>
          <w:tcPr>
            <w:tcW w:w="1381" w:type="pct"/>
            <w:gridSpan w:val="4"/>
            <w:vAlign w:val="center"/>
          </w:tcPr>
          <w:p w14:paraId="52F686F1">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张呈峰</w:t>
            </w:r>
          </w:p>
        </w:tc>
      </w:tr>
      <w:tr w14:paraId="0876F8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54" w:hRule="atLeast"/>
          <w:jc w:val="center"/>
        </w:trPr>
        <w:tc>
          <w:tcPr>
            <w:tcW w:w="829" w:type="pct"/>
            <w:vAlign w:val="center"/>
          </w:tcPr>
          <w:p w14:paraId="62E99283">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职工人数</w:t>
            </w:r>
          </w:p>
        </w:tc>
        <w:tc>
          <w:tcPr>
            <w:tcW w:w="832" w:type="pct"/>
            <w:vAlign w:val="center"/>
          </w:tcPr>
          <w:p w14:paraId="35A686C7">
            <w:pPr>
              <w:pStyle w:val="12"/>
              <w:widowControl w:val="0"/>
              <w:spacing w:line="360" w:lineRule="auto"/>
              <w:rPr>
                <w:rFonts w:hint="eastAsia" w:ascii="宋体" w:hAnsi="宋体" w:eastAsia="宋体" w:cs="宋体"/>
                <w:color w:val="000000" w:themeColor="text1"/>
                <w:lang w:eastAsia="zh-CN"/>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8</w:t>
            </w:r>
          </w:p>
        </w:tc>
        <w:tc>
          <w:tcPr>
            <w:tcW w:w="1262" w:type="pct"/>
            <w:gridSpan w:val="3"/>
            <w:vAlign w:val="center"/>
          </w:tcPr>
          <w:p w14:paraId="508D5C4E">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主要负责人</w:t>
            </w:r>
          </w:p>
        </w:tc>
        <w:tc>
          <w:tcPr>
            <w:tcW w:w="693" w:type="pct"/>
            <w:gridSpan w:val="2"/>
            <w:vAlign w:val="center"/>
          </w:tcPr>
          <w:p w14:paraId="5A1AF846">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c>
          <w:tcPr>
            <w:tcW w:w="597" w:type="pct"/>
            <w:gridSpan w:val="2"/>
            <w:vAlign w:val="center"/>
          </w:tcPr>
          <w:p w14:paraId="57B36A66">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安全员</w:t>
            </w:r>
          </w:p>
        </w:tc>
        <w:tc>
          <w:tcPr>
            <w:tcW w:w="784" w:type="pct"/>
            <w:gridSpan w:val="2"/>
            <w:vAlign w:val="center"/>
          </w:tcPr>
          <w:p w14:paraId="1905A426">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w:t>
            </w:r>
          </w:p>
        </w:tc>
      </w:tr>
      <w:tr w14:paraId="11552BF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57" w:type="dxa"/>
            <w:left w:w="108" w:type="dxa"/>
            <w:bottom w:w="57" w:type="dxa"/>
            <w:right w:w="108" w:type="dxa"/>
          </w:tblCellMar>
        </w:tblPrEx>
        <w:trPr>
          <w:trHeight w:val="454" w:hRule="atLeast"/>
          <w:jc w:val="center"/>
        </w:trPr>
        <w:tc>
          <w:tcPr>
            <w:tcW w:w="829" w:type="pct"/>
            <w:vMerge w:val="restart"/>
            <w:vAlign w:val="center"/>
          </w:tcPr>
          <w:p w14:paraId="571AF2C4">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经营场所</w:t>
            </w:r>
          </w:p>
        </w:tc>
        <w:tc>
          <w:tcPr>
            <w:tcW w:w="832" w:type="pct"/>
            <w:vAlign w:val="center"/>
          </w:tcPr>
          <w:p w14:paraId="3FE03A0C">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产  权</w:t>
            </w:r>
          </w:p>
        </w:tc>
        <w:tc>
          <w:tcPr>
            <w:tcW w:w="3338" w:type="pct"/>
            <w:gridSpan w:val="9"/>
            <w:vAlign w:val="center"/>
          </w:tcPr>
          <w:p w14:paraId="181FA6F8">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自有</w:t>
            </w:r>
            <w:r>
              <w:rPr>
                <w:rFonts w:hint="eastAsia" w:ascii="宋体" w:hAnsi="宋体" w:cs="宋体"/>
                <w:bCs/>
                <w:color w:val="000000" w:themeColor="text1"/>
                <w:lang w:eastAsia="zh-CN"/>
                <w14:textFill>
                  <w14:solidFill>
                    <w14:schemeClr w14:val="tx1"/>
                  </w14:solidFill>
                </w14:textFill>
              </w:rPr>
              <w:t>□</w:t>
            </w:r>
            <w:r>
              <w:rPr>
                <w:rFonts w:hint="eastAsia" w:ascii="宋体" w:hAnsi="宋体" w:cs="宋体"/>
                <w:bCs/>
                <w:color w:val="000000" w:themeColor="text1"/>
                <w14:textFill>
                  <w14:solidFill>
                    <w14:schemeClr w14:val="tx1"/>
                  </w14:solidFill>
                </w14:textFill>
              </w:rPr>
              <w:t>租赁</w:t>
            </w:r>
            <w:r>
              <w:rPr>
                <w:rFonts w:hint="eastAsia" w:ascii="Segoe UI Symbol" w:hAnsi="Segoe UI Symbol" w:cs="Segoe UI Symbol"/>
                <w:bCs/>
                <w:color w:val="000000" w:themeColor="text1"/>
                <w:lang w:eastAsia="zh-CN"/>
                <w14:textFill>
                  <w14:solidFill>
                    <w14:schemeClr w14:val="tx1"/>
                  </w14:solidFill>
                </w14:textFill>
              </w:rPr>
              <w:t>☑</w:t>
            </w:r>
            <w:r>
              <w:rPr>
                <w:rFonts w:hint="eastAsia" w:ascii="宋体" w:hAnsi="宋体" w:cs="宋体"/>
                <w:bCs/>
                <w:color w:val="000000" w:themeColor="text1"/>
                <w14:textFill>
                  <w14:solidFill>
                    <w14:schemeClr w14:val="tx1"/>
                  </w14:solidFill>
                </w14:textFill>
              </w:rPr>
              <w:t>承包□</w:t>
            </w:r>
          </w:p>
        </w:tc>
      </w:tr>
      <w:tr w14:paraId="78A7293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57" w:type="dxa"/>
            <w:left w:w="108" w:type="dxa"/>
            <w:bottom w:w="57" w:type="dxa"/>
            <w:right w:w="108" w:type="dxa"/>
          </w:tblCellMar>
        </w:tblPrEx>
        <w:trPr>
          <w:trHeight w:val="454" w:hRule="atLeast"/>
          <w:jc w:val="center"/>
        </w:trPr>
        <w:tc>
          <w:tcPr>
            <w:tcW w:w="829" w:type="pct"/>
            <w:vMerge w:val="continue"/>
            <w:vAlign w:val="center"/>
          </w:tcPr>
          <w:p w14:paraId="0B83B111">
            <w:pPr>
              <w:pStyle w:val="12"/>
              <w:widowControl w:val="0"/>
              <w:spacing w:line="360" w:lineRule="auto"/>
              <w:rPr>
                <w:rFonts w:ascii="宋体" w:hAnsi="宋体" w:cs="宋体"/>
                <w:bCs/>
                <w:color w:val="000000" w:themeColor="text1"/>
                <w14:textFill>
                  <w14:solidFill>
                    <w14:schemeClr w14:val="tx1"/>
                  </w14:solidFill>
                </w14:textFill>
              </w:rPr>
            </w:pPr>
          </w:p>
        </w:tc>
        <w:tc>
          <w:tcPr>
            <w:tcW w:w="832" w:type="pct"/>
            <w:vAlign w:val="center"/>
          </w:tcPr>
          <w:p w14:paraId="562C9DF5">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站房面积</w:t>
            </w:r>
          </w:p>
        </w:tc>
        <w:tc>
          <w:tcPr>
            <w:tcW w:w="545" w:type="pct"/>
            <w:vAlign w:val="center"/>
          </w:tcPr>
          <w:p w14:paraId="08B4B678">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1</w:t>
            </w:r>
            <w:r>
              <w:rPr>
                <w:rFonts w:hint="eastAsia" w:ascii="宋体" w:hAnsi="宋体" w:cs="宋体"/>
                <w:bCs/>
                <w:color w:val="000000" w:themeColor="text1"/>
                <w:lang w:val="en-US" w:eastAsia="zh-CN"/>
                <w14:textFill>
                  <w14:solidFill>
                    <w14:schemeClr w14:val="tx1"/>
                  </w14:solidFill>
                </w14:textFill>
              </w:rPr>
              <w:t>38.7</w:t>
            </w:r>
            <w:r>
              <w:rPr>
                <w:rFonts w:hint="eastAsia" w:ascii="宋体" w:hAnsi="宋体" w:cs="宋体"/>
                <w:bCs/>
                <w:color w:val="000000" w:themeColor="text1"/>
                <w14:textFill>
                  <w14:solidFill>
                    <w14:schemeClr w14:val="tx1"/>
                  </w14:solidFill>
                </w14:textFill>
              </w:rPr>
              <w:t>m</w:t>
            </w:r>
            <w:r>
              <w:rPr>
                <w:rFonts w:hint="eastAsia" w:ascii="宋体" w:hAnsi="宋体" w:cs="宋体"/>
                <w:bCs/>
                <w:color w:val="000000" w:themeColor="text1"/>
                <w:vertAlign w:val="superscript"/>
                <w14:textFill>
                  <w14:solidFill>
                    <w14:schemeClr w14:val="tx1"/>
                  </w14:solidFill>
                </w14:textFill>
              </w:rPr>
              <w:t>2</w:t>
            </w:r>
          </w:p>
        </w:tc>
        <w:tc>
          <w:tcPr>
            <w:tcW w:w="716" w:type="pct"/>
            <w:gridSpan w:val="2"/>
            <w:vAlign w:val="center"/>
          </w:tcPr>
          <w:p w14:paraId="17C8D3BE">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罩棚投影</w:t>
            </w:r>
          </w:p>
          <w:p w14:paraId="0E6FD1B4">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面积</w:t>
            </w:r>
          </w:p>
        </w:tc>
        <w:tc>
          <w:tcPr>
            <w:tcW w:w="693" w:type="pct"/>
            <w:gridSpan w:val="2"/>
            <w:vAlign w:val="center"/>
          </w:tcPr>
          <w:p w14:paraId="72CCAA46">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bCs/>
                <w:color w:val="000000" w:themeColor="text1"/>
                <w:lang w:val="en-US" w:eastAsia="zh-CN"/>
                <w14:textFill>
                  <w14:solidFill>
                    <w14:schemeClr w14:val="tx1"/>
                  </w14:solidFill>
                </w14:textFill>
              </w:rPr>
              <w:t>300</w:t>
            </w:r>
            <w:r>
              <w:rPr>
                <w:rFonts w:hint="eastAsia" w:ascii="宋体" w:hAnsi="宋体" w:cs="宋体"/>
                <w:bCs/>
                <w:color w:val="000000" w:themeColor="text1"/>
                <w14:textFill>
                  <w14:solidFill>
                    <w14:schemeClr w14:val="tx1"/>
                  </w14:solidFill>
                </w14:textFill>
              </w:rPr>
              <w:t>m</w:t>
            </w:r>
            <w:r>
              <w:rPr>
                <w:rFonts w:hint="eastAsia" w:ascii="宋体" w:hAnsi="宋体" w:cs="宋体"/>
                <w:bCs/>
                <w:color w:val="000000" w:themeColor="text1"/>
                <w:vertAlign w:val="superscript"/>
                <w14:textFill>
                  <w14:solidFill>
                    <w14:schemeClr w14:val="tx1"/>
                  </w14:solidFill>
                </w14:textFill>
              </w:rPr>
              <w:t>2</w:t>
            </w:r>
          </w:p>
        </w:tc>
        <w:tc>
          <w:tcPr>
            <w:tcW w:w="597" w:type="pct"/>
            <w:gridSpan w:val="2"/>
            <w:vAlign w:val="center"/>
          </w:tcPr>
          <w:p w14:paraId="30AD2F00">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罩棚高度</w:t>
            </w:r>
          </w:p>
        </w:tc>
        <w:tc>
          <w:tcPr>
            <w:tcW w:w="784" w:type="pct"/>
            <w:gridSpan w:val="2"/>
            <w:vAlign w:val="center"/>
          </w:tcPr>
          <w:p w14:paraId="7EF0D84E">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lang w:val="en-US" w:eastAsia="zh-CN"/>
                <w14:textFill>
                  <w14:solidFill>
                    <w14:schemeClr w14:val="tx1"/>
                  </w14:solidFill>
                </w14:textFill>
              </w:rPr>
              <w:t>6.5</w:t>
            </w:r>
            <w:r>
              <w:rPr>
                <w:rFonts w:hint="eastAsia" w:ascii="宋体" w:hAnsi="宋体" w:cs="宋体"/>
                <w:color w:val="000000" w:themeColor="text1"/>
                <w14:textFill>
                  <w14:solidFill>
                    <w14:schemeClr w14:val="tx1"/>
                  </w14:solidFill>
                </w14:textFill>
              </w:rPr>
              <w:t>m</w:t>
            </w:r>
          </w:p>
        </w:tc>
      </w:tr>
      <w:tr w14:paraId="201C6E0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57" w:type="dxa"/>
            <w:left w:w="108" w:type="dxa"/>
            <w:bottom w:w="57" w:type="dxa"/>
            <w:right w:w="108" w:type="dxa"/>
          </w:tblCellMar>
        </w:tblPrEx>
        <w:trPr>
          <w:trHeight w:val="454" w:hRule="atLeast"/>
          <w:jc w:val="center"/>
        </w:trPr>
        <w:tc>
          <w:tcPr>
            <w:tcW w:w="829" w:type="pct"/>
            <w:vMerge w:val="restart"/>
            <w:vAlign w:val="center"/>
          </w:tcPr>
          <w:p w14:paraId="3FE4E6A4">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储存设施</w:t>
            </w:r>
          </w:p>
        </w:tc>
        <w:tc>
          <w:tcPr>
            <w:tcW w:w="832" w:type="pct"/>
            <w:vAlign w:val="center"/>
          </w:tcPr>
          <w:p w14:paraId="4B70FC51">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汽油</w:t>
            </w:r>
          </w:p>
        </w:tc>
        <w:tc>
          <w:tcPr>
            <w:tcW w:w="3746" w:type="dxa"/>
            <w:gridSpan w:val="5"/>
            <w:vAlign w:val="center"/>
          </w:tcPr>
          <w:p w14:paraId="5249E993">
            <w:pPr>
              <w:pStyle w:val="12"/>
              <w:widowControl w:val="0"/>
              <w:adjustRightInd w:val="0"/>
              <w:snapToGrid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1个92#</w:t>
            </w:r>
            <w:r>
              <w:rPr>
                <w:rFonts w:hint="eastAsia" w:ascii="宋体" w:hAnsi="宋体" w:cs="宋体"/>
                <w:bCs/>
                <w:color w:val="000000" w:themeColor="text1"/>
                <w:lang w:val="en-US" w:eastAsia="zh-CN"/>
                <w14:textFill>
                  <w14:solidFill>
                    <w14:schemeClr w14:val="tx1"/>
                  </w14:solidFill>
                </w14:textFill>
              </w:rPr>
              <w:t>汽油</w:t>
            </w:r>
            <w:r>
              <w:rPr>
                <w:rFonts w:hint="eastAsia" w:ascii="宋体" w:hAnsi="宋体" w:cs="宋体"/>
                <w:bCs/>
                <w:color w:val="000000" w:themeColor="text1"/>
                <w14:textFill>
                  <w14:solidFill>
                    <w14:schemeClr w14:val="tx1"/>
                  </w14:solidFill>
                </w14:textFill>
              </w:rPr>
              <w:t>罐、1个95#汽油罐，每罐容积为</w:t>
            </w:r>
            <w:r>
              <w:rPr>
                <w:rFonts w:hint="eastAsia" w:ascii="宋体" w:hAnsi="宋体" w:cs="宋体"/>
                <w:bCs/>
                <w:color w:val="000000" w:themeColor="text1"/>
                <w:u w:val="single"/>
                <w14:textFill>
                  <w14:solidFill>
                    <w14:schemeClr w14:val="tx1"/>
                  </w14:solidFill>
                </w14:textFill>
              </w:rPr>
              <w:t xml:space="preserve"> 30 </w:t>
            </w:r>
            <w:r>
              <w:rPr>
                <w:rFonts w:hint="eastAsia" w:ascii="宋体" w:hAnsi="宋体" w:cs="宋体"/>
                <w:bCs/>
                <w:color w:val="000000" w:themeColor="text1"/>
                <w14:textFill>
                  <w14:solidFill>
                    <w14:schemeClr w14:val="tx1"/>
                  </w14:solidFill>
                </w14:textFill>
              </w:rPr>
              <w:t>m³</w:t>
            </w:r>
          </w:p>
        </w:tc>
        <w:tc>
          <w:tcPr>
            <w:tcW w:w="1381" w:type="pct"/>
            <w:gridSpan w:val="4"/>
            <w:vMerge w:val="restart"/>
            <w:vAlign w:val="center"/>
          </w:tcPr>
          <w:p w14:paraId="78927F1F">
            <w:pPr>
              <w:pStyle w:val="12"/>
              <w:widowControl w:val="0"/>
              <w:snapToGrid w:val="0"/>
              <w:spacing w:line="240" w:lineRule="auto"/>
              <w:rPr>
                <w:rStyle w:val="6"/>
                <w:rFonts w:ascii="宋体" w:hAnsi="宋体" w:cs="宋体"/>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是否为双层罐：是☑否□</w:t>
            </w:r>
          </w:p>
          <w:p w14:paraId="2723B67C">
            <w:pPr>
              <w:pStyle w:val="12"/>
              <w:widowControl w:val="0"/>
              <w:snapToGrid w:val="0"/>
              <w:spacing w:line="240" w:lineRule="auto"/>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储存能力：</w:t>
            </w:r>
            <w:r>
              <w:rPr>
                <w:rFonts w:hint="eastAsia" w:ascii="宋体" w:hAnsi="宋体" w:cs="宋体"/>
                <w:color w:val="000000" w:themeColor="text1"/>
                <w:lang w:val="en-US" w:eastAsia="zh-CN"/>
                <w14:textFill>
                  <w14:solidFill>
                    <w14:schemeClr w14:val="tx1"/>
                  </w14:solidFill>
                </w14:textFill>
              </w:rPr>
              <w:t>120</w:t>
            </w:r>
            <w:r>
              <w:rPr>
                <w:rFonts w:hint="eastAsia" w:ascii="宋体" w:hAnsi="宋体" w:cs="宋体"/>
                <w:bCs/>
                <w:color w:val="000000" w:themeColor="text1"/>
                <w14:textFill>
                  <w14:solidFill>
                    <w14:schemeClr w14:val="tx1"/>
                  </w14:solidFill>
                </w14:textFill>
              </w:rPr>
              <w:t>m</w:t>
            </w:r>
            <w:r>
              <w:rPr>
                <w:rFonts w:hint="eastAsia" w:ascii="宋体" w:hAnsi="宋体" w:cs="宋体"/>
                <w:color w:val="000000" w:themeColor="text1"/>
                <w:vertAlign w:val="superscript"/>
                <w14:textFill>
                  <w14:solidFill>
                    <w14:schemeClr w14:val="tx1"/>
                  </w14:solidFill>
                </w14:textFill>
              </w:rPr>
              <w:t>3</w:t>
            </w:r>
          </w:p>
        </w:tc>
      </w:tr>
      <w:tr w14:paraId="04EB4B0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57" w:type="dxa"/>
            <w:left w:w="108" w:type="dxa"/>
            <w:bottom w:w="57" w:type="dxa"/>
            <w:right w:w="108" w:type="dxa"/>
          </w:tblCellMar>
        </w:tblPrEx>
        <w:trPr>
          <w:trHeight w:val="454" w:hRule="atLeast"/>
          <w:jc w:val="center"/>
        </w:trPr>
        <w:tc>
          <w:tcPr>
            <w:tcW w:w="829" w:type="pct"/>
            <w:vMerge w:val="continue"/>
            <w:vAlign w:val="center"/>
          </w:tcPr>
          <w:p w14:paraId="7DB5676A">
            <w:pPr>
              <w:pStyle w:val="12"/>
              <w:widowControl w:val="0"/>
              <w:spacing w:line="360" w:lineRule="auto"/>
              <w:rPr>
                <w:rFonts w:ascii="宋体" w:hAnsi="宋体" w:cs="宋体"/>
                <w:bCs/>
                <w:color w:val="000000" w:themeColor="text1"/>
                <w14:textFill>
                  <w14:solidFill>
                    <w14:schemeClr w14:val="tx1"/>
                  </w14:solidFill>
                </w14:textFill>
              </w:rPr>
            </w:pPr>
          </w:p>
        </w:tc>
        <w:tc>
          <w:tcPr>
            <w:tcW w:w="832" w:type="pct"/>
            <w:vAlign w:val="center"/>
          </w:tcPr>
          <w:p w14:paraId="334D5727">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柴油</w:t>
            </w:r>
          </w:p>
        </w:tc>
        <w:tc>
          <w:tcPr>
            <w:tcW w:w="3746" w:type="dxa"/>
            <w:gridSpan w:val="5"/>
            <w:vAlign w:val="center"/>
          </w:tcPr>
          <w:p w14:paraId="7F5AECDD">
            <w:pPr>
              <w:pStyle w:val="12"/>
              <w:widowControl w:val="0"/>
              <w:adjustRightInd w:val="0"/>
              <w:snapToGrid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共</w:t>
            </w:r>
            <w:r>
              <w:rPr>
                <w:rFonts w:hint="eastAsia" w:ascii="宋体" w:hAnsi="宋体" w:cs="宋体"/>
                <w:bCs/>
                <w:color w:val="000000" w:themeColor="text1"/>
                <w:lang w:val="en-US" w:eastAsia="zh-CN"/>
                <w14:textFill>
                  <w14:solidFill>
                    <w14:schemeClr w14:val="tx1"/>
                  </w14:solidFill>
                </w14:textFill>
              </w:rPr>
              <w:t>2</w:t>
            </w:r>
            <w:r>
              <w:rPr>
                <w:rFonts w:hint="eastAsia" w:ascii="宋体" w:hAnsi="宋体" w:cs="宋体"/>
                <w:bCs/>
                <w:color w:val="000000" w:themeColor="text1"/>
                <w14:textFill>
                  <w14:solidFill>
                    <w14:schemeClr w14:val="tx1"/>
                  </w14:solidFill>
                </w14:textFill>
              </w:rPr>
              <w:t>个柴油罐，每罐容积为</w:t>
            </w:r>
            <w:r>
              <w:rPr>
                <w:rFonts w:hint="eastAsia" w:ascii="宋体" w:hAnsi="宋体" w:cs="宋体"/>
                <w:bCs/>
                <w:color w:val="000000" w:themeColor="text1"/>
                <w:u w:val="single"/>
                <w14:textFill>
                  <w14:solidFill>
                    <w14:schemeClr w14:val="tx1"/>
                  </w14:solidFill>
                </w14:textFill>
              </w:rPr>
              <w:t xml:space="preserve"> 30 </w:t>
            </w:r>
            <w:r>
              <w:rPr>
                <w:rFonts w:hint="eastAsia" w:ascii="宋体" w:hAnsi="宋体" w:cs="宋体"/>
                <w:bCs/>
                <w:color w:val="000000" w:themeColor="text1"/>
                <w14:textFill>
                  <w14:solidFill>
                    <w14:schemeClr w14:val="tx1"/>
                  </w14:solidFill>
                </w14:textFill>
              </w:rPr>
              <w:t>m³</w:t>
            </w:r>
          </w:p>
        </w:tc>
        <w:tc>
          <w:tcPr>
            <w:tcW w:w="1381" w:type="pct"/>
            <w:gridSpan w:val="4"/>
            <w:vMerge w:val="continue"/>
            <w:vAlign w:val="center"/>
          </w:tcPr>
          <w:p w14:paraId="5E3DD398">
            <w:pPr>
              <w:pStyle w:val="12"/>
              <w:widowControl w:val="0"/>
              <w:spacing w:line="360" w:lineRule="auto"/>
              <w:rPr>
                <w:rFonts w:ascii="宋体" w:hAnsi="宋体" w:cs="宋体"/>
                <w:bCs/>
                <w:color w:val="000000" w:themeColor="text1"/>
                <w14:textFill>
                  <w14:solidFill>
                    <w14:schemeClr w14:val="tx1"/>
                  </w14:solidFill>
                </w14:textFill>
              </w:rPr>
            </w:pPr>
          </w:p>
        </w:tc>
      </w:tr>
      <w:tr w14:paraId="48E9D2B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57" w:type="dxa"/>
            <w:left w:w="108" w:type="dxa"/>
            <w:bottom w:w="57" w:type="dxa"/>
            <w:right w:w="108" w:type="dxa"/>
          </w:tblCellMar>
        </w:tblPrEx>
        <w:trPr>
          <w:trHeight w:val="454" w:hRule="atLeast"/>
          <w:jc w:val="center"/>
        </w:trPr>
        <w:tc>
          <w:tcPr>
            <w:tcW w:w="829" w:type="pct"/>
            <w:vMerge w:val="restart"/>
            <w:vAlign w:val="center"/>
          </w:tcPr>
          <w:p w14:paraId="51AB33F3">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加油设施</w:t>
            </w:r>
          </w:p>
        </w:tc>
        <w:tc>
          <w:tcPr>
            <w:tcW w:w="832" w:type="pct"/>
            <w:vAlign w:val="center"/>
          </w:tcPr>
          <w:p w14:paraId="2FF4BF47">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加油机</w:t>
            </w:r>
          </w:p>
        </w:tc>
        <w:tc>
          <w:tcPr>
            <w:tcW w:w="3338" w:type="pct"/>
            <w:gridSpan w:val="9"/>
            <w:vAlign w:val="center"/>
          </w:tcPr>
          <w:p w14:paraId="5B5AE401">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4</w:t>
            </w:r>
            <w:r>
              <w:rPr>
                <w:rFonts w:hint="eastAsia" w:asciiTheme="minorEastAsia" w:hAnsiTheme="minorEastAsia" w:eastAsiaTheme="minorEastAsia" w:cstheme="minorEastAsia"/>
                <w:bCs/>
                <w:color w:val="000000" w:themeColor="text1"/>
                <w14:textFill>
                  <w14:solidFill>
                    <w14:schemeClr w14:val="tx1"/>
                  </w14:solidFill>
                </w14:textFill>
              </w:rPr>
              <w:t>台</w:t>
            </w:r>
            <w:r>
              <w:rPr>
                <w:rFonts w:hint="eastAsia" w:asciiTheme="minorEastAsia" w:hAnsiTheme="minorEastAsia" w:eastAsiaTheme="minorEastAsia" w:cstheme="minorEastAsia"/>
                <w:bCs/>
                <w:color w:val="000000" w:themeColor="text1"/>
                <w:lang w:val="en-US" w:eastAsia="zh-CN"/>
                <w14:textFill>
                  <w14:solidFill>
                    <w14:schemeClr w14:val="tx1"/>
                  </w14:solidFill>
                </w14:textFill>
              </w:rPr>
              <w:t>双</w:t>
            </w:r>
            <w:r>
              <w:rPr>
                <w:rFonts w:hint="eastAsia" w:ascii="宋体" w:hAnsi="宋体" w:cs="宋体"/>
                <w:bCs/>
                <w:color w:val="000000" w:themeColor="text1"/>
                <w14:textFill>
                  <w14:solidFill>
                    <w14:schemeClr w14:val="tx1"/>
                  </w14:solidFill>
                </w14:textFill>
              </w:rPr>
              <w:t>枪加油机（1台92#</w:t>
            </w:r>
            <w:r>
              <w:rPr>
                <w:rFonts w:hint="eastAsia" w:ascii="宋体" w:hAnsi="宋体" w:cs="宋体"/>
                <w:bCs/>
                <w:color w:val="000000" w:themeColor="text1"/>
                <w:lang w:val="en-US" w:eastAsia="zh-CN"/>
                <w14:textFill>
                  <w14:solidFill>
                    <w14:schemeClr w14:val="tx1"/>
                  </w14:solidFill>
                </w14:textFill>
              </w:rPr>
              <w:t>汽油</w:t>
            </w:r>
            <w:r>
              <w:rPr>
                <w:rFonts w:hint="eastAsia" w:ascii="宋体" w:hAnsi="宋体" w:cs="宋体"/>
                <w:bCs/>
                <w:color w:val="000000" w:themeColor="text1"/>
                <w14:textFill>
                  <w14:solidFill>
                    <w14:schemeClr w14:val="tx1"/>
                  </w14:solidFill>
                </w14:textFill>
              </w:rPr>
              <w:t>，1台92#</w:t>
            </w:r>
            <w:r>
              <w:rPr>
                <w:rFonts w:hint="eastAsia" w:ascii="宋体" w:hAnsi="宋体" w:cs="宋体"/>
                <w:bCs/>
                <w:color w:val="000000" w:themeColor="text1"/>
                <w:lang w:val="en-US" w:eastAsia="zh-CN"/>
                <w14:textFill>
                  <w14:solidFill>
                    <w14:schemeClr w14:val="tx1"/>
                  </w14:solidFill>
                </w14:textFill>
              </w:rPr>
              <w:t>汽油/</w:t>
            </w:r>
            <w:r>
              <w:rPr>
                <w:rFonts w:hint="eastAsia" w:ascii="宋体" w:hAnsi="宋体" w:cs="宋体"/>
                <w:bCs/>
                <w:color w:val="000000" w:themeColor="text1"/>
                <w14:textFill>
                  <w14:solidFill>
                    <w14:schemeClr w14:val="tx1"/>
                  </w14:solidFill>
                </w14:textFill>
              </w:rPr>
              <w:t>95#汽油，2台柴油）</w:t>
            </w:r>
          </w:p>
        </w:tc>
      </w:tr>
      <w:tr w14:paraId="378AA5C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57" w:type="dxa"/>
            <w:left w:w="108" w:type="dxa"/>
            <w:bottom w:w="57" w:type="dxa"/>
            <w:right w:w="108" w:type="dxa"/>
          </w:tblCellMar>
        </w:tblPrEx>
        <w:trPr>
          <w:trHeight w:val="454" w:hRule="atLeast"/>
          <w:jc w:val="center"/>
        </w:trPr>
        <w:tc>
          <w:tcPr>
            <w:tcW w:w="829" w:type="pct"/>
            <w:vMerge w:val="continue"/>
            <w:vAlign w:val="center"/>
          </w:tcPr>
          <w:p w14:paraId="4D452326">
            <w:pPr>
              <w:pStyle w:val="12"/>
              <w:widowControl w:val="0"/>
              <w:spacing w:line="360" w:lineRule="auto"/>
              <w:rPr>
                <w:rFonts w:ascii="宋体" w:hAnsi="宋体" w:cs="宋体"/>
                <w:bCs/>
                <w:color w:val="000000" w:themeColor="text1"/>
                <w14:textFill>
                  <w14:solidFill>
                    <w14:schemeClr w14:val="tx1"/>
                  </w14:solidFill>
                </w14:textFill>
              </w:rPr>
            </w:pPr>
          </w:p>
        </w:tc>
        <w:tc>
          <w:tcPr>
            <w:tcW w:w="832" w:type="pct"/>
            <w:vAlign w:val="center"/>
          </w:tcPr>
          <w:p w14:paraId="706247E3">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加油方式</w:t>
            </w:r>
          </w:p>
        </w:tc>
        <w:tc>
          <w:tcPr>
            <w:tcW w:w="3338" w:type="pct"/>
            <w:gridSpan w:val="9"/>
            <w:vAlign w:val="center"/>
          </w:tcPr>
          <w:p w14:paraId="056CBC90">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潜油泵式□           自吸式☑</w:t>
            </w:r>
          </w:p>
        </w:tc>
      </w:tr>
      <w:tr w14:paraId="53D5BC0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57" w:type="dxa"/>
            <w:left w:w="108" w:type="dxa"/>
            <w:bottom w:w="57" w:type="dxa"/>
            <w:right w:w="108" w:type="dxa"/>
          </w:tblCellMar>
        </w:tblPrEx>
        <w:trPr>
          <w:trHeight w:val="454" w:hRule="atLeast"/>
          <w:jc w:val="center"/>
        </w:trPr>
        <w:tc>
          <w:tcPr>
            <w:tcW w:w="829" w:type="pct"/>
            <w:vMerge w:val="restart"/>
            <w:vAlign w:val="center"/>
          </w:tcPr>
          <w:p w14:paraId="5D065F04">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消防设施</w:t>
            </w:r>
          </w:p>
        </w:tc>
        <w:tc>
          <w:tcPr>
            <w:tcW w:w="832" w:type="pct"/>
            <w:vAlign w:val="center"/>
          </w:tcPr>
          <w:p w14:paraId="5877FE3C">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推车式35</w:t>
            </w:r>
            <w:r>
              <w:rPr>
                <w:rFonts w:hint="eastAsia" w:ascii="宋体" w:hAnsi="宋体" w:cs="宋体"/>
                <w:color w:val="000000" w:themeColor="text1"/>
                <w14:textFill>
                  <w14:solidFill>
                    <w14:schemeClr w14:val="tx1"/>
                  </w14:solidFill>
                </w14:textFill>
              </w:rPr>
              <w:t>kg</w:t>
            </w:r>
            <w:r>
              <w:rPr>
                <w:rFonts w:hint="eastAsia" w:ascii="宋体" w:hAnsi="宋体" w:cs="宋体"/>
                <w:bCs/>
                <w:color w:val="000000" w:themeColor="text1"/>
                <w14:textFill>
                  <w14:solidFill>
                    <w14:schemeClr w14:val="tx1"/>
                  </w14:solidFill>
                </w14:textFill>
              </w:rPr>
              <w:t>干粉灭火器</w:t>
            </w:r>
          </w:p>
        </w:tc>
        <w:tc>
          <w:tcPr>
            <w:tcW w:w="545" w:type="pct"/>
            <w:vAlign w:val="center"/>
          </w:tcPr>
          <w:p w14:paraId="0E611F36">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lang w:val="en-US" w:eastAsia="zh-CN"/>
                <w14:textFill>
                  <w14:solidFill>
                    <w14:schemeClr w14:val="tx1"/>
                  </w14:solidFill>
                </w14:textFill>
              </w:rPr>
              <w:t>2</w:t>
            </w:r>
            <w:r>
              <w:rPr>
                <w:rFonts w:hint="eastAsia" w:ascii="宋体" w:hAnsi="宋体" w:cs="宋体"/>
                <w:bCs/>
                <w:color w:val="000000" w:themeColor="text1"/>
                <w14:textFill>
                  <w14:solidFill>
                    <w14:schemeClr w14:val="tx1"/>
                  </w14:solidFill>
                </w14:textFill>
              </w:rPr>
              <w:t>具</w:t>
            </w:r>
          </w:p>
        </w:tc>
        <w:tc>
          <w:tcPr>
            <w:tcW w:w="1410" w:type="pct"/>
            <w:gridSpan w:val="4"/>
            <w:vAlign w:val="center"/>
          </w:tcPr>
          <w:p w14:paraId="3EF7252C">
            <w:pPr>
              <w:pStyle w:val="12"/>
              <w:widowControl w:val="0"/>
              <w:spacing w:line="360" w:lineRule="auto"/>
              <w:rPr>
                <w:rFonts w:ascii="宋体" w:hAnsi="宋体" w:cs="宋体"/>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5kg手提式干粉灭火器</w:t>
            </w:r>
          </w:p>
        </w:tc>
        <w:tc>
          <w:tcPr>
            <w:tcW w:w="1381" w:type="pct"/>
            <w:gridSpan w:val="4"/>
            <w:vAlign w:val="center"/>
          </w:tcPr>
          <w:p w14:paraId="2A59D88F">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1</w:t>
            </w:r>
            <w:r>
              <w:rPr>
                <w:rFonts w:hint="eastAsia" w:ascii="宋体" w:hAnsi="宋体" w:cs="宋体"/>
                <w:bCs/>
                <w:color w:val="000000" w:themeColor="text1"/>
                <w:lang w:val="en-US" w:eastAsia="zh-CN"/>
                <w14:textFill>
                  <w14:solidFill>
                    <w14:schemeClr w14:val="tx1"/>
                  </w14:solidFill>
                </w14:textFill>
              </w:rPr>
              <w:t>4</w:t>
            </w:r>
            <w:r>
              <w:rPr>
                <w:rFonts w:hint="eastAsia" w:ascii="宋体" w:hAnsi="宋体" w:cs="宋体"/>
                <w:bCs/>
                <w:color w:val="000000" w:themeColor="text1"/>
                <w14:textFill>
                  <w14:solidFill>
                    <w14:schemeClr w14:val="tx1"/>
                  </w14:solidFill>
                </w14:textFill>
              </w:rPr>
              <w:t>具</w:t>
            </w:r>
          </w:p>
        </w:tc>
      </w:tr>
      <w:tr w14:paraId="6FA47F4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57" w:type="dxa"/>
            <w:left w:w="108" w:type="dxa"/>
            <w:bottom w:w="57" w:type="dxa"/>
            <w:right w:w="108" w:type="dxa"/>
          </w:tblCellMar>
        </w:tblPrEx>
        <w:trPr>
          <w:trHeight w:val="454" w:hRule="atLeast"/>
          <w:jc w:val="center"/>
        </w:trPr>
        <w:tc>
          <w:tcPr>
            <w:tcW w:w="829" w:type="pct"/>
            <w:vMerge w:val="continue"/>
            <w:vAlign w:val="center"/>
          </w:tcPr>
          <w:p w14:paraId="499BC085">
            <w:pPr>
              <w:pStyle w:val="12"/>
              <w:widowControl w:val="0"/>
              <w:spacing w:line="360" w:lineRule="auto"/>
              <w:rPr>
                <w:rFonts w:ascii="宋体" w:hAnsi="宋体" w:cs="宋体"/>
                <w:bCs/>
                <w:color w:val="000000" w:themeColor="text1"/>
                <w14:textFill>
                  <w14:solidFill>
                    <w14:schemeClr w14:val="tx1"/>
                  </w14:solidFill>
                </w14:textFill>
              </w:rPr>
            </w:pPr>
          </w:p>
        </w:tc>
        <w:tc>
          <w:tcPr>
            <w:tcW w:w="832" w:type="pct"/>
            <w:shd w:val="clear" w:color="auto" w:fill="auto"/>
            <w:vAlign w:val="center"/>
          </w:tcPr>
          <w:p w14:paraId="773595F0">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CO</w:t>
            </w:r>
            <w:r>
              <w:rPr>
                <w:rFonts w:hint="eastAsia" w:ascii="宋体" w:hAnsi="宋体" w:cs="宋体"/>
                <w:bCs/>
                <w:color w:val="000000" w:themeColor="text1"/>
                <w:vertAlign w:val="subscript"/>
                <w14:textFill>
                  <w14:solidFill>
                    <w14:schemeClr w14:val="tx1"/>
                  </w14:solidFill>
                </w14:textFill>
              </w:rPr>
              <w:t>2</w:t>
            </w:r>
            <w:r>
              <w:rPr>
                <w:rFonts w:hint="eastAsia" w:ascii="宋体" w:hAnsi="宋体" w:cs="宋体"/>
                <w:bCs/>
                <w:color w:val="000000" w:themeColor="text1"/>
                <w14:textFill>
                  <w14:solidFill>
                    <w14:schemeClr w14:val="tx1"/>
                  </w14:solidFill>
                </w14:textFill>
              </w:rPr>
              <w:t>灭火器</w:t>
            </w:r>
          </w:p>
        </w:tc>
        <w:tc>
          <w:tcPr>
            <w:tcW w:w="545" w:type="pct"/>
            <w:shd w:val="clear" w:color="auto" w:fill="auto"/>
            <w:vAlign w:val="center"/>
          </w:tcPr>
          <w:p w14:paraId="5DC62068">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lang w:val="en-US" w:eastAsia="zh-CN"/>
                <w14:textFill>
                  <w14:solidFill>
                    <w14:schemeClr w14:val="tx1"/>
                  </w14:solidFill>
                </w14:textFill>
              </w:rPr>
              <w:t>2</w:t>
            </w:r>
            <w:r>
              <w:rPr>
                <w:rFonts w:hint="eastAsia" w:ascii="宋体" w:hAnsi="宋体" w:cs="宋体"/>
                <w:bCs/>
                <w:color w:val="000000" w:themeColor="text1"/>
                <w14:textFill>
                  <w14:solidFill>
                    <w14:schemeClr w14:val="tx1"/>
                  </w14:solidFill>
                </w14:textFill>
              </w:rPr>
              <w:t>具</w:t>
            </w:r>
          </w:p>
        </w:tc>
        <w:tc>
          <w:tcPr>
            <w:tcW w:w="716" w:type="pct"/>
            <w:gridSpan w:val="2"/>
            <w:vAlign w:val="center"/>
          </w:tcPr>
          <w:p w14:paraId="14D61851">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消防锨</w:t>
            </w:r>
          </w:p>
        </w:tc>
        <w:tc>
          <w:tcPr>
            <w:tcW w:w="693" w:type="pct"/>
            <w:gridSpan w:val="2"/>
            <w:vAlign w:val="center"/>
          </w:tcPr>
          <w:p w14:paraId="746F896E">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lang w:val="en-US" w:eastAsia="zh-CN"/>
                <w14:textFill>
                  <w14:solidFill>
                    <w14:schemeClr w14:val="tx1"/>
                  </w14:solidFill>
                </w14:textFill>
              </w:rPr>
              <w:t>3</w:t>
            </w:r>
            <w:r>
              <w:rPr>
                <w:rFonts w:hint="eastAsia" w:ascii="宋体" w:hAnsi="宋体" w:cs="宋体"/>
                <w:bCs/>
                <w:color w:val="000000" w:themeColor="text1"/>
                <w14:textFill>
                  <w14:solidFill>
                    <w14:schemeClr w14:val="tx1"/>
                  </w14:solidFill>
                </w14:textFill>
              </w:rPr>
              <w:t>把</w:t>
            </w:r>
          </w:p>
        </w:tc>
        <w:tc>
          <w:tcPr>
            <w:tcW w:w="724" w:type="pct"/>
            <w:gridSpan w:val="3"/>
            <w:vAlign w:val="center"/>
          </w:tcPr>
          <w:p w14:paraId="75F82F07">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灭火毯</w:t>
            </w:r>
          </w:p>
        </w:tc>
        <w:tc>
          <w:tcPr>
            <w:tcW w:w="657" w:type="pct"/>
            <w:vAlign w:val="center"/>
          </w:tcPr>
          <w:p w14:paraId="4D31194D">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lang w:val="en-US" w:eastAsia="zh-CN"/>
                <w14:textFill>
                  <w14:solidFill>
                    <w14:schemeClr w14:val="tx1"/>
                  </w14:solidFill>
                </w14:textFill>
              </w:rPr>
              <w:t>8</w:t>
            </w:r>
            <w:r>
              <w:rPr>
                <w:rFonts w:hint="eastAsia" w:ascii="宋体" w:hAnsi="宋体" w:cs="宋体"/>
                <w:bCs/>
                <w:color w:val="000000" w:themeColor="text1"/>
                <w14:textFill>
                  <w14:solidFill>
                    <w14:schemeClr w14:val="tx1"/>
                  </w14:solidFill>
                </w14:textFill>
              </w:rPr>
              <w:t>块</w:t>
            </w:r>
          </w:p>
        </w:tc>
      </w:tr>
      <w:tr w14:paraId="121741B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57" w:type="dxa"/>
            <w:left w:w="108" w:type="dxa"/>
            <w:bottom w:w="57" w:type="dxa"/>
            <w:right w:w="108" w:type="dxa"/>
          </w:tblCellMar>
        </w:tblPrEx>
        <w:trPr>
          <w:trHeight w:val="454" w:hRule="atLeast"/>
          <w:jc w:val="center"/>
        </w:trPr>
        <w:tc>
          <w:tcPr>
            <w:tcW w:w="829" w:type="pct"/>
            <w:vMerge w:val="continue"/>
            <w:vAlign w:val="center"/>
          </w:tcPr>
          <w:p w14:paraId="14B2CA1E">
            <w:pPr>
              <w:pStyle w:val="12"/>
              <w:widowControl w:val="0"/>
              <w:spacing w:line="360" w:lineRule="auto"/>
              <w:rPr>
                <w:rFonts w:ascii="宋体" w:hAnsi="宋体" w:cs="宋体"/>
                <w:bCs/>
                <w:color w:val="000000" w:themeColor="text1"/>
                <w14:textFill>
                  <w14:solidFill>
                    <w14:schemeClr w14:val="tx1"/>
                  </w14:solidFill>
                </w14:textFill>
              </w:rPr>
            </w:pPr>
          </w:p>
        </w:tc>
        <w:tc>
          <w:tcPr>
            <w:tcW w:w="832" w:type="pct"/>
            <w:vAlign w:val="center"/>
          </w:tcPr>
          <w:p w14:paraId="2A008AC9">
            <w:pPr>
              <w:pStyle w:val="12"/>
              <w:widowControl w:val="0"/>
              <w:tabs>
                <w:tab w:val="left" w:pos="593"/>
              </w:tabs>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消防桶</w:t>
            </w:r>
          </w:p>
        </w:tc>
        <w:tc>
          <w:tcPr>
            <w:tcW w:w="1175" w:type="pct"/>
            <w:gridSpan w:val="2"/>
            <w:vAlign w:val="center"/>
          </w:tcPr>
          <w:p w14:paraId="71D90919">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lang w:val="en-US" w:eastAsia="zh-CN"/>
                <w14:textFill>
                  <w14:solidFill>
                    <w14:schemeClr w14:val="tx1"/>
                  </w14:solidFill>
                </w14:textFill>
              </w:rPr>
              <w:t>3</w:t>
            </w:r>
            <w:r>
              <w:rPr>
                <w:rFonts w:hint="eastAsia" w:ascii="宋体" w:hAnsi="宋体" w:cs="宋体"/>
                <w:bCs/>
                <w:color w:val="000000" w:themeColor="text1"/>
                <w14:textFill>
                  <w14:solidFill>
                    <w14:schemeClr w14:val="tx1"/>
                  </w14:solidFill>
                </w14:textFill>
              </w:rPr>
              <w:t>个</w:t>
            </w:r>
          </w:p>
        </w:tc>
        <w:tc>
          <w:tcPr>
            <w:tcW w:w="903" w:type="pct"/>
            <w:gridSpan w:val="4"/>
            <w:vAlign w:val="center"/>
          </w:tcPr>
          <w:p w14:paraId="2E3EFA3F">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消防沙池</w:t>
            </w:r>
          </w:p>
        </w:tc>
        <w:tc>
          <w:tcPr>
            <w:tcW w:w="1259" w:type="pct"/>
            <w:gridSpan w:val="3"/>
            <w:vAlign w:val="center"/>
          </w:tcPr>
          <w:p w14:paraId="41130799">
            <w:pPr>
              <w:pStyle w:val="12"/>
              <w:widowControl w:val="0"/>
              <w:spacing w:line="360" w:lineRule="auto"/>
              <w:rPr>
                <w:rFonts w:ascii="宋体" w:hAnsi="宋体" w:cs="宋体"/>
                <w:bCs/>
                <w:color w:val="000000" w:themeColor="text1"/>
                <w14:textFill>
                  <w14:solidFill>
                    <w14:schemeClr w14:val="tx1"/>
                  </w14:solidFill>
                </w14:textFill>
              </w:rPr>
            </w:pPr>
            <w:r>
              <w:rPr>
                <w:rFonts w:hint="eastAsia" w:ascii="宋体" w:hAnsi="宋体" w:cs="宋体"/>
                <w:bCs/>
                <w:color w:val="000000" w:themeColor="text1"/>
                <w14:textFill>
                  <w14:solidFill>
                    <w14:schemeClr w14:val="tx1"/>
                  </w14:solidFill>
                </w14:textFill>
              </w:rPr>
              <w:t>2m</w:t>
            </w:r>
            <w:r>
              <w:rPr>
                <w:rFonts w:hint="eastAsia" w:ascii="宋体" w:hAnsi="宋体" w:cs="宋体"/>
                <w:bCs/>
                <w:color w:val="000000" w:themeColor="text1"/>
                <w:vertAlign w:val="superscript"/>
                <w14:textFill>
                  <w14:solidFill>
                    <w14:schemeClr w14:val="tx1"/>
                  </w14:solidFill>
                </w14:textFill>
              </w:rPr>
              <w:t>3</w:t>
            </w:r>
          </w:p>
        </w:tc>
      </w:tr>
    </w:tbl>
    <w:p w14:paraId="2D534B63">
      <w:pPr>
        <w:pStyle w:val="10"/>
        <w:widowControl w:val="0"/>
        <w:adjustRightInd w:val="0"/>
        <w:snapToGrid w:val="0"/>
        <w:spacing w:before="0" w:beforeLines="0" w:after="0" w:afterLines="0" w:line="360" w:lineRule="auto"/>
        <w:rPr>
          <w:color w:val="auto"/>
        </w:rPr>
      </w:pPr>
      <w:r>
        <w:rPr>
          <w:color w:val="auto"/>
        </w:rPr>
        <w:t>第四章 评价单元划分与评价方法选择</w:t>
      </w:r>
      <w:bookmarkEnd w:id="14"/>
      <w:bookmarkEnd w:id="15"/>
      <w:bookmarkEnd w:id="16"/>
      <w:bookmarkEnd w:id="17"/>
    </w:p>
    <w:p w14:paraId="0CFA60DF">
      <w:pPr>
        <w:snapToGrid w:val="0"/>
        <w:spacing w:line="360" w:lineRule="auto"/>
        <w:jc w:val="center"/>
        <w:outlineLvl w:val="1"/>
        <w:rPr>
          <w:rFonts w:ascii="Calibri" w:hAnsi="Calibri" w:eastAsia="楷体_GB2312"/>
          <w:b/>
          <w:color w:val="auto"/>
          <w:kern w:val="0"/>
          <w:sz w:val="32"/>
          <w:szCs w:val="20"/>
        </w:rPr>
      </w:pPr>
      <w:bookmarkStart w:id="19" w:name="_Toc7829"/>
      <w:bookmarkStart w:id="20" w:name="_Toc272364536"/>
      <w:bookmarkStart w:id="21" w:name="_Toc238007574"/>
      <w:bookmarkStart w:id="22" w:name="_Toc15033754"/>
      <w:bookmarkStart w:id="23" w:name="_Toc198026273"/>
      <w:bookmarkStart w:id="24" w:name="_Toc102634256"/>
      <w:bookmarkStart w:id="25" w:name="_Toc102633981"/>
      <w:bookmarkStart w:id="26" w:name="_Toc102634407"/>
      <w:bookmarkStart w:id="27" w:name="_Toc23543"/>
      <w:bookmarkStart w:id="28" w:name="_Toc192907201"/>
      <w:bookmarkStart w:id="29" w:name="_Toc102633907"/>
      <w:r>
        <w:rPr>
          <w:rFonts w:ascii="Calibri" w:hAnsi="Calibri" w:eastAsia="楷体_GB2312"/>
          <w:b/>
          <w:color w:val="auto"/>
          <w:kern w:val="0"/>
          <w:sz w:val="32"/>
          <w:szCs w:val="20"/>
        </w:rPr>
        <w:t>第一节 评价单元的划分</w:t>
      </w:r>
      <w:bookmarkEnd w:id="19"/>
      <w:bookmarkEnd w:id="20"/>
      <w:bookmarkEnd w:id="21"/>
      <w:bookmarkEnd w:id="22"/>
      <w:bookmarkEnd w:id="23"/>
      <w:bookmarkEnd w:id="24"/>
      <w:bookmarkEnd w:id="25"/>
      <w:bookmarkEnd w:id="26"/>
      <w:bookmarkEnd w:id="27"/>
      <w:bookmarkEnd w:id="28"/>
      <w:bookmarkEnd w:id="29"/>
    </w:p>
    <w:p w14:paraId="5239CF88">
      <w:pPr>
        <w:pStyle w:val="9"/>
        <w:widowControl w:val="0"/>
        <w:snapToGrid w:val="0"/>
        <w:spacing w:line="360" w:lineRule="auto"/>
        <w:ind w:firstLine="560"/>
        <w:rPr>
          <w:rFonts w:ascii="宋体"/>
          <w:color w:val="auto"/>
        </w:rPr>
      </w:pPr>
      <w:r>
        <w:rPr>
          <w:rFonts w:ascii="宋体"/>
          <w:color w:val="auto"/>
        </w:rPr>
        <w:t>划分评价单元时，一般以生产工艺、工艺装置、物料的特点和特征与危险有害因素的类别、分布有机结合起来进行划分，还可以按评价的要求将一个评价单元再划分为若干个子单元或更细致的单元，评价单元相对独立，具有明显的特征界限。下面是两种常用的评价单元划分原则和方法。</w:t>
      </w:r>
    </w:p>
    <w:p w14:paraId="5EE624E6">
      <w:pPr>
        <w:pStyle w:val="14"/>
        <w:widowControl w:val="0"/>
        <w:spacing w:line="360" w:lineRule="auto"/>
        <w:ind w:firstLine="560"/>
        <w:jc w:val="both"/>
        <w:rPr>
          <w:color w:val="auto"/>
        </w:rPr>
      </w:pPr>
      <w:bookmarkStart w:id="30" w:name="_Toc102634257"/>
      <w:r>
        <w:rPr>
          <w:rFonts w:hint="eastAsia"/>
          <w:color w:val="auto"/>
        </w:rPr>
        <w:t>一</w:t>
      </w:r>
      <w:r>
        <w:rPr>
          <w:color w:val="auto"/>
        </w:rPr>
        <w:t>、以危险有害因素的类别为主划分评价单元</w:t>
      </w:r>
      <w:bookmarkEnd w:id="30"/>
    </w:p>
    <w:p w14:paraId="6C0E37D2">
      <w:pPr>
        <w:pStyle w:val="9"/>
        <w:widowControl w:val="0"/>
        <w:spacing w:line="360" w:lineRule="auto"/>
        <w:ind w:firstLine="560"/>
        <w:rPr>
          <w:rFonts w:ascii="宋体"/>
          <w:color w:val="auto"/>
        </w:rPr>
      </w:pPr>
      <w:r>
        <w:rPr>
          <w:rFonts w:hint="eastAsia" w:ascii="宋体"/>
          <w:color w:val="auto"/>
        </w:rPr>
        <w:t>1、</w:t>
      </w:r>
      <w:r>
        <w:rPr>
          <w:rFonts w:ascii="宋体"/>
          <w:color w:val="auto"/>
        </w:rPr>
        <w:t>对工艺方案、总体布置及自然条件、社会环境等影响系统的危险有害因素的分析和评价，宜将整个系统作为一个评价单元。</w:t>
      </w:r>
    </w:p>
    <w:p w14:paraId="76022B5D">
      <w:pPr>
        <w:pStyle w:val="9"/>
        <w:widowControl w:val="0"/>
        <w:spacing w:line="360" w:lineRule="auto"/>
        <w:ind w:firstLine="560"/>
        <w:rPr>
          <w:rFonts w:ascii="宋体"/>
          <w:color w:val="auto"/>
        </w:rPr>
      </w:pPr>
      <w:r>
        <w:rPr>
          <w:rFonts w:hint="eastAsia" w:ascii="宋体"/>
          <w:color w:val="auto"/>
        </w:rPr>
        <w:t>2、</w:t>
      </w:r>
      <w:r>
        <w:rPr>
          <w:rFonts w:ascii="宋体"/>
          <w:color w:val="auto"/>
        </w:rPr>
        <w:t>将具有共性危险有害因素的场所和装置划分为一个评价单元。</w:t>
      </w:r>
    </w:p>
    <w:p w14:paraId="24CEF2FD">
      <w:pPr>
        <w:pStyle w:val="14"/>
        <w:widowControl w:val="0"/>
        <w:spacing w:line="360" w:lineRule="auto"/>
        <w:ind w:firstLine="560"/>
        <w:jc w:val="both"/>
        <w:rPr>
          <w:color w:val="auto"/>
        </w:rPr>
      </w:pPr>
      <w:bookmarkStart w:id="31" w:name="_Toc102634258"/>
      <w:r>
        <w:rPr>
          <w:rFonts w:hint="eastAsia"/>
          <w:color w:val="auto"/>
        </w:rPr>
        <w:t>二</w:t>
      </w:r>
      <w:r>
        <w:rPr>
          <w:color w:val="auto"/>
        </w:rPr>
        <w:t>、以物质特征划分评价单元</w:t>
      </w:r>
      <w:bookmarkEnd w:id="31"/>
    </w:p>
    <w:p w14:paraId="7543DE90">
      <w:pPr>
        <w:pStyle w:val="9"/>
        <w:widowControl w:val="0"/>
        <w:spacing w:line="360" w:lineRule="auto"/>
        <w:ind w:firstLine="560"/>
        <w:rPr>
          <w:rFonts w:ascii="宋体"/>
          <w:color w:val="auto"/>
        </w:rPr>
      </w:pPr>
      <w:r>
        <w:rPr>
          <w:rFonts w:ascii="宋体"/>
          <w:color w:val="auto"/>
        </w:rPr>
        <w:t>评价过程中常按装置工艺功能、布置的相对独立性、工艺条件及贮存、处理危险物质的潜在化学能、毒性和危险物质的数量等划分评价单元。</w:t>
      </w:r>
    </w:p>
    <w:p w14:paraId="1ED4D24D">
      <w:pPr>
        <w:pStyle w:val="9"/>
        <w:widowControl w:val="0"/>
        <w:spacing w:line="360" w:lineRule="auto"/>
        <w:ind w:firstLine="560"/>
        <w:rPr>
          <w:rFonts w:ascii="宋体"/>
          <w:color w:val="auto"/>
        </w:rPr>
      </w:pPr>
      <w:r>
        <w:rPr>
          <w:rFonts w:ascii="宋体"/>
          <w:color w:val="auto"/>
        </w:rPr>
        <w:t>由于评价要求和目的不同，并且各类评价方法均有自身的特点，只要达到评价目的，评价单元的划分并不要求绝对一致。</w:t>
      </w:r>
    </w:p>
    <w:p w14:paraId="22913C64">
      <w:pPr>
        <w:pStyle w:val="9"/>
        <w:widowControl w:val="0"/>
        <w:spacing w:line="360" w:lineRule="auto"/>
        <w:ind w:firstLine="560"/>
        <w:rPr>
          <w:rFonts w:ascii="宋体"/>
          <w:color w:val="auto"/>
        </w:rPr>
      </w:pPr>
      <w:r>
        <w:rPr>
          <w:rFonts w:ascii="宋体"/>
          <w:color w:val="auto"/>
        </w:rPr>
        <w:t>根据上述常用的评价单元划分原则和方法，以及《安全评价通则》中关于安全评价报告主要内容和要求的规定结合该项目的特点和实际情况，将评价内容划分为以下四个单元：</w:t>
      </w:r>
    </w:p>
    <w:p w14:paraId="5F09E822">
      <w:pPr>
        <w:pStyle w:val="9"/>
        <w:widowControl w:val="0"/>
        <w:spacing w:line="360" w:lineRule="auto"/>
        <w:ind w:firstLine="560"/>
        <w:rPr>
          <w:rFonts w:ascii="宋体"/>
          <w:color w:val="auto"/>
        </w:rPr>
      </w:pPr>
      <w:r>
        <w:rPr>
          <w:rFonts w:ascii="宋体"/>
          <w:color w:val="auto"/>
        </w:rPr>
        <w:t>1、安全管理；</w:t>
      </w:r>
    </w:p>
    <w:p w14:paraId="0E35C396">
      <w:pPr>
        <w:pStyle w:val="9"/>
        <w:widowControl w:val="0"/>
        <w:spacing w:line="360" w:lineRule="auto"/>
        <w:ind w:firstLine="560"/>
        <w:rPr>
          <w:rFonts w:ascii="宋体"/>
          <w:color w:val="auto"/>
        </w:rPr>
      </w:pPr>
      <w:r>
        <w:rPr>
          <w:rFonts w:ascii="宋体"/>
          <w:color w:val="auto"/>
        </w:rPr>
        <w:t>2、站址选择及总</w:t>
      </w:r>
      <w:r>
        <w:rPr>
          <w:rFonts w:hint="eastAsia" w:ascii="宋体"/>
          <w:color w:val="auto"/>
        </w:rPr>
        <w:t>平面</w:t>
      </w:r>
      <w:r>
        <w:rPr>
          <w:rFonts w:ascii="宋体"/>
          <w:color w:val="auto"/>
        </w:rPr>
        <w:t>布置；</w:t>
      </w:r>
    </w:p>
    <w:p w14:paraId="16F98B1D">
      <w:pPr>
        <w:pStyle w:val="9"/>
        <w:widowControl w:val="0"/>
        <w:spacing w:line="360" w:lineRule="auto"/>
        <w:ind w:firstLine="560"/>
        <w:rPr>
          <w:rFonts w:ascii="宋体"/>
          <w:color w:val="auto"/>
        </w:rPr>
      </w:pPr>
      <w:r>
        <w:rPr>
          <w:rFonts w:ascii="宋体"/>
          <w:color w:val="auto"/>
        </w:rPr>
        <w:t>3、加油工艺及设施；</w:t>
      </w:r>
    </w:p>
    <w:p w14:paraId="4C2E9B16">
      <w:pPr>
        <w:pStyle w:val="9"/>
        <w:widowControl w:val="0"/>
        <w:spacing w:line="360" w:lineRule="auto"/>
        <w:ind w:firstLine="560"/>
        <w:rPr>
          <w:rFonts w:hint="eastAsia" w:ascii="宋体"/>
          <w:color w:val="auto"/>
        </w:rPr>
      </w:pPr>
      <w:r>
        <w:rPr>
          <w:rFonts w:ascii="宋体"/>
          <w:color w:val="auto"/>
        </w:rPr>
        <w:t>4、其它安全设施等。</w:t>
      </w:r>
      <w:bookmarkStart w:id="32" w:name="_Toc188079886"/>
      <w:bookmarkStart w:id="33" w:name="_Toc19785"/>
      <w:bookmarkStart w:id="34" w:name="_Toc238007575"/>
      <w:bookmarkStart w:id="35" w:name="_Toc15033755"/>
      <w:bookmarkStart w:id="36" w:name="_Toc272364537"/>
      <w:bookmarkStart w:id="37" w:name="_Toc24232"/>
      <w:bookmarkStart w:id="38" w:name="_Toc198026274"/>
      <w:bookmarkStart w:id="39" w:name="_Toc192907202"/>
      <w:bookmarkStart w:id="40" w:name="_Toc188080068"/>
    </w:p>
    <w:p w14:paraId="37EB5A4F">
      <w:pPr>
        <w:snapToGrid w:val="0"/>
        <w:spacing w:before="120" w:after="120" w:line="560" w:lineRule="exact"/>
        <w:jc w:val="center"/>
        <w:outlineLvl w:val="1"/>
        <w:rPr>
          <w:rFonts w:ascii="Calibri" w:hAnsi="Calibri" w:eastAsia="楷体_GB2312"/>
          <w:b/>
          <w:color w:val="auto"/>
          <w:kern w:val="0"/>
          <w:sz w:val="32"/>
          <w:szCs w:val="20"/>
        </w:rPr>
      </w:pPr>
      <w:bookmarkStart w:id="41" w:name="_Toc102634408"/>
      <w:bookmarkStart w:id="42" w:name="_Toc102633982"/>
      <w:bookmarkStart w:id="43" w:name="_Toc102634259"/>
      <w:bookmarkStart w:id="44" w:name="_Toc102633908"/>
      <w:r>
        <w:rPr>
          <w:rFonts w:ascii="Calibri" w:hAnsi="Calibri" w:eastAsia="楷体_GB2312"/>
          <w:b/>
          <w:color w:val="auto"/>
          <w:kern w:val="0"/>
          <w:sz w:val="32"/>
          <w:szCs w:val="20"/>
        </w:rPr>
        <w:t>第二节 评价方法的选择</w:t>
      </w:r>
      <w:bookmarkEnd w:id="32"/>
      <w:bookmarkEnd w:id="33"/>
      <w:bookmarkEnd w:id="34"/>
      <w:bookmarkEnd w:id="35"/>
      <w:bookmarkEnd w:id="36"/>
      <w:bookmarkEnd w:id="37"/>
      <w:bookmarkEnd w:id="38"/>
      <w:bookmarkEnd w:id="39"/>
      <w:bookmarkEnd w:id="40"/>
      <w:bookmarkEnd w:id="41"/>
      <w:bookmarkEnd w:id="42"/>
      <w:bookmarkEnd w:id="43"/>
      <w:bookmarkEnd w:id="44"/>
    </w:p>
    <w:p w14:paraId="57D82CF9">
      <w:pPr>
        <w:pStyle w:val="9"/>
        <w:widowControl w:val="0"/>
        <w:spacing w:line="360" w:lineRule="auto"/>
        <w:ind w:firstLine="560"/>
        <w:rPr>
          <w:rFonts w:ascii="宋体"/>
          <w:color w:val="auto"/>
        </w:rPr>
      </w:pPr>
      <w:r>
        <w:rPr>
          <w:rFonts w:ascii="宋体"/>
          <w:color w:val="auto"/>
        </w:rPr>
        <w:t>在进行安全评价时，应该在认真分析并熟悉评价系统的前提下，选择安全评价方法。选择安全评价方法应遵循充分性、系统性、针对性和合理性的原则。</w:t>
      </w:r>
    </w:p>
    <w:p w14:paraId="7B09EB35">
      <w:pPr>
        <w:pStyle w:val="9"/>
        <w:widowControl w:val="0"/>
        <w:spacing w:line="360" w:lineRule="auto"/>
        <w:ind w:firstLine="560"/>
        <w:rPr>
          <w:rFonts w:ascii="宋体"/>
          <w:color w:val="auto"/>
        </w:rPr>
      </w:pPr>
      <w:r>
        <w:rPr>
          <w:rFonts w:ascii="宋体"/>
          <w:color w:val="auto"/>
        </w:rPr>
        <w:t>在选择安全评价方法时，应首先详细分析被评价的系统，明确通过安全评价要达到的目标，即通过安全评价需要给出哪些、什么样的安全评价结果；然后应收集尽量多的安全评价方法，将安全评价方法进行分类整理，明确被评价的系统能够提供的基础数据、工艺和其它资料；再根据安全评价要达到的目标以及所需的基础数据、工艺和其它资料，选择适用的安全评价方法。</w:t>
      </w:r>
    </w:p>
    <w:p w14:paraId="7E1C0450">
      <w:pPr>
        <w:pStyle w:val="9"/>
        <w:widowControl w:val="0"/>
        <w:spacing w:line="360" w:lineRule="auto"/>
        <w:ind w:firstLine="560"/>
        <w:rPr>
          <w:rFonts w:ascii="宋体"/>
          <w:color w:val="auto"/>
        </w:rPr>
      </w:pPr>
      <w:r>
        <w:rPr>
          <w:rFonts w:ascii="宋体"/>
          <w:color w:val="auto"/>
        </w:rPr>
        <w:t>根据本次安全评价的特点，结合</w:t>
      </w:r>
      <w:r>
        <w:rPr>
          <w:rFonts w:hint="eastAsia" w:ascii="宋体" w:hAnsi="宋体" w:cs="宋体"/>
          <w:color w:val="000000" w:themeColor="text1"/>
          <w:sz w:val="28"/>
          <w14:textFill>
            <w14:solidFill>
              <w14:schemeClr w14:val="tx1"/>
            </w14:solidFill>
          </w14:textFill>
        </w:rPr>
        <w:t>泰安鑫华腾石油有限公司</w:t>
      </w:r>
      <w:r>
        <w:rPr>
          <w:rFonts w:ascii="宋体"/>
          <w:color w:val="auto"/>
        </w:rPr>
        <w:t>的具体情况，选用安全检查表、事故树法及危险度评价法对加油站进行评价。具体应用如下表所示：</w:t>
      </w:r>
    </w:p>
    <w:p w14:paraId="014D1FFB">
      <w:pPr>
        <w:pStyle w:val="11"/>
        <w:widowControl w:val="0"/>
        <w:outlineLvl w:val="9"/>
        <w:rPr>
          <w:rFonts w:ascii="黑体" w:hAnsi="黑体"/>
          <w:color w:val="auto"/>
        </w:rPr>
      </w:pPr>
      <w:r>
        <w:rPr>
          <w:rFonts w:ascii="黑体" w:hAnsi="黑体"/>
          <w:color w:val="auto"/>
        </w:rPr>
        <w:t>表4.2-1 评价方法选择一览表</w:t>
      </w:r>
    </w:p>
    <w:tbl>
      <w:tblPr>
        <w:tblStyle w:val="4"/>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24"/>
        <w:gridCol w:w="2474"/>
        <w:gridCol w:w="2305"/>
        <w:gridCol w:w="2253"/>
        <w:gridCol w:w="1871"/>
      </w:tblGrid>
      <w:tr w14:paraId="22362F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6" w:type="pct"/>
            <w:vMerge w:val="restart"/>
            <w:noWrap w:val="0"/>
            <w:vAlign w:val="center"/>
          </w:tcPr>
          <w:p w14:paraId="27D24F3B">
            <w:pPr>
              <w:pStyle w:val="12"/>
              <w:widowControl w:val="0"/>
              <w:spacing w:line="360" w:lineRule="auto"/>
              <w:rPr>
                <w:rFonts w:ascii="宋体"/>
                <w:b/>
                <w:color w:val="auto"/>
                <w:lang w:val="en-GB"/>
              </w:rPr>
            </w:pPr>
            <w:r>
              <w:rPr>
                <w:rFonts w:ascii="宋体"/>
                <w:b/>
                <w:color w:val="auto"/>
                <w:lang w:val="en-GB"/>
              </w:rPr>
              <w:t>序号</w:t>
            </w:r>
          </w:p>
        </w:tc>
        <w:tc>
          <w:tcPr>
            <w:tcW w:w="1285" w:type="pct"/>
            <w:vMerge w:val="restart"/>
            <w:noWrap w:val="0"/>
            <w:vAlign w:val="center"/>
          </w:tcPr>
          <w:p w14:paraId="60A10806">
            <w:pPr>
              <w:pStyle w:val="12"/>
              <w:widowControl w:val="0"/>
              <w:spacing w:line="360" w:lineRule="auto"/>
              <w:rPr>
                <w:rFonts w:ascii="宋体"/>
                <w:b/>
                <w:color w:val="auto"/>
              </w:rPr>
            </w:pPr>
            <w:r>
              <w:rPr>
                <w:rFonts w:ascii="宋体"/>
                <w:b/>
                <w:bCs/>
                <w:color w:val="auto"/>
                <w:lang w:val="en-GB"/>
              </w:rPr>
              <w:t>评价单元</w:t>
            </w:r>
          </w:p>
        </w:tc>
        <w:tc>
          <w:tcPr>
            <w:tcW w:w="3339" w:type="pct"/>
            <w:gridSpan w:val="3"/>
            <w:noWrap w:val="0"/>
            <w:vAlign w:val="center"/>
          </w:tcPr>
          <w:p w14:paraId="694EA1AE">
            <w:pPr>
              <w:pStyle w:val="12"/>
              <w:widowControl w:val="0"/>
              <w:spacing w:line="360" w:lineRule="auto"/>
              <w:rPr>
                <w:rFonts w:ascii="宋体"/>
                <w:b/>
                <w:color w:val="auto"/>
              </w:rPr>
            </w:pPr>
            <w:r>
              <w:rPr>
                <w:rFonts w:ascii="宋体"/>
                <w:b/>
                <w:color w:val="auto"/>
                <w:lang w:val="en-GB"/>
              </w:rPr>
              <w:t>评价方法</w:t>
            </w:r>
          </w:p>
        </w:tc>
      </w:tr>
      <w:tr w14:paraId="16A2B8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6" w:type="pct"/>
            <w:vMerge w:val="continue"/>
            <w:noWrap w:val="0"/>
            <w:vAlign w:val="center"/>
          </w:tcPr>
          <w:p w14:paraId="6FA38C84">
            <w:pPr>
              <w:pStyle w:val="12"/>
              <w:widowControl w:val="0"/>
              <w:spacing w:line="360" w:lineRule="auto"/>
              <w:rPr>
                <w:rFonts w:ascii="宋体"/>
                <w:b/>
                <w:color w:val="auto"/>
                <w:lang w:val="en-GB"/>
              </w:rPr>
            </w:pPr>
          </w:p>
        </w:tc>
        <w:tc>
          <w:tcPr>
            <w:tcW w:w="1285" w:type="pct"/>
            <w:vMerge w:val="continue"/>
            <w:noWrap w:val="0"/>
            <w:vAlign w:val="center"/>
          </w:tcPr>
          <w:p w14:paraId="31F118FF">
            <w:pPr>
              <w:pStyle w:val="12"/>
              <w:widowControl w:val="0"/>
              <w:spacing w:line="360" w:lineRule="auto"/>
              <w:rPr>
                <w:rFonts w:ascii="宋体"/>
                <w:b/>
                <w:color w:val="auto"/>
              </w:rPr>
            </w:pPr>
          </w:p>
        </w:tc>
        <w:tc>
          <w:tcPr>
            <w:tcW w:w="1197" w:type="pct"/>
            <w:noWrap w:val="0"/>
            <w:vAlign w:val="center"/>
          </w:tcPr>
          <w:p w14:paraId="69BBFF9A">
            <w:pPr>
              <w:pStyle w:val="12"/>
              <w:widowControl w:val="0"/>
              <w:spacing w:line="360" w:lineRule="auto"/>
              <w:rPr>
                <w:rFonts w:ascii="宋体"/>
                <w:b/>
                <w:color w:val="auto"/>
                <w:lang w:val="en-GB"/>
              </w:rPr>
            </w:pPr>
            <w:r>
              <w:rPr>
                <w:rFonts w:ascii="宋体"/>
                <w:b/>
                <w:color w:val="auto"/>
                <w:lang w:val="en-GB"/>
              </w:rPr>
              <w:t>安全检查表</w:t>
            </w:r>
          </w:p>
        </w:tc>
        <w:tc>
          <w:tcPr>
            <w:tcW w:w="1170" w:type="pct"/>
            <w:noWrap w:val="0"/>
            <w:vAlign w:val="center"/>
          </w:tcPr>
          <w:p w14:paraId="5E73C3F5">
            <w:pPr>
              <w:pStyle w:val="12"/>
              <w:widowControl w:val="0"/>
              <w:spacing w:line="360" w:lineRule="auto"/>
              <w:rPr>
                <w:rFonts w:ascii="宋体"/>
                <w:b/>
                <w:color w:val="auto"/>
                <w:lang w:val="en-GB"/>
              </w:rPr>
            </w:pPr>
            <w:r>
              <w:rPr>
                <w:rFonts w:ascii="宋体"/>
                <w:b/>
                <w:color w:val="auto"/>
                <w:lang w:val="en-GB"/>
              </w:rPr>
              <w:t>危险度评价法</w:t>
            </w:r>
          </w:p>
        </w:tc>
        <w:tc>
          <w:tcPr>
            <w:tcW w:w="972" w:type="pct"/>
            <w:noWrap w:val="0"/>
            <w:vAlign w:val="center"/>
          </w:tcPr>
          <w:p w14:paraId="21A1A3FE">
            <w:pPr>
              <w:pStyle w:val="12"/>
              <w:widowControl w:val="0"/>
              <w:spacing w:line="360" w:lineRule="auto"/>
              <w:rPr>
                <w:rFonts w:ascii="宋体"/>
                <w:b/>
                <w:color w:val="auto"/>
                <w:lang w:val="en-GB"/>
              </w:rPr>
            </w:pPr>
            <w:r>
              <w:rPr>
                <w:rFonts w:ascii="宋体"/>
                <w:b/>
                <w:color w:val="auto"/>
                <w:lang w:val="en-GB"/>
              </w:rPr>
              <w:t>事故树法</w:t>
            </w:r>
          </w:p>
        </w:tc>
      </w:tr>
      <w:tr w14:paraId="285F7A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6" w:type="pct"/>
            <w:noWrap w:val="0"/>
            <w:vAlign w:val="center"/>
          </w:tcPr>
          <w:p w14:paraId="73648F6A">
            <w:pPr>
              <w:pStyle w:val="12"/>
              <w:widowControl w:val="0"/>
              <w:spacing w:line="360" w:lineRule="auto"/>
              <w:rPr>
                <w:rFonts w:ascii="宋体"/>
                <w:color w:val="auto"/>
                <w:lang w:val="en-GB"/>
              </w:rPr>
            </w:pPr>
            <w:r>
              <w:rPr>
                <w:rFonts w:ascii="宋体"/>
                <w:color w:val="auto"/>
                <w:lang w:val="en-GB"/>
              </w:rPr>
              <w:t>1</w:t>
            </w:r>
          </w:p>
        </w:tc>
        <w:tc>
          <w:tcPr>
            <w:tcW w:w="1285" w:type="pct"/>
            <w:noWrap w:val="0"/>
            <w:vAlign w:val="center"/>
          </w:tcPr>
          <w:p w14:paraId="6C74F9B2">
            <w:pPr>
              <w:pStyle w:val="12"/>
              <w:widowControl w:val="0"/>
              <w:spacing w:line="360" w:lineRule="auto"/>
              <w:rPr>
                <w:rFonts w:ascii="宋体"/>
                <w:color w:val="auto"/>
                <w:lang w:val="en-GB"/>
              </w:rPr>
            </w:pPr>
            <w:r>
              <w:rPr>
                <w:rFonts w:ascii="宋体"/>
                <w:color w:val="auto"/>
                <w:lang w:val="en-GB"/>
              </w:rPr>
              <w:t>安全管理单元</w:t>
            </w:r>
          </w:p>
        </w:tc>
        <w:tc>
          <w:tcPr>
            <w:tcW w:w="1197" w:type="pct"/>
            <w:noWrap w:val="0"/>
            <w:vAlign w:val="center"/>
          </w:tcPr>
          <w:p w14:paraId="24D8BABF">
            <w:pPr>
              <w:pStyle w:val="12"/>
              <w:widowControl w:val="0"/>
              <w:spacing w:line="360" w:lineRule="auto"/>
              <w:rPr>
                <w:rFonts w:ascii="宋体"/>
                <w:color w:val="auto"/>
              </w:rPr>
            </w:pPr>
            <w:r>
              <w:rPr>
                <w:rFonts w:hint="eastAsia" w:ascii="宋体" w:hAnsi="宋体" w:cs="宋体"/>
                <w:color w:val="auto"/>
              </w:rPr>
              <w:t>★</w:t>
            </w:r>
          </w:p>
        </w:tc>
        <w:tc>
          <w:tcPr>
            <w:tcW w:w="1170" w:type="pct"/>
            <w:noWrap w:val="0"/>
            <w:vAlign w:val="center"/>
          </w:tcPr>
          <w:p w14:paraId="501A10CF">
            <w:pPr>
              <w:pStyle w:val="12"/>
              <w:widowControl w:val="0"/>
              <w:spacing w:line="360" w:lineRule="auto"/>
              <w:rPr>
                <w:rFonts w:ascii="宋体"/>
                <w:color w:val="auto"/>
              </w:rPr>
            </w:pPr>
          </w:p>
        </w:tc>
        <w:tc>
          <w:tcPr>
            <w:tcW w:w="972" w:type="pct"/>
            <w:noWrap w:val="0"/>
            <w:vAlign w:val="center"/>
          </w:tcPr>
          <w:p w14:paraId="7B0BC0CD">
            <w:pPr>
              <w:pStyle w:val="12"/>
              <w:widowControl w:val="0"/>
              <w:spacing w:line="360" w:lineRule="auto"/>
              <w:rPr>
                <w:rFonts w:ascii="宋体"/>
                <w:color w:val="auto"/>
              </w:rPr>
            </w:pPr>
          </w:p>
        </w:tc>
      </w:tr>
      <w:tr w14:paraId="249DDA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6" w:type="pct"/>
            <w:noWrap w:val="0"/>
            <w:vAlign w:val="center"/>
          </w:tcPr>
          <w:p w14:paraId="2221AA79">
            <w:pPr>
              <w:pStyle w:val="12"/>
              <w:widowControl w:val="0"/>
              <w:spacing w:line="360" w:lineRule="auto"/>
              <w:rPr>
                <w:rFonts w:ascii="宋体"/>
                <w:color w:val="auto"/>
                <w:lang w:val="en-GB"/>
              </w:rPr>
            </w:pPr>
            <w:r>
              <w:rPr>
                <w:rFonts w:ascii="宋体"/>
                <w:color w:val="auto"/>
                <w:lang w:val="en-GB"/>
              </w:rPr>
              <w:t>2</w:t>
            </w:r>
          </w:p>
        </w:tc>
        <w:tc>
          <w:tcPr>
            <w:tcW w:w="1285" w:type="pct"/>
            <w:noWrap w:val="0"/>
            <w:vAlign w:val="center"/>
          </w:tcPr>
          <w:p w14:paraId="7227F9AE">
            <w:pPr>
              <w:pStyle w:val="12"/>
              <w:widowControl w:val="0"/>
              <w:spacing w:line="360" w:lineRule="auto"/>
              <w:rPr>
                <w:rFonts w:ascii="宋体"/>
                <w:color w:val="auto"/>
                <w:lang w:val="en-GB"/>
              </w:rPr>
            </w:pPr>
            <w:r>
              <w:rPr>
                <w:rFonts w:ascii="宋体"/>
                <w:color w:val="auto"/>
                <w:lang w:val="en-GB"/>
              </w:rPr>
              <w:t>站址选择及总平面布置</w:t>
            </w:r>
          </w:p>
        </w:tc>
        <w:tc>
          <w:tcPr>
            <w:tcW w:w="1197" w:type="pct"/>
            <w:noWrap w:val="0"/>
            <w:vAlign w:val="center"/>
          </w:tcPr>
          <w:p w14:paraId="54B523CC">
            <w:pPr>
              <w:pStyle w:val="12"/>
              <w:widowControl w:val="0"/>
              <w:spacing w:line="360" w:lineRule="auto"/>
              <w:rPr>
                <w:rFonts w:ascii="宋体"/>
                <w:color w:val="auto"/>
              </w:rPr>
            </w:pPr>
            <w:r>
              <w:rPr>
                <w:rFonts w:hint="eastAsia" w:ascii="宋体" w:hAnsi="宋体" w:cs="宋体"/>
                <w:color w:val="auto"/>
              </w:rPr>
              <w:t>★</w:t>
            </w:r>
          </w:p>
        </w:tc>
        <w:tc>
          <w:tcPr>
            <w:tcW w:w="1170" w:type="pct"/>
            <w:noWrap w:val="0"/>
            <w:vAlign w:val="center"/>
          </w:tcPr>
          <w:p w14:paraId="78748103">
            <w:pPr>
              <w:pStyle w:val="12"/>
              <w:widowControl w:val="0"/>
              <w:spacing w:line="360" w:lineRule="auto"/>
              <w:rPr>
                <w:rFonts w:ascii="宋体"/>
                <w:color w:val="auto"/>
              </w:rPr>
            </w:pPr>
          </w:p>
        </w:tc>
        <w:tc>
          <w:tcPr>
            <w:tcW w:w="972" w:type="pct"/>
            <w:noWrap w:val="0"/>
            <w:vAlign w:val="center"/>
          </w:tcPr>
          <w:p w14:paraId="11FCBE08">
            <w:pPr>
              <w:pStyle w:val="12"/>
              <w:widowControl w:val="0"/>
              <w:spacing w:line="360" w:lineRule="auto"/>
              <w:rPr>
                <w:rFonts w:ascii="宋体"/>
                <w:color w:val="auto"/>
              </w:rPr>
            </w:pPr>
          </w:p>
        </w:tc>
      </w:tr>
      <w:tr w14:paraId="305200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6" w:type="pct"/>
            <w:noWrap w:val="0"/>
            <w:vAlign w:val="center"/>
          </w:tcPr>
          <w:p w14:paraId="57ABB17D">
            <w:pPr>
              <w:pStyle w:val="12"/>
              <w:widowControl w:val="0"/>
              <w:spacing w:line="360" w:lineRule="auto"/>
              <w:rPr>
                <w:rFonts w:ascii="宋体"/>
                <w:color w:val="auto"/>
                <w:lang w:val="en-GB"/>
              </w:rPr>
            </w:pPr>
            <w:r>
              <w:rPr>
                <w:rFonts w:ascii="宋体"/>
                <w:color w:val="auto"/>
                <w:lang w:val="en-GB"/>
              </w:rPr>
              <w:t>3</w:t>
            </w:r>
          </w:p>
        </w:tc>
        <w:tc>
          <w:tcPr>
            <w:tcW w:w="1285" w:type="pct"/>
            <w:noWrap w:val="0"/>
            <w:vAlign w:val="center"/>
          </w:tcPr>
          <w:p w14:paraId="7B2EB380">
            <w:pPr>
              <w:pStyle w:val="12"/>
              <w:widowControl w:val="0"/>
              <w:spacing w:line="360" w:lineRule="auto"/>
              <w:rPr>
                <w:rFonts w:ascii="宋体"/>
                <w:color w:val="auto"/>
                <w:lang w:val="en-GB"/>
              </w:rPr>
            </w:pPr>
            <w:r>
              <w:rPr>
                <w:rFonts w:ascii="宋体"/>
                <w:color w:val="auto"/>
                <w:lang w:val="en-GB"/>
              </w:rPr>
              <w:t>加油工艺及设施</w:t>
            </w:r>
          </w:p>
        </w:tc>
        <w:tc>
          <w:tcPr>
            <w:tcW w:w="1197" w:type="pct"/>
            <w:noWrap w:val="0"/>
            <w:vAlign w:val="center"/>
          </w:tcPr>
          <w:p w14:paraId="606FF95D">
            <w:pPr>
              <w:pStyle w:val="12"/>
              <w:widowControl w:val="0"/>
              <w:spacing w:line="360" w:lineRule="auto"/>
              <w:rPr>
                <w:rFonts w:ascii="宋体"/>
                <w:color w:val="auto"/>
              </w:rPr>
            </w:pPr>
            <w:r>
              <w:rPr>
                <w:rFonts w:hint="eastAsia" w:ascii="宋体" w:hAnsi="宋体" w:cs="宋体"/>
                <w:color w:val="auto"/>
              </w:rPr>
              <w:t>★</w:t>
            </w:r>
          </w:p>
        </w:tc>
        <w:tc>
          <w:tcPr>
            <w:tcW w:w="1170" w:type="pct"/>
            <w:noWrap w:val="0"/>
            <w:vAlign w:val="center"/>
          </w:tcPr>
          <w:p w14:paraId="535EE852">
            <w:pPr>
              <w:pStyle w:val="12"/>
              <w:widowControl w:val="0"/>
              <w:spacing w:line="360" w:lineRule="auto"/>
              <w:rPr>
                <w:rFonts w:ascii="宋体"/>
                <w:color w:val="auto"/>
              </w:rPr>
            </w:pPr>
            <w:r>
              <w:rPr>
                <w:rFonts w:hint="eastAsia" w:ascii="宋体" w:hAnsi="宋体" w:cs="宋体"/>
                <w:color w:val="auto"/>
              </w:rPr>
              <w:t>★</w:t>
            </w:r>
          </w:p>
        </w:tc>
        <w:tc>
          <w:tcPr>
            <w:tcW w:w="972" w:type="pct"/>
            <w:noWrap w:val="0"/>
            <w:vAlign w:val="center"/>
          </w:tcPr>
          <w:p w14:paraId="7D427B82">
            <w:pPr>
              <w:pStyle w:val="12"/>
              <w:widowControl w:val="0"/>
              <w:spacing w:line="360" w:lineRule="auto"/>
              <w:rPr>
                <w:rFonts w:ascii="宋体"/>
                <w:color w:val="auto"/>
              </w:rPr>
            </w:pPr>
            <w:r>
              <w:rPr>
                <w:rFonts w:hint="eastAsia" w:ascii="宋体" w:hAnsi="宋体" w:cs="宋体"/>
                <w:color w:val="auto"/>
              </w:rPr>
              <w:t>★</w:t>
            </w:r>
          </w:p>
        </w:tc>
      </w:tr>
      <w:tr w14:paraId="35689E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6" w:type="pct"/>
            <w:noWrap w:val="0"/>
            <w:vAlign w:val="center"/>
          </w:tcPr>
          <w:p w14:paraId="29428A99">
            <w:pPr>
              <w:pStyle w:val="12"/>
              <w:widowControl w:val="0"/>
              <w:spacing w:line="360" w:lineRule="auto"/>
              <w:rPr>
                <w:rFonts w:ascii="宋体"/>
                <w:color w:val="auto"/>
                <w:lang w:val="en-GB"/>
              </w:rPr>
            </w:pPr>
            <w:r>
              <w:rPr>
                <w:rFonts w:ascii="宋体"/>
                <w:color w:val="auto"/>
                <w:lang w:val="en-GB"/>
              </w:rPr>
              <w:t>4</w:t>
            </w:r>
          </w:p>
        </w:tc>
        <w:tc>
          <w:tcPr>
            <w:tcW w:w="1285" w:type="pct"/>
            <w:noWrap w:val="0"/>
            <w:vAlign w:val="center"/>
          </w:tcPr>
          <w:p w14:paraId="7BEEA9A8">
            <w:pPr>
              <w:pStyle w:val="12"/>
              <w:widowControl w:val="0"/>
              <w:spacing w:line="360" w:lineRule="auto"/>
              <w:rPr>
                <w:rFonts w:ascii="宋体"/>
                <w:color w:val="auto"/>
                <w:lang w:val="en-GB"/>
              </w:rPr>
            </w:pPr>
            <w:r>
              <w:rPr>
                <w:rFonts w:ascii="宋体"/>
                <w:color w:val="auto"/>
                <w:lang w:val="en-GB"/>
              </w:rPr>
              <w:t>其它安全设施</w:t>
            </w:r>
          </w:p>
        </w:tc>
        <w:tc>
          <w:tcPr>
            <w:tcW w:w="1197" w:type="pct"/>
            <w:noWrap w:val="0"/>
            <w:vAlign w:val="center"/>
          </w:tcPr>
          <w:p w14:paraId="7408FD92">
            <w:pPr>
              <w:pStyle w:val="12"/>
              <w:widowControl w:val="0"/>
              <w:spacing w:line="360" w:lineRule="auto"/>
              <w:rPr>
                <w:rFonts w:ascii="宋体"/>
                <w:color w:val="auto"/>
              </w:rPr>
            </w:pPr>
            <w:r>
              <w:rPr>
                <w:rFonts w:hint="eastAsia" w:ascii="宋体" w:hAnsi="宋体" w:cs="宋体"/>
                <w:color w:val="auto"/>
              </w:rPr>
              <w:t>★</w:t>
            </w:r>
          </w:p>
        </w:tc>
        <w:tc>
          <w:tcPr>
            <w:tcW w:w="1170" w:type="pct"/>
            <w:noWrap w:val="0"/>
            <w:vAlign w:val="center"/>
          </w:tcPr>
          <w:p w14:paraId="54FFA1DF">
            <w:pPr>
              <w:pStyle w:val="12"/>
              <w:widowControl w:val="0"/>
              <w:spacing w:line="360" w:lineRule="auto"/>
              <w:rPr>
                <w:rFonts w:ascii="宋体"/>
                <w:color w:val="auto"/>
              </w:rPr>
            </w:pPr>
          </w:p>
        </w:tc>
        <w:tc>
          <w:tcPr>
            <w:tcW w:w="972" w:type="pct"/>
            <w:noWrap w:val="0"/>
            <w:vAlign w:val="center"/>
          </w:tcPr>
          <w:p w14:paraId="03608C82">
            <w:pPr>
              <w:pStyle w:val="12"/>
              <w:widowControl w:val="0"/>
              <w:spacing w:line="360" w:lineRule="auto"/>
              <w:rPr>
                <w:rFonts w:ascii="宋体"/>
                <w:color w:val="auto"/>
              </w:rPr>
            </w:pPr>
          </w:p>
        </w:tc>
      </w:tr>
    </w:tbl>
    <w:p w14:paraId="10147963">
      <w:pPr>
        <w:pStyle w:val="9"/>
        <w:widowControl w:val="0"/>
        <w:spacing w:line="360" w:lineRule="auto"/>
        <w:ind w:firstLine="420"/>
        <w:rPr>
          <w:rFonts w:ascii="黑体" w:hAnsi="黑体" w:eastAsia="黑体"/>
          <w:color w:val="auto"/>
        </w:rPr>
      </w:pPr>
      <w:r>
        <w:rPr>
          <w:rFonts w:ascii="黑体" w:hAnsi="黑体" w:eastAsia="黑体"/>
          <w:color w:val="auto"/>
          <w:sz w:val="21"/>
          <w:szCs w:val="21"/>
          <w:u w:val="none" w:color="000000"/>
        </w:rPr>
        <w:t>注：表中“★”表示采用的评价方法。</w:t>
      </w:r>
    </w:p>
    <w:p w14:paraId="498C9DED">
      <w:pPr>
        <w:pStyle w:val="2"/>
        <w:rPr>
          <w:rFonts w:hint="eastAsia"/>
          <w:lang w:val="en-US" w:eastAsia="zh-CN"/>
        </w:rPr>
      </w:pPr>
    </w:p>
    <w:p w14:paraId="60D5F574">
      <w:pPr>
        <w:pStyle w:val="2"/>
        <w:rPr>
          <w:rFonts w:hint="eastAsia"/>
          <w:lang w:val="en-US" w:eastAsia="zh-CN"/>
        </w:rPr>
      </w:pPr>
    </w:p>
    <w:p w14:paraId="5FDB11C5">
      <w:pPr>
        <w:pStyle w:val="2"/>
        <w:rPr>
          <w:rFonts w:hint="eastAsia"/>
          <w:lang w:val="en-US" w:eastAsia="zh-CN"/>
        </w:rPr>
      </w:pPr>
    </w:p>
    <w:p w14:paraId="54D2C95D">
      <w:pPr>
        <w:pStyle w:val="2"/>
        <w:rPr>
          <w:rFonts w:hint="eastAsia"/>
          <w:lang w:val="en-US" w:eastAsia="zh-CN"/>
        </w:rPr>
      </w:pPr>
    </w:p>
    <w:p w14:paraId="74F4A6B6">
      <w:pPr>
        <w:pStyle w:val="2"/>
        <w:rPr>
          <w:rFonts w:hint="eastAsia"/>
          <w:lang w:val="en-US" w:eastAsia="zh-CN"/>
        </w:rPr>
      </w:pPr>
    </w:p>
    <w:p w14:paraId="71CFC805">
      <w:pPr>
        <w:pStyle w:val="2"/>
        <w:rPr>
          <w:rFonts w:hint="eastAsia"/>
          <w:lang w:val="en-US" w:eastAsia="zh-CN"/>
        </w:rPr>
      </w:pPr>
    </w:p>
    <w:p w14:paraId="05A78FC0">
      <w:pPr>
        <w:pStyle w:val="2"/>
        <w:rPr>
          <w:rFonts w:hint="eastAsia"/>
          <w:lang w:val="en-US" w:eastAsia="zh-CN"/>
        </w:rPr>
      </w:pPr>
    </w:p>
    <w:p w14:paraId="6B600D32">
      <w:pPr>
        <w:pStyle w:val="2"/>
        <w:rPr>
          <w:rFonts w:hint="eastAsia"/>
          <w:lang w:val="en-US" w:eastAsia="zh-CN"/>
        </w:rPr>
      </w:pPr>
    </w:p>
    <w:p w14:paraId="30DF714D">
      <w:pPr>
        <w:pStyle w:val="2"/>
        <w:rPr>
          <w:rFonts w:hint="eastAsia"/>
          <w:lang w:val="en-US" w:eastAsia="zh-CN"/>
        </w:rPr>
      </w:pPr>
    </w:p>
    <w:p w14:paraId="591A17EF">
      <w:pPr>
        <w:pStyle w:val="2"/>
        <w:rPr>
          <w:rFonts w:hint="eastAsia"/>
          <w:lang w:val="en-US" w:eastAsia="zh-CN"/>
        </w:rPr>
      </w:pPr>
    </w:p>
    <w:p w14:paraId="33FE60AF">
      <w:pPr>
        <w:pStyle w:val="10"/>
        <w:widowControl w:val="0"/>
        <w:adjustRightInd w:val="0"/>
        <w:snapToGrid w:val="0"/>
        <w:spacing w:before="468" w:beforeLines="150" w:after="156" w:afterLines="50" w:line="360" w:lineRule="auto"/>
        <w:rPr>
          <w:color w:val="auto"/>
        </w:rPr>
      </w:pPr>
      <w:bookmarkStart w:id="45" w:name="_Toc102634276"/>
      <w:bookmarkStart w:id="46" w:name="_Toc9894"/>
      <w:bookmarkStart w:id="47" w:name="_Toc102633914"/>
      <w:bookmarkStart w:id="48" w:name="_Toc102633988"/>
      <w:bookmarkStart w:id="49" w:name="_Toc102634414"/>
      <w:bookmarkStart w:id="50" w:name="_Toc15033761"/>
      <w:r>
        <w:rPr>
          <w:color w:val="auto"/>
        </w:rPr>
        <w:t>第六章  安全对策措施及建议</w:t>
      </w:r>
      <w:bookmarkEnd w:id="45"/>
      <w:bookmarkEnd w:id="46"/>
      <w:bookmarkEnd w:id="47"/>
      <w:bookmarkEnd w:id="48"/>
      <w:bookmarkEnd w:id="49"/>
      <w:bookmarkEnd w:id="50"/>
    </w:p>
    <w:p w14:paraId="0CC93D78">
      <w:pPr>
        <w:snapToGrid w:val="0"/>
        <w:spacing w:before="120" w:after="120" w:line="560" w:lineRule="exact"/>
        <w:jc w:val="center"/>
        <w:outlineLvl w:val="1"/>
        <w:rPr>
          <w:rFonts w:ascii="Calibri" w:hAnsi="Calibri" w:eastAsia="楷体_GB2312"/>
          <w:b/>
          <w:color w:val="auto"/>
          <w:kern w:val="0"/>
          <w:sz w:val="32"/>
          <w:szCs w:val="20"/>
        </w:rPr>
      </w:pPr>
      <w:bookmarkStart w:id="51" w:name="_Toc339456079"/>
      <w:bookmarkStart w:id="52" w:name="_Toc225046264"/>
      <w:bookmarkStart w:id="53" w:name="_Toc102633915"/>
      <w:bookmarkStart w:id="54" w:name="_Toc102633989"/>
      <w:bookmarkStart w:id="55" w:name="_Toc242065302"/>
      <w:bookmarkStart w:id="56" w:name="_Toc348877039"/>
      <w:bookmarkStart w:id="57" w:name="_Toc102634415"/>
      <w:bookmarkStart w:id="58" w:name="_Toc4961"/>
      <w:bookmarkStart w:id="59" w:name="_Toc102634277"/>
      <w:bookmarkStart w:id="60" w:name="_Toc15033762"/>
      <w:r>
        <w:rPr>
          <w:rFonts w:ascii="Calibri" w:hAnsi="Calibri" w:eastAsia="楷体_GB2312"/>
          <w:b/>
          <w:color w:val="auto"/>
          <w:kern w:val="0"/>
          <w:sz w:val="32"/>
          <w:szCs w:val="20"/>
        </w:rPr>
        <w:t xml:space="preserve">第一节 </w:t>
      </w:r>
      <w:bookmarkEnd w:id="51"/>
      <w:bookmarkEnd w:id="52"/>
      <w:r>
        <w:rPr>
          <w:rFonts w:ascii="Calibri" w:hAnsi="Calibri" w:eastAsia="楷体_GB2312"/>
          <w:b/>
          <w:color w:val="auto"/>
          <w:kern w:val="0"/>
          <w:sz w:val="32"/>
          <w:szCs w:val="20"/>
        </w:rPr>
        <w:t>存在的问题及整改建议</w:t>
      </w:r>
      <w:bookmarkEnd w:id="53"/>
      <w:bookmarkEnd w:id="54"/>
      <w:bookmarkEnd w:id="55"/>
      <w:bookmarkEnd w:id="56"/>
      <w:bookmarkEnd w:id="57"/>
      <w:bookmarkEnd w:id="58"/>
      <w:bookmarkEnd w:id="59"/>
      <w:bookmarkEnd w:id="60"/>
    </w:p>
    <w:p w14:paraId="6ED67031">
      <w:pPr>
        <w:adjustRightInd w:val="0"/>
        <w:snapToGrid w:val="0"/>
        <w:spacing w:line="360" w:lineRule="auto"/>
        <w:ind w:firstLine="560" w:firstLineChars="200"/>
        <w:rPr>
          <w:rFonts w:ascii="宋体"/>
          <w:color w:val="auto"/>
          <w:kern w:val="0"/>
          <w:sz w:val="28"/>
          <w:szCs w:val="20"/>
        </w:rPr>
      </w:pPr>
      <w:bookmarkStart w:id="61" w:name="_Toc15033763"/>
      <w:bookmarkStart w:id="62" w:name="_Toc49590281"/>
      <w:r>
        <w:rPr>
          <w:rFonts w:ascii="宋体"/>
          <w:color w:val="auto"/>
          <w:kern w:val="0"/>
          <w:sz w:val="28"/>
          <w:szCs w:val="20"/>
        </w:rPr>
        <w:t>通过现场检查和审查有关资料</w:t>
      </w:r>
      <w:r>
        <w:rPr>
          <w:rFonts w:hint="eastAsia" w:ascii="宋体"/>
          <w:color w:val="auto"/>
          <w:kern w:val="0"/>
          <w:sz w:val="28"/>
          <w:szCs w:val="20"/>
        </w:rPr>
        <w:t>可以看出，该加油站问题如下：</w:t>
      </w:r>
    </w:p>
    <w:bookmarkEnd w:id="61"/>
    <w:bookmarkEnd w:id="62"/>
    <w:p w14:paraId="3A171847">
      <w:pPr>
        <w:widowControl/>
        <w:spacing w:line="360" w:lineRule="auto"/>
        <w:jc w:val="center"/>
        <w:textAlignment w:val="baseline"/>
        <w:rPr>
          <w:rFonts w:eastAsia="黑体"/>
          <w:color w:val="auto"/>
          <w:kern w:val="0"/>
          <w:sz w:val="24"/>
          <w:szCs w:val="24"/>
          <w:u w:color="000000"/>
        </w:rPr>
      </w:pPr>
      <w:r>
        <w:rPr>
          <w:rFonts w:hint="eastAsia" w:ascii="黑体" w:hAnsi="黑体" w:eastAsia="黑体" w:cs="黑体"/>
          <w:color w:val="auto"/>
          <w:kern w:val="0"/>
          <w:sz w:val="24"/>
          <w:szCs w:val="24"/>
          <w:u w:color="000000"/>
        </w:rPr>
        <w:t>表6.1-1</w:t>
      </w:r>
      <w:r>
        <w:rPr>
          <w:rFonts w:hint="eastAsia" w:eastAsia="黑体"/>
          <w:color w:val="auto"/>
          <w:kern w:val="0"/>
          <w:sz w:val="24"/>
          <w:szCs w:val="24"/>
          <w:u w:color="000000"/>
        </w:rPr>
        <w:t xml:space="preserve">  现场存在问题表</w:t>
      </w:r>
    </w:p>
    <w:tbl>
      <w:tblPr>
        <w:tblStyle w:val="4"/>
        <w:tblW w:w="940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4212"/>
        <w:gridCol w:w="4373"/>
      </w:tblGrid>
      <w:tr w14:paraId="248D06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22" w:hRule="atLeast"/>
          <w:tblHeader/>
          <w:jc w:val="center"/>
        </w:trPr>
        <w:tc>
          <w:tcPr>
            <w:tcW w:w="817" w:type="dxa"/>
            <w:vAlign w:val="center"/>
          </w:tcPr>
          <w:p w14:paraId="30E3FC95">
            <w:pPr>
              <w:widowControl/>
              <w:tabs>
                <w:tab w:val="left" w:pos="6120"/>
              </w:tabs>
              <w:adjustRightInd w:val="0"/>
              <w:spacing w:before="31" w:beforeLines="10" w:after="31" w:afterLines="10" w:line="320" w:lineRule="exact"/>
              <w:jc w:val="center"/>
              <w:textAlignment w:val="baseline"/>
              <w:rPr>
                <w:rFonts w:ascii="宋体" w:hAnsi="宋体"/>
                <w:b/>
                <w:bCs/>
                <w:color w:val="auto"/>
                <w:kern w:val="0"/>
                <w:position w:val="2"/>
                <w:u w:color="000000"/>
              </w:rPr>
            </w:pPr>
            <w:r>
              <w:rPr>
                <w:rFonts w:ascii="宋体" w:hAnsi="宋体"/>
                <w:b/>
                <w:bCs/>
                <w:color w:val="auto"/>
                <w:kern w:val="0"/>
                <w:position w:val="2"/>
                <w:u w:color="000000"/>
              </w:rPr>
              <w:t>序号</w:t>
            </w:r>
          </w:p>
        </w:tc>
        <w:tc>
          <w:tcPr>
            <w:tcW w:w="4212" w:type="dxa"/>
            <w:vAlign w:val="center"/>
          </w:tcPr>
          <w:p w14:paraId="1AED0BF4">
            <w:pPr>
              <w:widowControl/>
              <w:tabs>
                <w:tab w:val="left" w:pos="6120"/>
              </w:tabs>
              <w:adjustRightInd w:val="0"/>
              <w:spacing w:before="31" w:beforeLines="10" w:after="31" w:afterLines="10" w:line="320" w:lineRule="exact"/>
              <w:jc w:val="center"/>
              <w:textAlignment w:val="baseline"/>
              <w:rPr>
                <w:rFonts w:ascii="宋体" w:hAnsi="宋体"/>
                <w:b/>
                <w:bCs/>
                <w:color w:val="auto"/>
                <w:kern w:val="0"/>
                <w:position w:val="2"/>
                <w:u w:color="000000"/>
              </w:rPr>
            </w:pPr>
            <w:r>
              <w:rPr>
                <w:rFonts w:ascii="宋体" w:hAnsi="宋体"/>
                <w:b/>
                <w:bCs/>
                <w:color w:val="auto"/>
                <w:kern w:val="0"/>
                <w:position w:val="2"/>
                <w:u w:color="000000"/>
              </w:rPr>
              <w:t>企业存在的问题</w:t>
            </w:r>
          </w:p>
        </w:tc>
        <w:tc>
          <w:tcPr>
            <w:tcW w:w="4373" w:type="dxa"/>
            <w:vAlign w:val="center"/>
          </w:tcPr>
          <w:p w14:paraId="5A3320B7">
            <w:pPr>
              <w:widowControl/>
              <w:tabs>
                <w:tab w:val="left" w:pos="6120"/>
              </w:tabs>
              <w:adjustRightInd w:val="0"/>
              <w:spacing w:before="31" w:beforeLines="10" w:after="31" w:afterLines="10" w:line="320" w:lineRule="exact"/>
              <w:jc w:val="center"/>
              <w:textAlignment w:val="baseline"/>
              <w:rPr>
                <w:rFonts w:ascii="宋体" w:hAnsi="宋体"/>
                <w:b/>
                <w:bCs/>
                <w:color w:val="auto"/>
                <w:kern w:val="0"/>
                <w:position w:val="2"/>
                <w:u w:color="000000"/>
              </w:rPr>
            </w:pPr>
            <w:r>
              <w:rPr>
                <w:rFonts w:ascii="宋体" w:hAnsi="宋体"/>
                <w:b/>
                <w:bCs/>
                <w:color w:val="auto"/>
                <w:kern w:val="0"/>
                <w:position w:val="2"/>
                <w:u w:color="000000"/>
              </w:rPr>
              <w:t>整改建议措施</w:t>
            </w:r>
          </w:p>
        </w:tc>
      </w:tr>
      <w:tr w14:paraId="653721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46" w:hRule="atLeast"/>
          <w:jc w:val="center"/>
        </w:trPr>
        <w:tc>
          <w:tcPr>
            <w:tcW w:w="817" w:type="dxa"/>
            <w:vAlign w:val="center"/>
          </w:tcPr>
          <w:p w14:paraId="6DCC57B4">
            <w:pPr>
              <w:widowControl/>
              <w:tabs>
                <w:tab w:val="left" w:pos="6120"/>
              </w:tabs>
              <w:adjustRightInd w:val="0"/>
              <w:spacing w:before="31" w:beforeLines="10" w:after="31" w:afterLines="10" w:line="320" w:lineRule="exact"/>
              <w:jc w:val="center"/>
              <w:textAlignment w:val="baseline"/>
              <w:rPr>
                <w:rFonts w:hint="default" w:ascii="宋体" w:hAnsi="宋体"/>
                <w:bCs/>
                <w:color w:val="auto"/>
                <w:kern w:val="0"/>
                <w:position w:val="2"/>
                <w:u w:color="000000"/>
                <w:lang w:val="en-US" w:eastAsia="zh-CN"/>
              </w:rPr>
            </w:pPr>
            <w:r>
              <w:rPr>
                <w:rFonts w:hint="eastAsia" w:ascii="宋体" w:hAnsi="宋体"/>
                <w:bCs/>
                <w:color w:val="auto"/>
                <w:kern w:val="0"/>
                <w:position w:val="2"/>
                <w:u w:color="000000"/>
                <w:lang w:val="en-US" w:eastAsia="zh-CN"/>
              </w:rPr>
              <w:t>1</w:t>
            </w:r>
          </w:p>
        </w:tc>
        <w:tc>
          <w:tcPr>
            <w:tcW w:w="4212" w:type="dxa"/>
            <w:vAlign w:val="center"/>
          </w:tcPr>
          <w:p w14:paraId="4CAAAE81">
            <w:pPr>
              <w:jc w:val="center"/>
              <w:rPr>
                <w:rFonts w:hint="default" w:ascii="宋体" w:hAnsi="宋体"/>
                <w:color w:val="auto"/>
                <w:kern w:val="0"/>
                <w:u w:color="000000"/>
                <w:lang w:val="en-US" w:eastAsia="zh-CN"/>
              </w:rPr>
            </w:pPr>
            <w:r>
              <w:rPr>
                <w:rFonts w:hint="eastAsia"/>
                <w:color w:val="000000" w:themeColor="text1"/>
                <w:lang w:val="en-US" w:eastAsia="zh-CN"/>
                <w14:textFill>
                  <w14:solidFill>
                    <w14:schemeClr w14:val="tx1"/>
                  </w14:solidFill>
                </w14:textFill>
              </w:rPr>
              <w:t>无</w:t>
            </w:r>
          </w:p>
        </w:tc>
        <w:tc>
          <w:tcPr>
            <w:tcW w:w="4373" w:type="dxa"/>
            <w:vAlign w:val="center"/>
          </w:tcPr>
          <w:p w14:paraId="0D6B089E">
            <w:pPr>
              <w:jc w:val="center"/>
              <w:rPr>
                <w:rFonts w:hint="default" w:ascii="宋体" w:hAnsi="宋体"/>
                <w:color w:val="auto"/>
                <w:kern w:val="0"/>
                <w:u w:color="000000"/>
                <w:lang w:val="en-US" w:eastAsia="zh-CN"/>
              </w:rPr>
            </w:pPr>
            <w:r>
              <w:rPr>
                <w:rFonts w:hint="eastAsia" w:ascii="宋体" w:hAnsi="宋体" w:cs="宋体"/>
                <w:bCs/>
                <w:color w:val="000000" w:themeColor="text1"/>
                <w:lang w:val="en-US" w:eastAsia="zh-CN"/>
                <w14:textFill>
                  <w14:solidFill>
                    <w14:schemeClr w14:val="tx1"/>
                  </w14:solidFill>
                </w14:textFill>
              </w:rPr>
              <w:t>无</w:t>
            </w:r>
          </w:p>
        </w:tc>
      </w:tr>
    </w:tbl>
    <w:p w14:paraId="7DFB7C91">
      <w:pPr>
        <w:widowControl w:val="0"/>
        <w:tabs>
          <w:tab w:val="left" w:pos="698"/>
        </w:tabs>
        <w:kinsoku/>
        <w:autoSpaceDE/>
        <w:autoSpaceDN/>
        <w:adjustRightInd/>
        <w:snapToGrid/>
        <w:spacing w:line="240" w:lineRule="auto"/>
        <w:ind w:firstLine="560" w:firstLineChars="200"/>
        <w:jc w:val="left"/>
        <w:textAlignment w:val="auto"/>
        <w:rPr>
          <w:rFonts w:hint="eastAsia" w:ascii="宋体" w:eastAsia="宋体"/>
          <w:kern w:val="0"/>
          <w:sz w:val="28"/>
          <w:szCs w:val="20"/>
          <w:lang w:eastAsia="zh-CN"/>
        </w:rPr>
      </w:pPr>
      <w:r>
        <w:rPr>
          <w:rFonts w:hint="eastAsia" w:ascii="宋体"/>
          <w:kern w:val="0"/>
          <w:sz w:val="28"/>
          <w:szCs w:val="20"/>
        </w:rPr>
        <w:t>该加油站在安全管理、站址选择及总平面布置、加油工艺及设施、其它设施等方面符合有关法律、标准规范的要求</w:t>
      </w:r>
      <w:r>
        <w:rPr>
          <w:rFonts w:hint="eastAsia" w:ascii="宋体" w:eastAsia="宋体"/>
          <w:kern w:val="0"/>
          <w:sz w:val="28"/>
          <w:szCs w:val="20"/>
          <w:lang w:eastAsia="zh-CN"/>
        </w:rPr>
        <w:t>。</w:t>
      </w:r>
    </w:p>
    <w:p w14:paraId="29FC7E10">
      <w:pPr>
        <w:pStyle w:val="2"/>
        <w:rPr>
          <w:rFonts w:hint="eastAsia" w:ascii="宋体" w:eastAsia="宋体"/>
          <w:kern w:val="0"/>
          <w:sz w:val="28"/>
          <w:szCs w:val="20"/>
          <w:lang w:eastAsia="zh-CN"/>
        </w:rPr>
      </w:pPr>
    </w:p>
    <w:p w14:paraId="7196FAF6">
      <w:pPr>
        <w:pStyle w:val="2"/>
        <w:ind w:left="0" w:leftChars="0" w:firstLine="0" w:firstLineChars="0"/>
        <w:rPr>
          <w:rFonts w:hint="eastAsia" w:ascii="宋体" w:eastAsia="宋体"/>
          <w:kern w:val="0"/>
          <w:sz w:val="28"/>
          <w:szCs w:val="20"/>
          <w:lang w:val="en-US" w:eastAsia="zh-CN"/>
        </w:rPr>
      </w:pPr>
      <w:r>
        <w:rPr>
          <w:rFonts w:hint="eastAsia" w:ascii="宋体" w:eastAsia="宋体"/>
          <w:kern w:val="0"/>
          <w:sz w:val="28"/>
          <w:szCs w:val="20"/>
          <w:lang w:val="en-US" w:eastAsia="zh-CN"/>
        </w:rPr>
        <w:t xml:space="preserve">   </w:t>
      </w:r>
    </w:p>
    <w:p w14:paraId="0BCD549E">
      <w:pPr>
        <w:pStyle w:val="2"/>
        <w:ind w:left="0" w:leftChars="0" w:firstLine="0" w:firstLineChars="0"/>
        <w:rPr>
          <w:rFonts w:hint="eastAsia" w:ascii="宋体" w:eastAsia="宋体"/>
          <w:kern w:val="0"/>
          <w:sz w:val="28"/>
          <w:szCs w:val="20"/>
          <w:lang w:val="en-US" w:eastAsia="zh-CN"/>
        </w:rPr>
      </w:pPr>
    </w:p>
    <w:p w14:paraId="754E295C">
      <w:pPr>
        <w:pStyle w:val="2"/>
        <w:ind w:left="0" w:leftChars="0" w:firstLine="0" w:firstLineChars="0"/>
        <w:rPr>
          <w:rFonts w:hint="eastAsia" w:ascii="宋体" w:eastAsia="宋体"/>
          <w:kern w:val="0"/>
          <w:sz w:val="28"/>
          <w:szCs w:val="20"/>
          <w:lang w:val="en-US" w:eastAsia="zh-CN"/>
        </w:rPr>
      </w:pPr>
    </w:p>
    <w:p w14:paraId="33ECCD2C">
      <w:pPr>
        <w:pStyle w:val="2"/>
        <w:ind w:left="0" w:leftChars="0" w:firstLine="0" w:firstLineChars="0"/>
        <w:rPr>
          <w:rFonts w:hint="eastAsia" w:ascii="宋体" w:eastAsia="宋体"/>
          <w:kern w:val="0"/>
          <w:sz w:val="28"/>
          <w:szCs w:val="20"/>
          <w:lang w:val="en-US" w:eastAsia="zh-CN"/>
        </w:rPr>
      </w:pPr>
    </w:p>
    <w:p w14:paraId="6B68A546">
      <w:pPr>
        <w:pStyle w:val="2"/>
        <w:ind w:left="0" w:leftChars="0" w:firstLine="0" w:firstLineChars="0"/>
        <w:rPr>
          <w:rFonts w:hint="eastAsia" w:ascii="宋体" w:eastAsia="宋体"/>
          <w:kern w:val="0"/>
          <w:sz w:val="28"/>
          <w:szCs w:val="20"/>
          <w:lang w:val="en-US" w:eastAsia="zh-CN"/>
        </w:rPr>
      </w:pPr>
    </w:p>
    <w:p w14:paraId="4A09A148">
      <w:pPr>
        <w:pStyle w:val="2"/>
        <w:ind w:left="0" w:leftChars="0" w:firstLine="0" w:firstLineChars="0"/>
        <w:rPr>
          <w:rFonts w:hint="eastAsia" w:ascii="宋体" w:eastAsia="宋体"/>
          <w:kern w:val="0"/>
          <w:sz w:val="28"/>
          <w:szCs w:val="20"/>
          <w:lang w:val="en-US" w:eastAsia="zh-CN"/>
        </w:rPr>
      </w:pPr>
    </w:p>
    <w:p w14:paraId="7287E591">
      <w:pPr>
        <w:pStyle w:val="2"/>
        <w:ind w:left="0" w:leftChars="0" w:firstLine="0" w:firstLineChars="0"/>
        <w:rPr>
          <w:rFonts w:hint="eastAsia" w:ascii="宋体" w:eastAsia="宋体"/>
          <w:kern w:val="0"/>
          <w:sz w:val="28"/>
          <w:szCs w:val="20"/>
          <w:lang w:val="en-US" w:eastAsia="zh-CN"/>
        </w:rPr>
      </w:pPr>
    </w:p>
    <w:p w14:paraId="3AF08DFF">
      <w:pPr>
        <w:pStyle w:val="2"/>
        <w:ind w:left="0" w:leftChars="0" w:firstLine="0" w:firstLineChars="0"/>
        <w:rPr>
          <w:rFonts w:hint="eastAsia" w:ascii="宋体" w:eastAsia="宋体"/>
          <w:kern w:val="0"/>
          <w:sz w:val="28"/>
          <w:szCs w:val="20"/>
          <w:lang w:val="en-US" w:eastAsia="zh-CN"/>
        </w:rPr>
      </w:pPr>
      <w:bookmarkStart w:id="63" w:name="_GoBack"/>
      <w:bookmarkEnd w:id="63"/>
      <w:r>
        <w:rPr>
          <w:rFonts w:hint="eastAsia" w:ascii="宋体" w:eastAsia="宋体"/>
          <w:kern w:val="0"/>
          <w:sz w:val="28"/>
          <w:szCs w:val="20"/>
          <w:lang w:val="en-US" w:eastAsia="zh-CN"/>
        </w:rPr>
        <w:drawing>
          <wp:inline distT="0" distB="0" distL="114300" distR="114300">
            <wp:extent cx="5974080" cy="8877300"/>
            <wp:effectExtent l="0" t="0" r="7620" b="0"/>
            <wp:docPr id="14" name="图片 14" descr="56d6428e273d7dc35428cbd610adaf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56d6428e273d7dc35428cbd610adaf02"/>
                    <pic:cNvPicPr>
                      <a:picLocks noChangeAspect="1"/>
                    </pic:cNvPicPr>
                  </pic:nvPicPr>
                  <pic:blipFill>
                    <a:blip r:embed="rId11"/>
                    <a:stretch>
                      <a:fillRect/>
                    </a:stretch>
                  </pic:blipFill>
                  <pic:spPr>
                    <a:xfrm>
                      <a:off x="0" y="0"/>
                      <a:ext cx="5974080" cy="8877300"/>
                    </a:xfrm>
                    <a:prstGeom prst="rect">
                      <a:avLst/>
                    </a:prstGeom>
                  </pic:spPr>
                </pic:pic>
              </a:graphicData>
            </a:graphic>
          </wp:inline>
        </w:drawing>
      </w:r>
    </w:p>
    <w:p w14:paraId="1F9E243F">
      <w:pPr>
        <w:pStyle w:val="2"/>
        <w:ind w:left="0" w:leftChars="0" w:firstLine="0" w:firstLineChars="0"/>
        <w:rPr>
          <w:rFonts w:hint="eastAsia" w:ascii="宋体" w:eastAsia="宋体"/>
          <w:kern w:val="0"/>
          <w:sz w:val="28"/>
          <w:szCs w:val="20"/>
          <w:lang w:val="en-US" w:eastAsia="zh-CN"/>
        </w:rPr>
      </w:pPr>
      <w:r>
        <w:rPr>
          <w:rFonts w:hint="eastAsia" w:ascii="宋体" w:eastAsia="宋体"/>
          <w:kern w:val="0"/>
          <w:sz w:val="28"/>
          <w:szCs w:val="20"/>
          <w:lang w:val="en-US" w:eastAsia="zh-CN"/>
        </w:rPr>
        <w:drawing>
          <wp:inline distT="0" distB="0" distL="114300" distR="114300">
            <wp:extent cx="5974080" cy="8760460"/>
            <wp:effectExtent l="0" t="0" r="7620" b="2540"/>
            <wp:docPr id="15" name="图片 15" descr="f8eecfc532f687092eae8cdf1605dd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8eecfc532f687092eae8cdf1605dd93"/>
                    <pic:cNvPicPr>
                      <a:picLocks noChangeAspect="1"/>
                    </pic:cNvPicPr>
                  </pic:nvPicPr>
                  <pic:blipFill>
                    <a:blip r:embed="rId12"/>
                    <a:stretch>
                      <a:fillRect/>
                    </a:stretch>
                  </pic:blipFill>
                  <pic:spPr>
                    <a:xfrm>
                      <a:off x="0" y="0"/>
                      <a:ext cx="5974080" cy="8760460"/>
                    </a:xfrm>
                    <a:prstGeom prst="rect">
                      <a:avLst/>
                    </a:prstGeom>
                  </pic:spPr>
                </pic:pic>
              </a:graphicData>
            </a:graphic>
          </wp:inline>
        </w:drawing>
      </w:r>
      <w:r>
        <w:rPr>
          <w:rFonts w:hint="eastAsia" w:ascii="宋体" w:eastAsia="宋体"/>
          <w:kern w:val="0"/>
          <w:sz w:val="28"/>
          <w:szCs w:val="20"/>
          <w:lang w:val="en-US" w:eastAsia="zh-CN"/>
        </w:rPr>
        <w:drawing>
          <wp:inline distT="0" distB="0" distL="114300" distR="114300">
            <wp:extent cx="5815330" cy="9068435"/>
            <wp:effectExtent l="0" t="0" r="13970" b="18415"/>
            <wp:docPr id="16" name="图片 16" descr="b1499e9fafdb8827fe4e5af7ec4151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b1499e9fafdb8827fe4e5af7ec41518d"/>
                    <pic:cNvPicPr>
                      <a:picLocks noChangeAspect="1"/>
                    </pic:cNvPicPr>
                  </pic:nvPicPr>
                  <pic:blipFill>
                    <a:blip r:embed="rId13"/>
                    <a:stretch>
                      <a:fillRect/>
                    </a:stretch>
                  </pic:blipFill>
                  <pic:spPr>
                    <a:xfrm>
                      <a:off x="0" y="0"/>
                      <a:ext cx="5815330" cy="9068435"/>
                    </a:xfrm>
                    <a:prstGeom prst="rect">
                      <a:avLst/>
                    </a:prstGeom>
                  </pic:spPr>
                </pic:pic>
              </a:graphicData>
            </a:graphic>
          </wp:inline>
        </w:drawing>
      </w:r>
    </w:p>
    <w:p w14:paraId="725DBA6C">
      <w:pPr>
        <w:pStyle w:val="2"/>
        <w:ind w:left="0" w:leftChars="0" w:firstLine="0" w:firstLineChars="0"/>
        <w:rPr>
          <w:rFonts w:hint="eastAsia" w:ascii="宋体" w:eastAsia="宋体"/>
          <w:kern w:val="0"/>
          <w:sz w:val="28"/>
          <w:szCs w:val="20"/>
          <w:lang w:val="en-US" w:eastAsia="zh-CN"/>
        </w:rPr>
      </w:pPr>
      <w:r>
        <w:rPr>
          <w:rFonts w:hint="eastAsia" w:ascii="宋体" w:eastAsia="宋体"/>
          <w:kern w:val="0"/>
          <w:sz w:val="28"/>
          <w:szCs w:val="20"/>
          <w:lang w:val="en-US" w:eastAsia="zh-CN"/>
        </w:rPr>
        <w:drawing>
          <wp:inline distT="0" distB="0" distL="114300" distR="114300">
            <wp:extent cx="5974080" cy="8928735"/>
            <wp:effectExtent l="0" t="0" r="7620" b="5715"/>
            <wp:docPr id="17" name="图片 17" descr="1b2932f40a2f47d9b754d8518b268e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b2932f40a2f47d9b754d8518b268ef6"/>
                    <pic:cNvPicPr>
                      <a:picLocks noChangeAspect="1"/>
                    </pic:cNvPicPr>
                  </pic:nvPicPr>
                  <pic:blipFill>
                    <a:blip r:embed="rId14"/>
                    <a:stretch>
                      <a:fillRect/>
                    </a:stretch>
                  </pic:blipFill>
                  <pic:spPr>
                    <a:xfrm>
                      <a:off x="0" y="0"/>
                      <a:ext cx="5974080" cy="8928735"/>
                    </a:xfrm>
                    <a:prstGeom prst="rect">
                      <a:avLst/>
                    </a:prstGeom>
                  </pic:spPr>
                </pic:pic>
              </a:graphicData>
            </a:graphic>
          </wp:inline>
        </w:drawing>
      </w:r>
    </w:p>
    <w:sectPr>
      <w:pgSz w:w="11906" w:h="16838"/>
      <w:pgMar w:top="1417" w:right="1134" w:bottom="1134" w:left="136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zMGNkYjBkMDkzYWY3ZjdlZTlmNGIwMTVmZWNkYjQifQ=="/>
  </w:docVars>
  <w:rsids>
    <w:rsidRoot w:val="439D752C"/>
    <w:rsid w:val="0EC3268C"/>
    <w:rsid w:val="1CC40C24"/>
    <w:rsid w:val="1EB80077"/>
    <w:rsid w:val="233D0691"/>
    <w:rsid w:val="2B511820"/>
    <w:rsid w:val="2CF8435A"/>
    <w:rsid w:val="3612467B"/>
    <w:rsid w:val="36920A93"/>
    <w:rsid w:val="41D911B0"/>
    <w:rsid w:val="439D752C"/>
    <w:rsid w:val="5B312ADB"/>
    <w:rsid w:val="5CFB130E"/>
    <w:rsid w:val="5F445E73"/>
    <w:rsid w:val="61A50F8E"/>
    <w:rsid w:val="7D1C45E4"/>
    <w:rsid w:val="7EC202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sz w:val="28"/>
      <w:szCs w:val="20"/>
      <w:u w:color="000000"/>
    </w:rPr>
  </w:style>
  <w:style w:type="paragraph" w:styleId="3">
    <w:name w:val="annotation text"/>
    <w:basedOn w:val="1"/>
    <w:qFormat/>
    <w:uiPriority w:val="0"/>
    <w:pPr>
      <w:jc w:val="left"/>
    </w:pPr>
  </w:style>
  <w:style w:type="character" w:styleId="6">
    <w:name w:val="annotation reference"/>
    <w:qFormat/>
    <w:uiPriority w:val="99"/>
    <w:rPr>
      <w:sz w:val="21"/>
      <w:szCs w:val="21"/>
    </w:rPr>
  </w:style>
  <w:style w:type="paragraph" w:customStyle="1" w:styleId="7">
    <w:name w:val="Table Text"/>
    <w:basedOn w:val="1"/>
    <w:semiHidden/>
    <w:qFormat/>
    <w:uiPriority w:val="0"/>
    <w:rPr>
      <w:rFonts w:ascii="宋体" w:hAnsi="宋体" w:eastAsia="宋体" w:cs="宋体"/>
      <w:sz w:val="20"/>
      <w:szCs w:val="20"/>
      <w:lang w:val="en-US" w:eastAsia="en-US" w:bidi="ar-SA"/>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6评价正文"/>
    <w:autoRedefine/>
    <w:qFormat/>
    <w:uiPriority w:val="0"/>
    <w:pPr>
      <w:spacing w:line="520" w:lineRule="exact"/>
      <w:ind w:firstLine="200" w:firstLineChars="200"/>
      <w:jc w:val="both"/>
    </w:pPr>
    <w:rPr>
      <w:rFonts w:ascii="Times New Roman" w:hAnsi="Times New Roman" w:eastAsia="宋体" w:cs="Times New Roman"/>
      <w:sz w:val="28"/>
      <w:lang w:val="en-US" w:eastAsia="zh-CN" w:bidi="ar-SA"/>
    </w:rPr>
  </w:style>
  <w:style w:type="paragraph" w:customStyle="1" w:styleId="10">
    <w:name w:val="1评价标题"/>
    <w:autoRedefine/>
    <w:qFormat/>
    <w:uiPriority w:val="0"/>
    <w:pPr>
      <w:pageBreakBefore/>
      <w:spacing w:before="100" w:beforeLines="100" w:after="100" w:afterLines="100" w:line="520" w:lineRule="exact"/>
      <w:jc w:val="center"/>
      <w:outlineLvl w:val="0"/>
    </w:pPr>
    <w:rPr>
      <w:rFonts w:ascii="Times New Roman" w:hAnsi="Times New Roman" w:eastAsia="黑体" w:cs="Times New Roman"/>
      <w:kern w:val="2"/>
      <w:sz w:val="32"/>
      <w:szCs w:val="21"/>
      <w:lang w:val="en-US" w:eastAsia="zh-CN" w:bidi="ar-SA"/>
    </w:rPr>
  </w:style>
  <w:style w:type="paragraph" w:customStyle="1" w:styleId="11">
    <w:name w:val="5标题评价表格"/>
    <w:autoRedefine/>
    <w:qFormat/>
    <w:uiPriority w:val="0"/>
    <w:pPr>
      <w:spacing w:line="520" w:lineRule="exact"/>
      <w:jc w:val="center"/>
      <w:outlineLvl w:val="4"/>
    </w:pPr>
    <w:rPr>
      <w:rFonts w:ascii="Times New Roman" w:hAnsi="Times New Roman" w:eastAsia="黑体" w:cs="Times New Roman"/>
      <w:kern w:val="2"/>
      <w:sz w:val="24"/>
      <w:szCs w:val="28"/>
      <w:u w:val="none" w:color="000000"/>
      <w:lang w:val="en-US" w:eastAsia="zh-CN" w:bidi="ar-SA"/>
    </w:rPr>
  </w:style>
  <w:style w:type="paragraph" w:customStyle="1" w:styleId="12">
    <w:name w:val="5内容评价表格"/>
    <w:autoRedefine/>
    <w:qFormat/>
    <w:uiPriority w:val="0"/>
    <w:pPr>
      <w:spacing w:line="300" w:lineRule="exact"/>
      <w:jc w:val="center"/>
    </w:pPr>
    <w:rPr>
      <w:rFonts w:ascii="Times New Roman" w:hAnsi="Times New Roman" w:eastAsia="宋体" w:cs="Times New Roman"/>
      <w:kern w:val="2"/>
      <w:sz w:val="21"/>
      <w:szCs w:val="21"/>
      <w:u w:val="none" w:color="000000"/>
      <w:lang w:val="en-US" w:eastAsia="zh-CN" w:bidi="ar-SA"/>
    </w:rPr>
  </w:style>
  <w:style w:type="paragraph" w:customStyle="1" w:styleId="13">
    <w:name w:val="7评价备注"/>
    <w:autoRedefine/>
    <w:qFormat/>
    <w:uiPriority w:val="0"/>
    <w:pPr>
      <w:spacing w:line="400" w:lineRule="exact"/>
      <w:ind w:firstLine="200" w:firstLineChars="200"/>
    </w:pPr>
    <w:rPr>
      <w:rFonts w:ascii="Times New Roman" w:hAnsi="Times New Roman" w:eastAsia="黑体" w:cs="Times New Roman"/>
      <w:spacing w:val="4"/>
      <w:kern w:val="2"/>
      <w:sz w:val="21"/>
      <w:szCs w:val="24"/>
      <w:lang w:val="en-US" w:eastAsia="zh-CN" w:bidi="ar-SA"/>
    </w:rPr>
  </w:style>
  <w:style w:type="paragraph" w:customStyle="1" w:styleId="14">
    <w:name w:val="3评价标题"/>
    <w:autoRedefine/>
    <w:qFormat/>
    <w:uiPriority w:val="0"/>
    <w:pPr>
      <w:spacing w:line="520" w:lineRule="exact"/>
      <w:ind w:firstLine="200" w:firstLineChars="200"/>
      <w:outlineLvl w:val="2"/>
    </w:pPr>
    <w:rPr>
      <w:rFonts w:ascii="Times New Roman" w:hAnsi="Times New Roman" w:eastAsia="黑体" w:cs="Times New Roman"/>
      <w:sz w:val="28"/>
      <w:u w:val="none" w:color="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3352</Words>
  <Characters>3685</Characters>
  <Lines>0</Lines>
  <Paragraphs>0</Paragraphs>
  <TotalTime>1</TotalTime>
  <ScaleCrop>false</ScaleCrop>
  <LinksUpToDate>false</LinksUpToDate>
  <CharactersWithSpaces>6962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2024-08-06T03:49:00Z</dcterms:created>
  <dc:creator>Administrator</dc:creator>
  <cp:lastModifiedBy>Administor</cp:lastModifiedBy>
  <dcterms:modified xsi:type="dcterms:W3CDTF">2026-04-25T06:16:02Z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68E79501D11842178A9097CCE2A3EF02_11</vt:lpwstr>
  </property>
  <property fmtid="{D5CDD505-2E9C-101B-9397-08002B2CF9AE}" pid="4" name="KSOTemplateDocerSaveRecord">
    <vt:lpwstr>eyJoZGlkIjoiMzMzMGNkYjBkMDkzYWY3ZjdlZTlmNGIwMTVmZWNkYjQiLCJ1c2VySWQiOiIxNjMwMTI0MTIzIn0=</vt:lpwstr>
  </property>
</Properties>
</file>