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5E4E5">
      <w:pPr>
        <w:jc w:val="both"/>
        <w:rPr>
          <w:rFonts w:hint="eastAsia" w:ascii="Times New Roman" w:hAnsi="Times New Roman"/>
          <w:kern w:val="0"/>
          <w:sz w:val="28"/>
          <w:szCs w:val="28"/>
          <w:shd w:val="clear" w:color="auto" w:fill="FFFFFF"/>
        </w:rPr>
      </w:pPr>
      <w:bookmarkStart w:id="0" w:name="_GoBack"/>
      <w:bookmarkEnd w:id="0"/>
    </w:p>
    <w:p w14:paraId="59618447">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2"/>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074"/>
        <w:gridCol w:w="1237"/>
        <w:gridCol w:w="4803"/>
        <w:gridCol w:w="2115"/>
      </w:tblGrid>
      <w:tr w14:paraId="373C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68DE56CE">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155" w:type="dxa"/>
            <w:gridSpan w:val="3"/>
            <w:tcBorders>
              <w:tl2br w:val="nil"/>
              <w:tr2bl w:val="nil"/>
            </w:tcBorders>
            <w:shd w:val="clear" w:color="auto" w:fill="FFFFFF"/>
            <w:vAlign w:val="center"/>
          </w:tcPr>
          <w:p w14:paraId="20B9C570">
            <w:pPr>
              <w:widowControl/>
              <w:spacing w:after="150"/>
              <w:jc w:val="center"/>
              <w:rPr>
                <w:rFonts w:hint="eastAsia" w:ascii="宋体" w:hAnsi="宋体" w:eastAsia="宋体" w:cs="宋体"/>
                <w:sz w:val="24"/>
                <w:lang w:eastAsia="zh-CN"/>
              </w:rPr>
            </w:pPr>
            <w:r>
              <w:rPr>
                <w:rFonts w:hint="eastAsia" w:ascii="宋体" w:hAnsi="宋体"/>
                <w:sz w:val="24"/>
                <w:szCs w:val="22"/>
                <w:lang w:eastAsia="zh-CN"/>
              </w:rPr>
              <w:t xml:space="preserve">江铜同鑫环保科技有限公司资源综合利用及环保设备制造二期项目（酸库）安全验收评价报告 </w:t>
            </w:r>
          </w:p>
        </w:tc>
      </w:tr>
      <w:tr w14:paraId="7C1CE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5AE2E23C">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155" w:type="dxa"/>
            <w:gridSpan w:val="3"/>
            <w:tcBorders>
              <w:tl2br w:val="nil"/>
              <w:tr2bl w:val="nil"/>
            </w:tcBorders>
            <w:shd w:val="clear" w:color="auto" w:fill="FFFFFF"/>
            <w:vAlign w:val="center"/>
          </w:tcPr>
          <w:p w14:paraId="5D51C70B">
            <w:pPr>
              <w:widowControl/>
              <w:spacing w:after="150"/>
              <w:jc w:val="center"/>
              <w:rPr>
                <w:rFonts w:ascii="宋体" w:hAnsi="宋体" w:cs="宋体"/>
                <w:sz w:val="24"/>
              </w:rPr>
            </w:pPr>
            <w:r>
              <w:rPr>
                <w:rFonts w:hint="eastAsia" w:ascii="宋体" w:hAnsi="宋体" w:cs="宋体"/>
                <w:sz w:val="24"/>
              </w:rPr>
              <w:t>2026年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3</w:t>
            </w:r>
            <w:r>
              <w:rPr>
                <w:rFonts w:hint="eastAsia" w:ascii="宋体" w:hAnsi="宋体" w:cs="宋体"/>
                <w:sz w:val="24"/>
              </w:rPr>
              <w:t>日</w:t>
            </w:r>
          </w:p>
        </w:tc>
      </w:tr>
      <w:tr w14:paraId="0A605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1A712124">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108E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5378F62E">
            <w:pPr>
              <w:jc w:val="center"/>
              <w:rPr>
                <w:rFonts w:ascii="宋体" w:hAnsi="宋体" w:cs="宋体"/>
                <w:sz w:val="24"/>
              </w:rPr>
            </w:pPr>
          </w:p>
        </w:tc>
        <w:tc>
          <w:tcPr>
            <w:tcW w:w="1237" w:type="dxa"/>
            <w:tcBorders>
              <w:tl2br w:val="nil"/>
              <w:tr2bl w:val="nil"/>
            </w:tcBorders>
            <w:shd w:val="clear" w:color="auto" w:fill="FFFFFF"/>
            <w:vAlign w:val="center"/>
          </w:tcPr>
          <w:p w14:paraId="7DF4D41E">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4803" w:type="dxa"/>
            <w:tcBorders>
              <w:tl2br w:val="nil"/>
              <w:tr2bl w:val="nil"/>
            </w:tcBorders>
            <w:shd w:val="clear" w:color="auto" w:fill="FFFFFF"/>
            <w:vAlign w:val="center"/>
          </w:tcPr>
          <w:p w14:paraId="0B76ABB8">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271448A8">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39DC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32" w:hRule="atLeast"/>
          <w:jc w:val="center"/>
        </w:trPr>
        <w:tc>
          <w:tcPr>
            <w:tcW w:w="1074" w:type="dxa"/>
            <w:tcBorders>
              <w:tl2br w:val="nil"/>
              <w:tr2bl w:val="nil"/>
            </w:tcBorders>
            <w:shd w:val="clear" w:color="auto" w:fill="FFFFFF"/>
            <w:vAlign w:val="center"/>
          </w:tcPr>
          <w:p w14:paraId="2A157C85">
            <w:pPr>
              <w:jc w:val="center"/>
              <w:rPr>
                <w:rFonts w:ascii="宋体" w:hAnsi="宋体" w:cs="宋体"/>
                <w:sz w:val="24"/>
              </w:rPr>
            </w:pPr>
            <w:r>
              <w:rPr>
                <w:rFonts w:hint="eastAsia" w:ascii="宋体" w:hAnsi="宋体" w:cs="宋体"/>
                <w:sz w:val="24"/>
              </w:rPr>
              <w:t>项目负责人</w:t>
            </w:r>
          </w:p>
        </w:tc>
        <w:tc>
          <w:tcPr>
            <w:tcW w:w="1237" w:type="dxa"/>
            <w:tcBorders>
              <w:tl2br w:val="nil"/>
              <w:tr2bl w:val="nil"/>
            </w:tcBorders>
            <w:shd w:val="clear" w:color="auto" w:fill="FFFFFF"/>
            <w:vAlign w:val="center"/>
          </w:tcPr>
          <w:p w14:paraId="2AD910A2">
            <w:pPr>
              <w:spacing w:before="190" w:beforeLines="50" w:after="190" w:afterLines="5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黎财荣</w:t>
            </w:r>
          </w:p>
        </w:tc>
        <w:tc>
          <w:tcPr>
            <w:tcW w:w="4803" w:type="dxa"/>
            <w:tcBorders>
              <w:tl2br w:val="nil"/>
              <w:tr2bl w:val="nil"/>
            </w:tcBorders>
            <w:shd w:val="clear" w:color="auto" w:fill="FFFFFF"/>
            <w:vAlign w:val="center"/>
          </w:tcPr>
          <w:p w14:paraId="5F4EA52B">
            <w:pPr>
              <w:spacing w:before="190" w:beforeLines="50" w:after="190" w:afterLines="5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0800000000204012</w:t>
            </w:r>
          </w:p>
        </w:tc>
        <w:tc>
          <w:tcPr>
            <w:tcW w:w="2115" w:type="dxa"/>
            <w:tcBorders>
              <w:tl2br w:val="nil"/>
              <w:tr2bl w:val="nil"/>
            </w:tcBorders>
            <w:shd w:val="clear" w:color="auto" w:fill="FFFFFF"/>
            <w:vAlign w:val="center"/>
          </w:tcPr>
          <w:p w14:paraId="5954E4E9">
            <w:pPr>
              <w:spacing w:before="190" w:beforeLines="50" w:after="190" w:afterLines="5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013051</w:t>
            </w:r>
          </w:p>
        </w:tc>
      </w:tr>
      <w:tr w14:paraId="5AC08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1074" w:type="dxa"/>
            <w:vMerge w:val="restart"/>
            <w:tcBorders>
              <w:tl2br w:val="nil"/>
              <w:tr2bl w:val="nil"/>
            </w:tcBorders>
            <w:shd w:val="clear" w:color="auto" w:fill="FFFFFF"/>
            <w:vAlign w:val="center"/>
          </w:tcPr>
          <w:p w14:paraId="58DF1A50">
            <w:pPr>
              <w:jc w:val="center"/>
              <w:rPr>
                <w:rFonts w:ascii="宋体" w:hAnsi="宋体" w:cs="宋体"/>
                <w:sz w:val="24"/>
              </w:rPr>
            </w:pPr>
            <w:r>
              <w:rPr>
                <w:rFonts w:hint="eastAsia" w:ascii="宋体" w:hAnsi="宋体" w:cs="宋体"/>
                <w:sz w:val="24"/>
              </w:rPr>
              <w:t>项目组成员</w:t>
            </w:r>
          </w:p>
        </w:tc>
        <w:tc>
          <w:tcPr>
            <w:tcW w:w="1237" w:type="dxa"/>
            <w:tcBorders>
              <w:tl2br w:val="nil"/>
              <w:tr2bl w:val="nil"/>
            </w:tcBorders>
            <w:shd w:val="clear" w:color="auto" w:fill="FFFFFF"/>
            <w:vAlign w:val="center"/>
          </w:tcPr>
          <w:p w14:paraId="7C70241C">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kern w:val="2"/>
                <w:sz w:val="24"/>
                <w:szCs w:val="24"/>
                <w:lang w:val="en-US" w:eastAsia="zh-CN" w:bidi="ar-SA"/>
              </w:rPr>
              <w:t>徐顺星</w:t>
            </w:r>
          </w:p>
        </w:tc>
        <w:tc>
          <w:tcPr>
            <w:tcW w:w="4803" w:type="dxa"/>
            <w:tcBorders>
              <w:tl2br w:val="nil"/>
              <w:tr2bl w:val="nil"/>
            </w:tcBorders>
            <w:shd w:val="clear" w:color="auto" w:fill="FFFFFF"/>
            <w:vAlign w:val="center"/>
          </w:tcPr>
          <w:p w14:paraId="404CC542">
            <w:pPr>
              <w:spacing w:before="190" w:beforeLines="50" w:after="190" w:afterLines="5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1100000000300932</w:t>
            </w:r>
          </w:p>
        </w:tc>
        <w:tc>
          <w:tcPr>
            <w:tcW w:w="2115" w:type="dxa"/>
            <w:tcBorders>
              <w:tl2br w:val="nil"/>
              <w:tr2bl w:val="nil"/>
            </w:tcBorders>
            <w:shd w:val="clear" w:color="auto" w:fill="FFFFFF"/>
            <w:vAlign w:val="center"/>
          </w:tcPr>
          <w:p w14:paraId="782951DB">
            <w:pPr>
              <w:spacing w:before="190" w:beforeLines="50" w:after="190" w:afterLines="5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018803</w:t>
            </w:r>
          </w:p>
        </w:tc>
      </w:tr>
      <w:tr w14:paraId="66394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0887BEAF">
            <w:pPr>
              <w:jc w:val="center"/>
              <w:rPr>
                <w:rFonts w:ascii="宋体" w:hAnsi="宋体" w:cs="宋体"/>
                <w:sz w:val="24"/>
              </w:rPr>
            </w:pPr>
          </w:p>
        </w:tc>
        <w:tc>
          <w:tcPr>
            <w:tcW w:w="1237" w:type="dxa"/>
            <w:tcBorders>
              <w:tl2br w:val="nil"/>
              <w:tr2bl w:val="nil"/>
            </w:tcBorders>
            <w:shd w:val="clear" w:color="auto" w:fill="FFFFFF"/>
            <w:vAlign w:val="center"/>
          </w:tcPr>
          <w:p w14:paraId="3AECF605">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于志勇</w:t>
            </w:r>
          </w:p>
        </w:tc>
        <w:tc>
          <w:tcPr>
            <w:tcW w:w="4803" w:type="dxa"/>
            <w:tcBorders>
              <w:tl2br w:val="nil"/>
              <w:tr2bl w:val="nil"/>
            </w:tcBorders>
            <w:shd w:val="clear" w:color="auto" w:fill="FFFFFF"/>
            <w:vAlign w:val="center"/>
          </w:tcPr>
          <w:p w14:paraId="3F218D8D">
            <w:pPr>
              <w:spacing w:before="190" w:beforeLines="50" w:after="190" w:afterLines="5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2014033230330000003310230030</w:t>
            </w:r>
          </w:p>
        </w:tc>
        <w:tc>
          <w:tcPr>
            <w:tcW w:w="2115" w:type="dxa"/>
            <w:tcBorders>
              <w:tl2br w:val="nil"/>
              <w:tr2bl w:val="nil"/>
            </w:tcBorders>
            <w:shd w:val="clear" w:color="auto" w:fill="FFFFFF"/>
            <w:vAlign w:val="center"/>
          </w:tcPr>
          <w:p w14:paraId="0F0D8BA0">
            <w:pPr>
              <w:spacing w:before="190" w:beforeLines="50" w:after="190" w:afterLines="50" w:line="240" w:lineRule="auto"/>
              <w:ind w:left="0" w:leftChars="0" w:firstLine="0" w:firstLineChar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51190209624</w:t>
            </w:r>
          </w:p>
        </w:tc>
      </w:tr>
      <w:tr w14:paraId="1D69D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2BC1C2A7">
            <w:pPr>
              <w:jc w:val="center"/>
              <w:rPr>
                <w:rFonts w:ascii="宋体" w:hAnsi="宋体" w:cs="宋体"/>
                <w:sz w:val="24"/>
              </w:rPr>
            </w:pPr>
          </w:p>
        </w:tc>
        <w:tc>
          <w:tcPr>
            <w:tcW w:w="1237" w:type="dxa"/>
            <w:tcBorders>
              <w:tl2br w:val="nil"/>
              <w:tr2bl w:val="nil"/>
            </w:tcBorders>
            <w:shd w:val="clear" w:color="auto" w:fill="FFFFFF"/>
            <w:vAlign w:val="center"/>
          </w:tcPr>
          <w:p w14:paraId="49EA8F9A">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程冬红</w:t>
            </w:r>
          </w:p>
        </w:tc>
        <w:tc>
          <w:tcPr>
            <w:tcW w:w="4803" w:type="dxa"/>
            <w:tcBorders>
              <w:tl2br w:val="nil"/>
              <w:tr2bl w:val="nil"/>
            </w:tcBorders>
            <w:shd w:val="clear" w:color="auto" w:fill="FFFFFF"/>
            <w:vAlign w:val="center"/>
          </w:tcPr>
          <w:p w14:paraId="3AFA1E3D">
            <w:pPr>
              <w:spacing w:before="190" w:beforeLines="50" w:after="190" w:afterLines="50" w:line="360" w:lineRule="exact"/>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1500000000301714</w:t>
            </w:r>
          </w:p>
        </w:tc>
        <w:tc>
          <w:tcPr>
            <w:tcW w:w="2115" w:type="dxa"/>
            <w:tcBorders>
              <w:tl2br w:val="nil"/>
              <w:tr2bl w:val="nil"/>
            </w:tcBorders>
            <w:shd w:val="clear" w:color="auto" w:fill="FFFFFF"/>
            <w:vAlign w:val="center"/>
          </w:tcPr>
          <w:p w14:paraId="40BC3936">
            <w:pPr>
              <w:spacing w:before="190" w:beforeLines="50" w:after="190" w:afterLines="50" w:line="360" w:lineRule="exact"/>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026812</w:t>
            </w:r>
          </w:p>
        </w:tc>
      </w:tr>
      <w:tr w14:paraId="160E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074" w:type="dxa"/>
            <w:vMerge w:val="continue"/>
            <w:tcBorders>
              <w:tl2br w:val="nil"/>
              <w:tr2bl w:val="nil"/>
            </w:tcBorders>
            <w:shd w:val="clear" w:color="auto" w:fill="FFFFFF"/>
            <w:vAlign w:val="center"/>
          </w:tcPr>
          <w:p w14:paraId="6906CDEE">
            <w:pPr>
              <w:jc w:val="center"/>
              <w:rPr>
                <w:rFonts w:ascii="宋体" w:hAnsi="宋体" w:cs="宋体"/>
                <w:sz w:val="24"/>
              </w:rPr>
            </w:pPr>
          </w:p>
        </w:tc>
        <w:tc>
          <w:tcPr>
            <w:tcW w:w="1237" w:type="dxa"/>
            <w:tcBorders>
              <w:tl2br w:val="nil"/>
              <w:tr2bl w:val="nil"/>
            </w:tcBorders>
            <w:shd w:val="clear" w:color="auto" w:fill="FFFFFF"/>
            <w:vAlign w:val="center"/>
          </w:tcPr>
          <w:p w14:paraId="71F8DBD5">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刘二平</w:t>
            </w:r>
          </w:p>
        </w:tc>
        <w:tc>
          <w:tcPr>
            <w:tcW w:w="4803" w:type="dxa"/>
            <w:tcBorders>
              <w:tl2br w:val="nil"/>
              <w:tr2bl w:val="nil"/>
            </w:tcBorders>
            <w:shd w:val="clear" w:color="auto" w:fill="FFFFFF"/>
            <w:vAlign w:val="center"/>
          </w:tcPr>
          <w:p w14:paraId="331FAC55">
            <w:pPr>
              <w:spacing w:before="190" w:beforeLines="50" w:after="190" w:afterLines="50" w:line="360" w:lineRule="exact"/>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03320241036000000887</w:t>
            </w:r>
          </w:p>
        </w:tc>
        <w:tc>
          <w:tcPr>
            <w:tcW w:w="2115" w:type="dxa"/>
            <w:tcBorders>
              <w:tl2br w:val="nil"/>
              <w:tr2bl w:val="nil"/>
            </w:tcBorders>
            <w:shd w:val="clear" w:color="auto" w:fill="FFFFFF"/>
            <w:vAlign w:val="center"/>
          </w:tcPr>
          <w:p w14:paraId="23566468">
            <w:pPr>
              <w:spacing w:before="190" w:beforeLines="50" w:after="190" w:afterLines="50" w:line="360" w:lineRule="exact"/>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37250438462</w:t>
            </w:r>
          </w:p>
        </w:tc>
      </w:tr>
      <w:tr w14:paraId="543F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97" w:hRule="atLeast"/>
          <w:jc w:val="center"/>
        </w:trPr>
        <w:tc>
          <w:tcPr>
            <w:tcW w:w="1074" w:type="dxa"/>
            <w:tcBorders>
              <w:tl2br w:val="nil"/>
              <w:tr2bl w:val="nil"/>
            </w:tcBorders>
            <w:shd w:val="clear" w:color="auto" w:fill="FFFFFF"/>
            <w:vAlign w:val="center"/>
          </w:tcPr>
          <w:p w14:paraId="19B802E8">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155" w:type="dxa"/>
            <w:gridSpan w:val="3"/>
            <w:tcBorders>
              <w:tl2br w:val="nil"/>
              <w:tr2bl w:val="nil"/>
            </w:tcBorders>
            <w:shd w:val="clear" w:color="auto" w:fill="FFFFFF"/>
            <w:vAlign w:val="center"/>
          </w:tcPr>
          <w:p w14:paraId="0A57008B">
            <w:pPr>
              <w:jc w:val="center"/>
              <w:rPr>
                <w:rFonts w:ascii="宋体" w:hAnsi="宋体" w:cs="宋体"/>
                <w:sz w:val="24"/>
              </w:rPr>
            </w:pPr>
            <w:r>
              <w:rPr>
                <w:rFonts w:hint="eastAsia" w:ascii="宋体" w:hAnsi="宋体" w:cs="宋体"/>
                <w:sz w:val="24"/>
              </w:rPr>
              <w:t>/</w:t>
            </w:r>
          </w:p>
        </w:tc>
      </w:tr>
      <w:tr w14:paraId="4686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50" w:hRule="atLeast"/>
          <w:jc w:val="center"/>
        </w:trPr>
        <w:tc>
          <w:tcPr>
            <w:tcW w:w="1074" w:type="dxa"/>
            <w:tcBorders>
              <w:tl2br w:val="nil"/>
              <w:tr2bl w:val="nil"/>
            </w:tcBorders>
            <w:shd w:val="clear" w:color="auto" w:fill="FFFFFF"/>
            <w:vAlign w:val="center"/>
          </w:tcPr>
          <w:p w14:paraId="041177EC">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155" w:type="dxa"/>
            <w:gridSpan w:val="3"/>
            <w:tcBorders>
              <w:tl2br w:val="nil"/>
              <w:tr2bl w:val="nil"/>
            </w:tcBorders>
            <w:shd w:val="clear" w:color="auto" w:fill="FFFFFF"/>
            <w:vAlign w:val="center"/>
          </w:tcPr>
          <w:p w14:paraId="1D05DF95">
            <w:pPr>
              <w:widowControl/>
              <w:spacing w:after="150"/>
              <w:jc w:val="center"/>
              <w:rPr>
                <w:rFonts w:hint="default" w:ascii="Times New Roman" w:hAnsi="Times New Roman" w:eastAsia="宋体"/>
                <w:sz w:val="24"/>
                <w:lang w:val="en-US" w:eastAsia="zh-CN"/>
              </w:rPr>
            </w:pPr>
            <w:r>
              <w:rPr>
                <w:rFonts w:hint="eastAsia" w:ascii="宋体" w:hAnsi="宋体" w:eastAsia="宋体" w:cs="宋体"/>
                <w:color w:val="000000"/>
                <w:sz w:val="24"/>
                <w:szCs w:val="24"/>
              </w:rPr>
              <w:t>徐顺星</w:t>
            </w:r>
            <w:r>
              <w:rPr>
                <w:rFonts w:hint="eastAsia" w:ascii="宋体" w:hAnsi="宋体" w:cs="宋体"/>
                <w:color w:val="000000"/>
                <w:sz w:val="24"/>
                <w:szCs w:val="24"/>
                <w:lang w:eastAsia="zh-CN"/>
              </w:rPr>
              <w:t>、</w:t>
            </w:r>
            <w:r>
              <w:rPr>
                <w:rFonts w:hint="eastAsia" w:ascii="宋体" w:hAnsi="宋体" w:eastAsia="宋体" w:cs="宋体"/>
                <w:color w:val="000000"/>
                <w:sz w:val="24"/>
                <w:szCs w:val="24"/>
              </w:rPr>
              <w:t>黎财荣</w:t>
            </w:r>
            <w:r>
              <w:rPr>
                <w:rFonts w:hint="eastAsia"/>
                <w:sz w:val="24"/>
              </w:rPr>
              <w:t>202</w:t>
            </w:r>
            <w:r>
              <w:rPr>
                <w:rFonts w:hint="eastAsia"/>
                <w:sz w:val="24"/>
                <w:lang w:val="en-US" w:eastAsia="zh-CN"/>
              </w:rPr>
              <w:t>6</w:t>
            </w:r>
            <w:r>
              <w:rPr>
                <w:rFonts w:hint="eastAsia"/>
                <w:sz w:val="24"/>
              </w:rPr>
              <w:t>.</w:t>
            </w:r>
            <w:r>
              <w:rPr>
                <w:rFonts w:hint="eastAsia"/>
                <w:sz w:val="24"/>
                <w:lang w:val="en-US" w:eastAsia="zh-CN"/>
              </w:rPr>
              <w:t>7</w:t>
            </w:r>
            <w:r>
              <w:rPr>
                <w:rFonts w:hint="eastAsia"/>
                <w:sz w:val="24"/>
              </w:rPr>
              <w:t>.</w:t>
            </w:r>
            <w:r>
              <w:rPr>
                <w:rFonts w:hint="eastAsia"/>
                <w:sz w:val="24"/>
                <w:lang w:val="en-US" w:eastAsia="zh-CN"/>
              </w:rPr>
              <w:t>11</w:t>
            </w:r>
          </w:p>
        </w:tc>
      </w:tr>
      <w:tr w14:paraId="3F193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761" w:hRule="atLeast"/>
          <w:jc w:val="center"/>
        </w:trPr>
        <w:tc>
          <w:tcPr>
            <w:tcW w:w="1074" w:type="dxa"/>
            <w:tcBorders>
              <w:tl2br w:val="nil"/>
              <w:tr2bl w:val="nil"/>
            </w:tcBorders>
            <w:shd w:val="clear" w:color="auto" w:fill="FFFFFF"/>
            <w:vAlign w:val="center"/>
          </w:tcPr>
          <w:p w14:paraId="73143C70">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155" w:type="dxa"/>
            <w:gridSpan w:val="3"/>
            <w:tcBorders>
              <w:tl2br w:val="nil"/>
              <w:tr2bl w:val="nil"/>
            </w:tcBorders>
            <w:shd w:val="clear" w:color="auto" w:fill="FFFFFF"/>
            <w:vAlign w:val="center"/>
          </w:tcPr>
          <w:p w14:paraId="25FE7179">
            <w:pPr>
              <w:widowControl/>
              <w:spacing w:after="150"/>
              <w:jc w:val="center"/>
              <w:rPr>
                <w:rFonts w:hint="default" w:ascii="Times New Roman" w:hAnsi="Times New Roman" w:eastAsia="宋体"/>
                <w:color w:val="FF0000"/>
                <w:sz w:val="24"/>
                <w:lang w:val="en-US" w:eastAsia="zh-CN"/>
              </w:rPr>
            </w:pPr>
            <w:r>
              <w:rPr>
                <w:rFonts w:hint="eastAsia" w:ascii="宋体" w:hAnsi="宋体" w:eastAsia="宋体" w:cs="宋体"/>
                <w:color w:val="000000"/>
                <w:sz w:val="24"/>
                <w:szCs w:val="24"/>
              </w:rPr>
              <w:t>徐顺星</w:t>
            </w:r>
            <w:r>
              <w:rPr>
                <w:rFonts w:hint="eastAsia" w:ascii="宋体" w:hAnsi="宋体" w:cs="宋体"/>
                <w:color w:val="000000"/>
                <w:sz w:val="24"/>
                <w:szCs w:val="24"/>
                <w:lang w:eastAsia="zh-CN"/>
              </w:rPr>
              <w:t>、</w:t>
            </w:r>
            <w:r>
              <w:rPr>
                <w:rFonts w:hint="eastAsia" w:ascii="宋体" w:hAnsi="宋体" w:eastAsia="宋体" w:cs="宋体"/>
                <w:color w:val="000000"/>
                <w:sz w:val="24"/>
                <w:szCs w:val="24"/>
              </w:rPr>
              <w:t>黎财荣</w:t>
            </w:r>
            <w:r>
              <w:rPr>
                <w:rFonts w:hint="eastAsia"/>
                <w:sz w:val="24"/>
              </w:rPr>
              <w:t>202</w:t>
            </w:r>
            <w:r>
              <w:rPr>
                <w:rFonts w:hint="eastAsia"/>
                <w:sz w:val="24"/>
                <w:lang w:val="en-US" w:eastAsia="zh-CN"/>
              </w:rPr>
              <w:t>6</w:t>
            </w:r>
            <w:r>
              <w:rPr>
                <w:rFonts w:hint="eastAsia"/>
                <w:sz w:val="24"/>
              </w:rPr>
              <w:t>.</w:t>
            </w:r>
            <w:r>
              <w:rPr>
                <w:rFonts w:hint="eastAsia"/>
                <w:sz w:val="24"/>
                <w:lang w:val="en-US" w:eastAsia="zh-CN"/>
              </w:rPr>
              <w:t>7</w:t>
            </w:r>
            <w:r>
              <w:rPr>
                <w:rFonts w:hint="eastAsia"/>
                <w:sz w:val="24"/>
              </w:rPr>
              <w:t>.</w:t>
            </w:r>
            <w:r>
              <w:rPr>
                <w:rFonts w:hint="eastAsia"/>
                <w:sz w:val="24"/>
                <w:lang w:val="en-US" w:eastAsia="zh-CN"/>
              </w:rPr>
              <w:t>24</w:t>
            </w:r>
          </w:p>
        </w:tc>
      </w:tr>
      <w:tr w14:paraId="6799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02373A96">
            <w:pPr>
              <w:widowControl/>
              <w:spacing w:after="150"/>
              <w:jc w:val="center"/>
              <w:rPr>
                <w:rFonts w:ascii="宋体" w:hAnsi="宋体" w:cs="宋体"/>
                <w:sz w:val="24"/>
              </w:rPr>
            </w:pPr>
            <w:r>
              <w:rPr>
                <w:rFonts w:hint="eastAsia" w:ascii="宋体" w:hAnsi="宋体" w:cs="宋体"/>
                <w:kern w:val="0"/>
                <w:sz w:val="24"/>
                <w:shd w:val="clear" w:color="auto" w:fill="FFFFFF"/>
              </w:rPr>
              <w:t>项目简介</w:t>
            </w:r>
          </w:p>
        </w:tc>
        <w:tc>
          <w:tcPr>
            <w:tcW w:w="8155" w:type="dxa"/>
            <w:gridSpan w:val="3"/>
            <w:tcBorders>
              <w:tl2br w:val="nil"/>
              <w:tr2bl w:val="nil"/>
            </w:tcBorders>
            <w:shd w:val="clear" w:color="auto" w:fill="FFFFFF"/>
          </w:tcPr>
          <w:p w14:paraId="6351B19F">
            <w:pPr>
              <w:rPr>
                <w:rFonts w:hint="eastAsia"/>
              </w:rPr>
            </w:pPr>
            <w:r>
              <w:rPr>
                <w:rFonts w:hint="eastAsia"/>
              </w:rPr>
              <w:t>江西江铜同鑫环保科技有限公司成立于2022年10月28日，属其他有限责任公司，是江西江铜环境资源科技有限公司的子公司，公司位于江西省上饶市广信区茶亭经济开发区发展大道88号。法人代表：姜国敏，注册资本：肆亿伍仟万元整。经营范围包括许可项目：危险废物经营（依法须经批准的项目，经相关部门批准后在许可有效期内方可开展经营活动，具体经营项目和许可期限以相关部门批准文件或许可证件为准） 一般项目：贵金属冶炼（除稀土、放射性矿产、钨），有色金属合金制造，有色金属合金销售，常用有色金属冶炼，金属废料和碎屑加工处理，环境保护专用设备制造，环境保护专用设备销售，化工产品生产（不含许可类化工产品），高性能有色金属及合金材料销售，金属材料销售，冶金专用设备制造，冶金专用设备销售，物料搬运装备制造，物料搬运装备销售，专用设备修理，普通机械设备安装服务，固体废物治理，资源再生利用技术研发，新材料技术推广服务，水环境污染防治服务，非金属废料和碎屑加工处理，技术服务、技术开发、技术咨询、技术交流、技术转让、技术推广，物业管理（除依法须经批准的项目外，凭营业执照依法自主开展经营活动）。</w:t>
            </w:r>
          </w:p>
          <w:p w14:paraId="04988483">
            <w:pPr>
              <w:rPr>
                <w:rFonts w:hint="eastAsia"/>
              </w:rPr>
            </w:pPr>
            <w:r>
              <w:rPr>
                <w:rFonts w:hint="eastAsia"/>
              </w:rPr>
              <w:t>该公司于2023年10月31日取得上饶茶亭经济开发区管理委员会印发的《江西省企业投资项目备案通知书》，项目名称为江铜同鑫环保科技有限公司资源综合利用及环保设备制造二期项目，项目统一代码为2310-361121-04-01-632649。本项目新建内容主要包括原料及配料系统、火法熔炼系统、湿法处理系统、刚性填埋场、生产辅助设施（制氧站、空压站、循环水系统、余热锅炉、收尘系统、制酸及脱硫系统、废水处理系统、水泵房、成品库房）及办公设施等。项目建成后，将形成年处理5万吨冶炼固废的生产规模，综合回收粗铜、铅锭、硫酸等产品，实现资源综合利用的目标。</w:t>
            </w:r>
          </w:p>
          <w:p w14:paraId="55E7B7CB">
            <w:pPr>
              <w:rPr>
                <w:rFonts w:hint="eastAsia"/>
              </w:rPr>
            </w:pPr>
            <w:r>
              <w:rPr>
                <w:rFonts w:hint="eastAsia"/>
              </w:rPr>
              <w:t>该项目产品中的硫酸属于危险化学品，且需对外销售。根据《关于冶金等工贸行业安全监管工作有关问题的复函》（安监总厅管四函〔2014〕43号）以及《江西省安监局关于加强冶金企业和有色金属企业安全监管工作的通知》（赣安监管三字〔2018〕48号）的要求，该公司需办理危险化学品经营许可证。</w:t>
            </w:r>
          </w:p>
        </w:tc>
      </w:tr>
      <w:tr w14:paraId="7BB0F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0C26B5DC">
            <w:pPr>
              <w:widowControl/>
              <w:spacing w:after="150"/>
              <w:jc w:val="center"/>
            </w:pPr>
            <w:r>
              <w:rPr>
                <w:rFonts w:hint="eastAsia"/>
                <w:sz w:val="24"/>
              </w:rPr>
              <w:t>工艺流程</w:t>
            </w:r>
          </w:p>
        </w:tc>
        <w:tc>
          <w:tcPr>
            <w:tcW w:w="8155" w:type="dxa"/>
            <w:gridSpan w:val="3"/>
            <w:tcBorders>
              <w:tl2br w:val="nil"/>
              <w:tr2bl w:val="nil"/>
            </w:tcBorders>
            <w:shd w:val="clear" w:color="auto" w:fill="FFFFFF"/>
          </w:tcPr>
          <w:p w14:paraId="43EE9951">
            <w:pPr>
              <w:spacing w:line="360" w:lineRule="auto"/>
              <w:ind w:firstLine="420" w:firstLineChars="200"/>
              <w:jc w:val="both"/>
              <w:rPr>
                <w:rFonts w:hint="eastAsia" w:ascii="宋体" w:hAnsi="宋体" w:cs="宋体"/>
                <w:snapToGrid w:val="0"/>
                <w:kern w:val="0"/>
                <w:szCs w:val="21"/>
              </w:rPr>
            </w:pPr>
            <w:r>
              <w:rPr>
                <w:rFonts w:hint="eastAsia" w:ascii="宋体" w:hAnsi="宋体" w:cs="宋体"/>
                <w:snapToGrid w:val="0"/>
                <w:kern w:val="0"/>
                <w:szCs w:val="21"/>
              </w:rPr>
              <w:t>烟气制酸工序的硫酸总产量折98%H2SO4为38081t/a，日产98%H2SO4量为127t，通过综合管网泵送至酸库的浓硫酸罐储存。储存于酸罐中的硫酸通过管道流入装酸地下槽，经装酸地下槽泵泵送至装酸计量槽（高位槽），在重力作用下自流至自动装酸系统，从而完成装酸作业。</w:t>
            </w:r>
          </w:p>
          <w:p w14:paraId="5C2B3348">
            <w:pPr>
              <w:spacing w:line="360" w:lineRule="auto"/>
              <w:ind w:firstLine="420" w:firstLineChars="200"/>
              <w:jc w:val="both"/>
              <w:rPr>
                <w:rFonts w:ascii="宋体" w:hAnsi="宋体" w:cs="宋体"/>
                <w:snapToGrid w:val="0"/>
                <w:kern w:val="0"/>
                <w:szCs w:val="21"/>
              </w:rPr>
            </w:pPr>
            <w:r>
              <w:rPr>
                <w:rFonts w:hint="eastAsia" w:ascii="宋体" w:hAnsi="宋体" w:cs="宋体"/>
                <w:snapToGrid w:val="0"/>
                <w:kern w:val="0"/>
                <w:szCs w:val="21"/>
              </w:rPr>
              <w:t>其工艺流程详见酸库工序工艺流程图，配置图详见酸库工序平面配置图。</w:t>
            </w:r>
          </w:p>
        </w:tc>
      </w:tr>
      <w:tr w14:paraId="00B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074" w:type="dxa"/>
            <w:tcBorders>
              <w:tl2br w:val="nil"/>
              <w:tr2bl w:val="nil"/>
            </w:tcBorders>
            <w:shd w:val="clear" w:color="auto" w:fill="FFFFFF"/>
            <w:vAlign w:val="center"/>
          </w:tcPr>
          <w:p w14:paraId="1C049D4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155" w:type="dxa"/>
            <w:gridSpan w:val="3"/>
            <w:tcBorders>
              <w:tl2br w:val="nil"/>
              <w:tr2bl w:val="nil"/>
            </w:tcBorders>
            <w:shd w:val="clear" w:color="auto" w:fill="FFFFFF"/>
            <w:vAlign w:val="center"/>
          </w:tcPr>
          <w:p w14:paraId="4B514EAD">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37F63244">
      <w:r>
        <w:rPr>
          <w:rFonts w:hint="eastAsia"/>
        </w:rPr>
        <w:br w:type="page"/>
      </w:r>
    </w:p>
    <w:p w14:paraId="5E07ABB9">
      <w:pPr>
        <w:rPr>
          <w:rFonts w:hint="eastAsia" w:eastAsia="宋体"/>
          <w:lang w:eastAsia="zh-CN"/>
        </w:rPr>
      </w:pPr>
    </w:p>
    <w:p w14:paraId="0E5298BF">
      <w:pPr>
        <w:rPr>
          <w:rFonts w:hint="eastAsia" w:eastAsia="宋体"/>
          <w:lang w:eastAsia="zh-CN"/>
        </w:rPr>
      </w:pPr>
    </w:p>
    <w:p w14:paraId="033F21CE">
      <w:pPr>
        <w:rPr>
          <w:rFonts w:hint="eastAsia" w:eastAsia="宋体"/>
          <w:lang w:eastAsia="zh-CN"/>
        </w:rPr>
      </w:pPr>
    </w:p>
    <w:p w14:paraId="2B792E51">
      <w:pPr>
        <w:rPr>
          <w:rFonts w:hint="eastAsia" w:eastAsia="宋体"/>
          <w:lang w:eastAsia="zh-CN"/>
        </w:rPr>
      </w:pPr>
      <w:r>
        <w:rPr>
          <w:rFonts w:hint="eastAsia" w:eastAsia="宋体"/>
          <w:lang w:eastAsia="zh-CN"/>
        </w:rPr>
        <w:drawing>
          <wp:inline distT="0" distB="0" distL="114300" distR="114300">
            <wp:extent cx="5222875" cy="3917315"/>
            <wp:effectExtent l="0" t="0" r="15875" b="6985"/>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tretch>
                      <a:fillRect/>
                    </a:stretch>
                  </pic:blipFill>
                  <pic:spPr>
                    <a:xfrm rot="10800000">
                      <a:off x="0" y="0"/>
                      <a:ext cx="5222875" cy="3917315"/>
                    </a:xfrm>
                    <a:prstGeom prst="rect">
                      <a:avLst/>
                    </a:prstGeom>
                  </pic:spPr>
                </pic:pic>
              </a:graphicData>
            </a:graphic>
          </wp:inline>
        </w:drawing>
      </w:r>
    </w:p>
    <w:p w14:paraId="4223652F">
      <w:r>
        <w:rPr>
          <w:rFonts w:hint="default" w:eastAsia="宋体"/>
          <w:lang w:val="en-US" w:eastAsia="zh-CN"/>
        </w:rPr>
        <w:drawing>
          <wp:anchor distT="0" distB="0" distL="114300" distR="114300" simplePos="0" relativeHeight="251659264" behindDoc="0" locked="0" layoutInCell="1" allowOverlap="1">
            <wp:simplePos x="0" y="0"/>
            <wp:positionH relativeFrom="column">
              <wp:posOffset>44450</wp:posOffset>
            </wp:positionH>
            <wp:positionV relativeFrom="paragraph">
              <wp:posOffset>55245</wp:posOffset>
            </wp:positionV>
            <wp:extent cx="5222875" cy="3917315"/>
            <wp:effectExtent l="0" t="0" r="15875" b="6985"/>
            <wp:wrapNone/>
            <wp:docPr id="6"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
                    <pic:cNvPicPr>
                      <a:picLocks noChangeAspect="1"/>
                    </pic:cNvPicPr>
                  </pic:nvPicPr>
                  <pic:blipFill>
                    <a:blip r:embed="rId5"/>
                    <a:stretch>
                      <a:fillRect/>
                    </a:stretch>
                  </pic:blipFill>
                  <pic:spPr>
                    <a:xfrm>
                      <a:off x="0" y="0"/>
                      <a:ext cx="5222875" cy="3917315"/>
                    </a:xfrm>
                    <a:prstGeom prst="rect">
                      <a:avLst/>
                    </a:prstGeom>
                  </pic:spPr>
                </pic:pic>
              </a:graphicData>
            </a:graphic>
          </wp:anchor>
        </w:drawing>
      </w:r>
    </w:p>
    <w:p w14:paraId="2A512B2C"/>
    <w:p w14:paraId="44535C2E">
      <w:pPr>
        <w:jc w:val="both"/>
        <w:rPr>
          <w:rFonts w:hint="default" w:eastAsia="宋体"/>
          <w:lang w:val="en-US" w:eastAsia="zh-CN"/>
        </w:rPr>
      </w:pPr>
      <w:r>
        <w:rPr>
          <w:rFonts w:hint="eastAsia"/>
          <w:lang w:val="en-US" w:eastAsia="zh-CN"/>
        </w:rPr>
        <w:tab/>
      </w:r>
      <w:r>
        <w:rPr>
          <w:rFonts w:hint="default" w:eastAsia="宋体"/>
          <w:lang w:val="en-US" w:eastAsia="zh-CN"/>
        </w:rPr>
        <w:drawing>
          <wp:inline distT="0" distB="0" distL="114300" distR="114300">
            <wp:extent cx="5273040" cy="7518400"/>
            <wp:effectExtent l="0" t="0" r="3810" b="6350"/>
            <wp:docPr id="4" name="图片 4" descr="封面盖章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封面盖章_01"/>
                    <pic:cNvPicPr>
                      <a:picLocks noChangeAspect="1"/>
                    </pic:cNvPicPr>
                  </pic:nvPicPr>
                  <pic:blipFill>
                    <a:blip r:embed="rId6"/>
                    <a:stretch>
                      <a:fillRect/>
                    </a:stretch>
                  </pic:blipFill>
                  <pic:spPr>
                    <a:xfrm>
                      <a:off x="0" y="0"/>
                      <a:ext cx="5273040" cy="7518400"/>
                    </a:xfrm>
                    <a:prstGeom prst="rect">
                      <a:avLst/>
                    </a:prstGeom>
                  </pic:spPr>
                </pic:pic>
              </a:graphicData>
            </a:graphic>
          </wp:inline>
        </w:drawing>
      </w:r>
      <w:r>
        <w:rPr>
          <w:rFonts w:hint="default" w:eastAsia="宋体"/>
          <w:lang w:val="en-US" w:eastAsia="zh-CN"/>
        </w:rPr>
        <w:drawing>
          <wp:inline distT="0" distB="0" distL="114300" distR="114300">
            <wp:extent cx="5274310" cy="7458710"/>
            <wp:effectExtent l="0" t="0" r="2540" b="8890"/>
            <wp:docPr id="3" name="图片 3" descr="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_01"/>
                    <pic:cNvPicPr>
                      <a:picLocks noChangeAspect="1"/>
                    </pic:cNvPicPr>
                  </pic:nvPicPr>
                  <pic:blipFill>
                    <a:blip r:embed="rId7"/>
                    <a:stretch>
                      <a:fillRect/>
                    </a:stretch>
                  </pic:blipFill>
                  <pic:spPr>
                    <a:xfrm>
                      <a:off x="0" y="0"/>
                      <a:ext cx="5274310" cy="7458710"/>
                    </a:xfrm>
                    <a:prstGeom prst="rect">
                      <a:avLst/>
                    </a:prstGeom>
                  </pic:spPr>
                </pic:pic>
              </a:graphicData>
            </a:graphic>
          </wp:inline>
        </w:drawing>
      </w:r>
      <w:r>
        <w:rPr>
          <w:rFonts w:hint="default" w:eastAsia="宋体"/>
          <w:lang w:val="en-US" w:eastAsia="zh-CN"/>
        </w:rPr>
        <w:drawing>
          <wp:inline distT="0" distB="0" distL="114300" distR="114300">
            <wp:extent cx="5274310" cy="7458710"/>
            <wp:effectExtent l="0" t="0" r="2540" b="8890"/>
            <wp:docPr id="2" name="图片 2" descr="提取自修改稿  江铜同鑫环保科技有限公司资源综合利用及环保设备制造二期项目（酸库）安全验收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提取自修改稿  江铜同鑫环保科技有限公司资源综合利用及环保设备制造二期项目（酸库）安全验收_01"/>
                    <pic:cNvPicPr>
                      <a:picLocks noChangeAspect="1"/>
                    </pic:cNvPicPr>
                  </pic:nvPicPr>
                  <pic:blipFill>
                    <a:blip r:embed="rId8"/>
                    <a:stretch>
                      <a:fillRect/>
                    </a:stretch>
                  </pic:blipFill>
                  <pic:spPr>
                    <a:xfrm>
                      <a:off x="0" y="0"/>
                      <a:ext cx="5274310" cy="7458710"/>
                    </a:xfrm>
                    <a:prstGeom prst="rect">
                      <a:avLst/>
                    </a:prstGeom>
                  </pic:spPr>
                </pic:pic>
              </a:graphicData>
            </a:graphic>
          </wp:inline>
        </w:drawing>
      </w:r>
    </w:p>
    <w:p w14:paraId="335CD7AD">
      <w:pPr>
        <w:pStyle w:val="2"/>
        <w:rPr>
          <w:rFonts w:hint="default" w:eastAsia="宋体"/>
          <w:lang w:val="en-US" w:eastAsia="zh-CN"/>
        </w:rPr>
      </w:pPr>
    </w:p>
    <w:p w14:paraId="4BA90386">
      <w:pPr>
        <w:rPr>
          <w:rFonts w:hint="default" w:eastAsia="宋体"/>
          <w:lang w:val="en-US" w:eastAsia="zh-CN"/>
        </w:rPr>
      </w:pPr>
    </w:p>
    <w:p w14:paraId="49CF211D">
      <w:pPr>
        <w:pStyle w:val="2"/>
        <w:rPr>
          <w:rFonts w:hint="default" w:eastAsia="宋体"/>
          <w:lang w:val="en-US" w:eastAsia="zh-CN"/>
        </w:rPr>
      </w:pPr>
    </w:p>
    <w:p w14:paraId="3F503613">
      <w:pPr>
        <w:rPr>
          <w:rFonts w:hint="default" w:eastAsia="宋体"/>
          <w:lang w:val="en-US" w:eastAsia="zh-CN"/>
        </w:rPr>
      </w:pPr>
    </w:p>
    <w:p w14:paraId="1C0FD088">
      <w:pPr>
        <w:pStyle w:val="2"/>
        <w:rPr>
          <w:rFonts w:hint="default"/>
          <w:lang w:val="en-US" w:eastAsia="zh-CN"/>
        </w:rPr>
      </w:pPr>
      <w:r>
        <w:drawing>
          <wp:inline distT="0" distB="0" distL="114300" distR="114300">
            <wp:extent cx="5271135" cy="7406640"/>
            <wp:effectExtent l="0" t="0" r="5715" b="381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9"/>
                    <a:stretch>
                      <a:fillRect/>
                    </a:stretch>
                  </pic:blipFill>
                  <pic:spPr>
                    <a:xfrm>
                      <a:off x="0" y="0"/>
                      <a:ext cx="5271135" cy="7406640"/>
                    </a:xfrm>
                    <a:prstGeom prst="rect">
                      <a:avLst/>
                    </a:prstGeom>
                    <a:noFill/>
                    <a:ln>
                      <a:noFill/>
                    </a:ln>
                  </pic:spPr>
                </pic:pic>
              </a:graphicData>
            </a:graphic>
          </wp:inline>
        </w:drawing>
      </w:r>
    </w:p>
    <w:p w14:paraId="519CA0EC">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0679C0"/>
    <w:multiLevelType w:val="singleLevel"/>
    <w:tmpl w:val="850679C0"/>
    <w:lvl w:ilvl="0" w:tentative="0">
      <w:start w:val="1"/>
      <w:numFmt w:val="decimal"/>
      <w:pStyle w:val="47"/>
      <w:suff w:val="nothing"/>
      <w:lvlText w:val="%1）"/>
      <w:lvlJc w:val="left"/>
      <w:pPr>
        <w:tabs>
          <w:tab w:val="left" w:pos="312"/>
        </w:tabs>
      </w:pPr>
      <w:rPr>
        <w:rFonts w:hint="default" w:ascii="Times New Roman" w:hAnsi="Times New Roman" w:eastAsia="宋体" w:cs="Times New Roman"/>
        <w:sz w:val="24"/>
        <w:szCs w:val="24"/>
      </w:rPr>
    </w:lvl>
  </w:abstractNum>
  <w:abstractNum w:abstractNumId="1">
    <w:nsid w:val="5183855F"/>
    <w:multiLevelType w:val="singleLevel"/>
    <w:tmpl w:val="5183855F"/>
    <w:lvl w:ilvl="0" w:tentative="0">
      <w:start w:val="1"/>
      <w:numFmt w:val="chineseCounting"/>
      <w:pStyle w:val="42"/>
      <w:suff w:val="nothing"/>
      <w:lvlText w:val="%1、"/>
      <w:lvlJc w:val="left"/>
      <w:pPr>
        <w:ind w:left="0" w:firstLine="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1YmJhMTRkMGU2NWU2MjE0YWI5MWU2ODcxNDk2YTgifQ=="/>
    <w:docVar w:name="KSO_WPS_MARK_KEY" w:val="f0c94484-18bf-41d0-a894-232196517eb0"/>
  </w:docVars>
  <w:rsids>
    <w:rsidRoot w:val="00E3751A"/>
    <w:rsid w:val="00047227"/>
    <w:rsid w:val="00194B7C"/>
    <w:rsid w:val="002012A2"/>
    <w:rsid w:val="00303C12"/>
    <w:rsid w:val="003A7C06"/>
    <w:rsid w:val="004340C8"/>
    <w:rsid w:val="00443349"/>
    <w:rsid w:val="004D1AF7"/>
    <w:rsid w:val="005858BE"/>
    <w:rsid w:val="00727066"/>
    <w:rsid w:val="00756850"/>
    <w:rsid w:val="00787BD2"/>
    <w:rsid w:val="007A2261"/>
    <w:rsid w:val="007C3A9A"/>
    <w:rsid w:val="00802085"/>
    <w:rsid w:val="008F01AE"/>
    <w:rsid w:val="009570B9"/>
    <w:rsid w:val="009A19ED"/>
    <w:rsid w:val="00C341C7"/>
    <w:rsid w:val="00C65B3D"/>
    <w:rsid w:val="00C75118"/>
    <w:rsid w:val="00C82162"/>
    <w:rsid w:val="00D40559"/>
    <w:rsid w:val="00D93BC0"/>
    <w:rsid w:val="00E3751A"/>
    <w:rsid w:val="00E95F3C"/>
    <w:rsid w:val="00F46A10"/>
    <w:rsid w:val="00F60933"/>
    <w:rsid w:val="00FF47EE"/>
    <w:rsid w:val="01381A2C"/>
    <w:rsid w:val="030516AD"/>
    <w:rsid w:val="03463A74"/>
    <w:rsid w:val="03A1635F"/>
    <w:rsid w:val="03C37305"/>
    <w:rsid w:val="04334FFF"/>
    <w:rsid w:val="04543719"/>
    <w:rsid w:val="045937F4"/>
    <w:rsid w:val="04664971"/>
    <w:rsid w:val="04714B20"/>
    <w:rsid w:val="04D11406"/>
    <w:rsid w:val="04E23328"/>
    <w:rsid w:val="050505ED"/>
    <w:rsid w:val="054F4E8B"/>
    <w:rsid w:val="06007F0A"/>
    <w:rsid w:val="062E2CC9"/>
    <w:rsid w:val="06567547"/>
    <w:rsid w:val="06BF33AE"/>
    <w:rsid w:val="06EF6353"/>
    <w:rsid w:val="07D32EB9"/>
    <w:rsid w:val="07E46E00"/>
    <w:rsid w:val="0814540D"/>
    <w:rsid w:val="08300409"/>
    <w:rsid w:val="08302FF8"/>
    <w:rsid w:val="0845254C"/>
    <w:rsid w:val="08E81855"/>
    <w:rsid w:val="08ED0200"/>
    <w:rsid w:val="08FD6983"/>
    <w:rsid w:val="090E6F6A"/>
    <w:rsid w:val="0946657C"/>
    <w:rsid w:val="096769A3"/>
    <w:rsid w:val="096F1B10"/>
    <w:rsid w:val="09806C85"/>
    <w:rsid w:val="09A37E9F"/>
    <w:rsid w:val="0A0E1339"/>
    <w:rsid w:val="0A173A74"/>
    <w:rsid w:val="0A4F7A65"/>
    <w:rsid w:val="0BC750FD"/>
    <w:rsid w:val="0C370800"/>
    <w:rsid w:val="0C524B76"/>
    <w:rsid w:val="0D0227BA"/>
    <w:rsid w:val="0D073DB5"/>
    <w:rsid w:val="0D081033"/>
    <w:rsid w:val="0D1C170F"/>
    <w:rsid w:val="0D4252AC"/>
    <w:rsid w:val="0E564C35"/>
    <w:rsid w:val="0EC817E1"/>
    <w:rsid w:val="0F1C6141"/>
    <w:rsid w:val="0F3F2C0B"/>
    <w:rsid w:val="0F423341"/>
    <w:rsid w:val="0FD536AF"/>
    <w:rsid w:val="0FE07C54"/>
    <w:rsid w:val="0FFD1618"/>
    <w:rsid w:val="10806817"/>
    <w:rsid w:val="10A546BD"/>
    <w:rsid w:val="10AD0B5D"/>
    <w:rsid w:val="10AE1BD9"/>
    <w:rsid w:val="10D96D50"/>
    <w:rsid w:val="117D68B3"/>
    <w:rsid w:val="11BA5E99"/>
    <w:rsid w:val="13337B71"/>
    <w:rsid w:val="13FA1B12"/>
    <w:rsid w:val="141C622E"/>
    <w:rsid w:val="14732EA1"/>
    <w:rsid w:val="147F5532"/>
    <w:rsid w:val="14D001B2"/>
    <w:rsid w:val="156C314D"/>
    <w:rsid w:val="15CB68F5"/>
    <w:rsid w:val="15FA4976"/>
    <w:rsid w:val="16B10157"/>
    <w:rsid w:val="172B1294"/>
    <w:rsid w:val="17505468"/>
    <w:rsid w:val="1752433D"/>
    <w:rsid w:val="17550DB0"/>
    <w:rsid w:val="17583261"/>
    <w:rsid w:val="17810296"/>
    <w:rsid w:val="17C601C4"/>
    <w:rsid w:val="182061EA"/>
    <w:rsid w:val="18301429"/>
    <w:rsid w:val="18351C95"/>
    <w:rsid w:val="188D103C"/>
    <w:rsid w:val="190E35A0"/>
    <w:rsid w:val="191A70DD"/>
    <w:rsid w:val="19992B53"/>
    <w:rsid w:val="19CE23A1"/>
    <w:rsid w:val="19D014C8"/>
    <w:rsid w:val="19F45335"/>
    <w:rsid w:val="1A330456"/>
    <w:rsid w:val="1A4E76A5"/>
    <w:rsid w:val="1ADA1B6B"/>
    <w:rsid w:val="1B63147C"/>
    <w:rsid w:val="1C3244B8"/>
    <w:rsid w:val="1C461987"/>
    <w:rsid w:val="1C4B6410"/>
    <w:rsid w:val="1C67088B"/>
    <w:rsid w:val="1C6E6E31"/>
    <w:rsid w:val="1C970306"/>
    <w:rsid w:val="1CD13F56"/>
    <w:rsid w:val="1CD14F1F"/>
    <w:rsid w:val="1CEA3399"/>
    <w:rsid w:val="1DA60EEB"/>
    <w:rsid w:val="1F0F5E71"/>
    <w:rsid w:val="1F142A61"/>
    <w:rsid w:val="1F373426"/>
    <w:rsid w:val="1F642D26"/>
    <w:rsid w:val="1FAC2BD1"/>
    <w:rsid w:val="1FF45CE7"/>
    <w:rsid w:val="20176124"/>
    <w:rsid w:val="20F647DE"/>
    <w:rsid w:val="2107263D"/>
    <w:rsid w:val="21313216"/>
    <w:rsid w:val="214C4107"/>
    <w:rsid w:val="21A13C43"/>
    <w:rsid w:val="222E1FA2"/>
    <w:rsid w:val="22366385"/>
    <w:rsid w:val="224031F6"/>
    <w:rsid w:val="2282270A"/>
    <w:rsid w:val="229735F9"/>
    <w:rsid w:val="22AD2D70"/>
    <w:rsid w:val="23532900"/>
    <w:rsid w:val="2359594A"/>
    <w:rsid w:val="237962D0"/>
    <w:rsid w:val="23B37411"/>
    <w:rsid w:val="242E50EF"/>
    <w:rsid w:val="244E33BB"/>
    <w:rsid w:val="24775815"/>
    <w:rsid w:val="24D12D46"/>
    <w:rsid w:val="24FD0CF7"/>
    <w:rsid w:val="25317C88"/>
    <w:rsid w:val="25FB3FD9"/>
    <w:rsid w:val="260B2287"/>
    <w:rsid w:val="26134134"/>
    <w:rsid w:val="271635D9"/>
    <w:rsid w:val="27280E94"/>
    <w:rsid w:val="27F61196"/>
    <w:rsid w:val="28814447"/>
    <w:rsid w:val="29283150"/>
    <w:rsid w:val="297A3C20"/>
    <w:rsid w:val="298C1931"/>
    <w:rsid w:val="29925FE1"/>
    <w:rsid w:val="29C5213A"/>
    <w:rsid w:val="29C972C6"/>
    <w:rsid w:val="2B944ACD"/>
    <w:rsid w:val="2BD9110B"/>
    <w:rsid w:val="2C9D3BC7"/>
    <w:rsid w:val="2CED3F48"/>
    <w:rsid w:val="2CF2686E"/>
    <w:rsid w:val="2E9E272A"/>
    <w:rsid w:val="2EAE6403"/>
    <w:rsid w:val="2F5C124E"/>
    <w:rsid w:val="31055C5A"/>
    <w:rsid w:val="3256187C"/>
    <w:rsid w:val="3259568C"/>
    <w:rsid w:val="32A31CA7"/>
    <w:rsid w:val="32A66941"/>
    <w:rsid w:val="334B2415"/>
    <w:rsid w:val="339918AA"/>
    <w:rsid w:val="33BD2F62"/>
    <w:rsid w:val="33C148CD"/>
    <w:rsid w:val="33E01751"/>
    <w:rsid w:val="341F407D"/>
    <w:rsid w:val="34BD4A82"/>
    <w:rsid w:val="351530F3"/>
    <w:rsid w:val="35211925"/>
    <w:rsid w:val="35524794"/>
    <w:rsid w:val="36577381"/>
    <w:rsid w:val="366115C7"/>
    <w:rsid w:val="368F242B"/>
    <w:rsid w:val="36E75766"/>
    <w:rsid w:val="37285AB1"/>
    <w:rsid w:val="375C6F30"/>
    <w:rsid w:val="3781684D"/>
    <w:rsid w:val="38213B8C"/>
    <w:rsid w:val="3823766B"/>
    <w:rsid w:val="396748BA"/>
    <w:rsid w:val="39AC13AD"/>
    <w:rsid w:val="3A3146AF"/>
    <w:rsid w:val="3A751F6D"/>
    <w:rsid w:val="3AB6680E"/>
    <w:rsid w:val="3AD61658"/>
    <w:rsid w:val="3ADD7367"/>
    <w:rsid w:val="3AF50232"/>
    <w:rsid w:val="3B251FB8"/>
    <w:rsid w:val="3B3712DA"/>
    <w:rsid w:val="3B516ED3"/>
    <w:rsid w:val="3B622014"/>
    <w:rsid w:val="3BB54D17"/>
    <w:rsid w:val="3BFC6477"/>
    <w:rsid w:val="3C7D28D5"/>
    <w:rsid w:val="3C9506A5"/>
    <w:rsid w:val="3CE43836"/>
    <w:rsid w:val="3D027FC2"/>
    <w:rsid w:val="3D3D4FC4"/>
    <w:rsid w:val="3D4729D1"/>
    <w:rsid w:val="3D6C58AA"/>
    <w:rsid w:val="3DD82610"/>
    <w:rsid w:val="3DEB4A20"/>
    <w:rsid w:val="3E2D53F7"/>
    <w:rsid w:val="3EB62D94"/>
    <w:rsid w:val="3EEC7F81"/>
    <w:rsid w:val="3F0E1560"/>
    <w:rsid w:val="3FA71C20"/>
    <w:rsid w:val="3FDA2F9E"/>
    <w:rsid w:val="40606FB3"/>
    <w:rsid w:val="408A0869"/>
    <w:rsid w:val="40995D81"/>
    <w:rsid w:val="40DC28F6"/>
    <w:rsid w:val="416C231C"/>
    <w:rsid w:val="41B906C9"/>
    <w:rsid w:val="41C01725"/>
    <w:rsid w:val="41C84509"/>
    <w:rsid w:val="421E5E45"/>
    <w:rsid w:val="42305ED2"/>
    <w:rsid w:val="42355182"/>
    <w:rsid w:val="42B172BD"/>
    <w:rsid w:val="43120BD6"/>
    <w:rsid w:val="433755FF"/>
    <w:rsid w:val="43B14016"/>
    <w:rsid w:val="43F50190"/>
    <w:rsid w:val="4432163F"/>
    <w:rsid w:val="44476729"/>
    <w:rsid w:val="44915BF6"/>
    <w:rsid w:val="4546743F"/>
    <w:rsid w:val="45A13141"/>
    <w:rsid w:val="46966FC2"/>
    <w:rsid w:val="46F56910"/>
    <w:rsid w:val="47992632"/>
    <w:rsid w:val="47EE36B2"/>
    <w:rsid w:val="485E76F8"/>
    <w:rsid w:val="487A531F"/>
    <w:rsid w:val="48AF6D87"/>
    <w:rsid w:val="49CE6C17"/>
    <w:rsid w:val="4A437992"/>
    <w:rsid w:val="4A4831FA"/>
    <w:rsid w:val="4A657908"/>
    <w:rsid w:val="4ACC5BD9"/>
    <w:rsid w:val="4BE40D01"/>
    <w:rsid w:val="4CDE060B"/>
    <w:rsid w:val="4E08517B"/>
    <w:rsid w:val="4E2E60EA"/>
    <w:rsid w:val="4E3D5914"/>
    <w:rsid w:val="4E461B89"/>
    <w:rsid w:val="4E834801"/>
    <w:rsid w:val="4E915170"/>
    <w:rsid w:val="4F4C1097"/>
    <w:rsid w:val="4F844CD5"/>
    <w:rsid w:val="4FB01626"/>
    <w:rsid w:val="4FF32FA8"/>
    <w:rsid w:val="50EA0B03"/>
    <w:rsid w:val="512A57AB"/>
    <w:rsid w:val="515A3854"/>
    <w:rsid w:val="5276471A"/>
    <w:rsid w:val="52B20F97"/>
    <w:rsid w:val="52CC47C0"/>
    <w:rsid w:val="52E07D49"/>
    <w:rsid w:val="5374510A"/>
    <w:rsid w:val="53F5005F"/>
    <w:rsid w:val="550C37A2"/>
    <w:rsid w:val="55990DAE"/>
    <w:rsid w:val="563D2137"/>
    <w:rsid w:val="565D015E"/>
    <w:rsid w:val="56836AB2"/>
    <w:rsid w:val="56BC2DE3"/>
    <w:rsid w:val="56D42C4D"/>
    <w:rsid w:val="56EF512A"/>
    <w:rsid w:val="57301D47"/>
    <w:rsid w:val="57487036"/>
    <w:rsid w:val="575D6537"/>
    <w:rsid w:val="57800B40"/>
    <w:rsid w:val="57CD2DFE"/>
    <w:rsid w:val="58244FE5"/>
    <w:rsid w:val="584B13F6"/>
    <w:rsid w:val="59217B49"/>
    <w:rsid w:val="59656964"/>
    <w:rsid w:val="59D926D2"/>
    <w:rsid w:val="5A034680"/>
    <w:rsid w:val="5A096502"/>
    <w:rsid w:val="5AA52A54"/>
    <w:rsid w:val="5B070568"/>
    <w:rsid w:val="5B856EE5"/>
    <w:rsid w:val="5BC05975"/>
    <w:rsid w:val="5BD743DE"/>
    <w:rsid w:val="5C3A1541"/>
    <w:rsid w:val="5CA15F65"/>
    <w:rsid w:val="5D63281F"/>
    <w:rsid w:val="5D706898"/>
    <w:rsid w:val="5D731EE5"/>
    <w:rsid w:val="5D7C7100"/>
    <w:rsid w:val="5D89238E"/>
    <w:rsid w:val="5D8C28DB"/>
    <w:rsid w:val="5DA30A1C"/>
    <w:rsid w:val="5E1A42E3"/>
    <w:rsid w:val="5E3F6556"/>
    <w:rsid w:val="5E4A7A0E"/>
    <w:rsid w:val="5E8C3C37"/>
    <w:rsid w:val="5EBC6D64"/>
    <w:rsid w:val="5ED03402"/>
    <w:rsid w:val="5F182B4A"/>
    <w:rsid w:val="5FD163AE"/>
    <w:rsid w:val="60057BEA"/>
    <w:rsid w:val="60912DAE"/>
    <w:rsid w:val="6098413C"/>
    <w:rsid w:val="60B44CEE"/>
    <w:rsid w:val="60B460AF"/>
    <w:rsid w:val="60CF38D6"/>
    <w:rsid w:val="619747AF"/>
    <w:rsid w:val="621C336D"/>
    <w:rsid w:val="629E5C56"/>
    <w:rsid w:val="62A05F08"/>
    <w:rsid w:val="62EA5BC6"/>
    <w:rsid w:val="630737FB"/>
    <w:rsid w:val="63C25DAA"/>
    <w:rsid w:val="64126CC6"/>
    <w:rsid w:val="64721148"/>
    <w:rsid w:val="648F0582"/>
    <w:rsid w:val="64F540D9"/>
    <w:rsid w:val="6559245A"/>
    <w:rsid w:val="65622F6B"/>
    <w:rsid w:val="658C415A"/>
    <w:rsid w:val="65BD6D5B"/>
    <w:rsid w:val="6678206D"/>
    <w:rsid w:val="66C53C4A"/>
    <w:rsid w:val="673B297E"/>
    <w:rsid w:val="678F323C"/>
    <w:rsid w:val="67F105D6"/>
    <w:rsid w:val="67FD6F7B"/>
    <w:rsid w:val="68233EA0"/>
    <w:rsid w:val="68A30209"/>
    <w:rsid w:val="68C86C57"/>
    <w:rsid w:val="69C2222A"/>
    <w:rsid w:val="6AA57F27"/>
    <w:rsid w:val="6B3B1735"/>
    <w:rsid w:val="6CC37EB5"/>
    <w:rsid w:val="6D1139EB"/>
    <w:rsid w:val="6D3457FF"/>
    <w:rsid w:val="6E0E1EE1"/>
    <w:rsid w:val="6E2A4841"/>
    <w:rsid w:val="6EEF19E2"/>
    <w:rsid w:val="6F3D1DEF"/>
    <w:rsid w:val="6F963F3C"/>
    <w:rsid w:val="6FB940CF"/>
    <w:rsid w:val="6FE54B28"/>
    <w:rsid w:val="71276AD1"/>
    <w:rsid w:val="7160445C"/>
    <w:rsid w:val="71697143"/>
    <w:rsid w:val="716C6A50"/>
    <w:rsid w:val="717476DC"/>
    <w:rsid w:val="717958C4"/>
    <w:rsid w:val="71BE777B"/>
    <w:rsid w:val="72072EE6"/>
    <w:rsid w:val="7207397B"/>
    <w:rsid w:val="72600B3B"/>
    <w:rsid w:val="729E3A33"/>
    <w:rsid w:val="72C43B37"/>
    <w:rsid w:val="73670AB5"/>
    <w:rsid w:val="737D1DEA"/>
    <w:rsid w:val="748B2EA1"/>
    <w:rsid w:val="74A470FC"/>
    <w:rsid w:val="74AE0F56"/>
    <w:rsid w:val="755328D0"/>
    <w:rsid w:val="76391AC6"/>
    <w:rsid w:val="7672193D"/>
    <w:rsid w:val="770403EE"/>
    <w:rsid w:val="771C50B0"/>
    <w:rsid w:val="771E190D"/>
    <w:rsid w:val="77352B9E"/>
    <w:rsid w:val="77832F9B"/>
    <w:rsid w:val="77C519A6"/>
    <w:rsid w:val="78063C29"/>
    <w:rsid w:val="784004D1"/>
    <w:rsid w:val="784D1858"/>
    <w:rsid w:val="78725E9B"/>
    <w:rsid w:val="78760DAF"/>
    <w:rsid w:val="7877129B"/>
    <w:rsid w:val="787B0173"/>
    <w:rsid w:val="79302291"/>
    <w:rsid w:val="797D7F1B"/>
    <w:rsid w:val="79F44E86"/>
    <w:rsid w:val="79FE7AE0"/>
    <w:rsid w:val="7A083C89"/>
    <w:rsid w:val="7AA15E8B"/>
    <w:rsid w:val="7B1A51D8"/>
    <w:rsid w:val="7B424553"/>
    <w:rsid w:val="7B7F47C8"/>
    <w:rsid w:val="7BB96559"/>
    <w:rsid w:val="7BF25D18"/>
    <w:rsid w:val="7C304A31"/>
    <w:rsid w:val="7C6520EB"/>
    <w:rsid w:val="7C85225C"/>
    <w:rsid w:val="7CE56503"/>
    <w:rsid w:val="7D1943FF"/>
    <w:rsid w:val="7D7347EF"/>
    <w:rsid w:val="7D9B14E2"/>
    <w:rsid w:val="7DB761A8"/>
    <w:rsid w:val="7DD52B5A"/>
    <w:rsid w:val="7E522673"/>
    <w:rsid w:val="7E81400A"/>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5"/>
    <w:next w:val="1"/>
    <w:qFormat/>
    <w:uiPriority w:val="0"/>
    <w:pPr>
      <w:keepNext/>
      <w:keepLines/>
      <w:snapToGrid w:val="0"/>
      <w:spacing w:beforeLines="50" w:afterLines="50"/>
      <w:outlineLvl w:val="1"/>
    </w:pPr>
    <w:rPr>
      <w:rFonts w:eastAsia="楷体_GB2312" w:cs="MS Gothic"/>
      <w:snapToGrid w:val="0"/>
      <w:kern w:val="0"/>
      <w:sz w:val="32"/>
      <w:szCs w:val="28"/>
    </w:rPr>
  </w:style>
  <w:style w:type="paragraph" w:styleId="5">
    <w:name w:val="heading 3"/>
    <w:basedOn w:val="1"/>
    <w:next w:val="1"/>
    <w:unhideWhenUsed/>
    <w:qFormat/>
    <w:uiPriority w:val="0"/>
    <w:pPr>
      <w:outlineLvl w:val="2"/>
    </w:pPr>
    <w:rPr>
      <w:rFonts w:asciiTheme="majorHAnsi" w:hAnsiTheme="majorHAnsi" w:eastAsiaTheme="majorEastAsia" w:cstheme="majorBidi"/>
      <w:b/>
      <w:bCs/>
      <w:sz w:val="28"/>
      <w:szCs w:val="32"/>
    </w:rPr>
  </w:style>
  <w:style w:type="paragraph" w:styleId="6">
    <w:name w:val="heading 4"/>
    <w:basedOn w:val="1"/>
    <w:next w:val="1"/>
    <w:unhideWhenUsed/>
    <w:qFormat/>
    <w:uiPriority w:val="0"/>
    <w:pPr>
      <w:keepNext/>
      <w:keepLines/>
      <w:outlineLvl w:val="3"/>
    </w:pPr>
    <w:rPr>
      <w:b/>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rPr>
      <w:sz w:val="28"/>
      <w:szCs w:val="28"/>
    </w:rPr>
  </w:style>
  <w:style w:type="paragraph" w:styleId="7">
    <w:name w:val="Normal Indent"/>
    <w:basedOn w:val="1"/>
    <w:qFormat/>
    <w:uiPriority w:val="0"/>
    <w:pPr>
      <w:adjustRightInd w:val="0"/>
      <w:spacing w:line="360" w:lineRule="atLeast"/>
      <w:ind w:firstLine="420"/>
      <w:jc w:val="left"/>
      <w:textAlignment w:val="baseline"/>
    </w:pPr>
    <w:rPr>
      <w:rFonts w:eastAsia="仿宋_GB2312"/>
      <w:kern w:val="0"/>
      <w:sz w:val="28"/>
      <w:szCs w:val="20"/>
    </w:rPr>
  </w:style>
  <w:style w:type="paragraph" w:styleId="8">
    <w:name w:val="Body Text Indent"/>
    <w:basedOn w:val="1"/>
    <w:next w:val="9"/>
    <w:unhideWhenUsed/>
    <w:qFormat/>
    <w:uiPriority w:val="99"/>
    <w:pPr>
      <w:spacing w:after="120"/>
      <w:ind w:left="420" w:leftChars="200"/>
    </w:pPr>
  </w:style>
  <w:style w:type="paragraph" w:styleId="9">
    <w:name w:val="Body Text First Indent 2"/>
    <w:basedOn w:val="8"/>
    <w:next w:val="2"/>
    <w:unhideWhenUsed/>
    <w:qFormat/>
    <w:uiPriority w:val="99"/>
    <w:pPr>
      <w:ind w:firstLine="420" w:firstLineChars="200"/>
    </w:pPr>
  </w:style>
  <w:style w:type="paragraph" w:styleId="10">
    <w:name w:val="toc 5"/>
    <w:basedOn w:val="1"/>
    <w:next w:val="1"/>
    <w:semiHidden/>
    <w:qFormat/>
    <w:uiPriority w:val="0"/>
    <w:pPr>
      <w:ind w:left="1120"/>
      <w:jc w:val="left"/>
    </w:pPr>
    <w:rPr>
      <w:sz w:val="18"/>
      <w:szCs w:val="18"/>
    </w:rPr>
  </w:style>
  <w:style w:type="paragraph" w:styleId="11">
    <w:name w:val="Plain Text"/>
    <w:basedOn w:val="1"/>
    <w:next w:val="1"/>
    <w:qFormat/>
    <w:uiPriority w:val="0"/>
    <w:rPr>
      <w:rFonts w:ascii="宋体" w:hAnsi="Courier New" w:cs="Courier New"/>
      <w:szCs w:val="21"/>
    </w:rPr>
  </w:style>
  <w:style w:type="paragraph" w:styleId="12">
    <w:name w:val="Date"/>
    <w:basedOn w:val="1"/>
    <w:next w:val="1"/>
    <w:link w:val="46"/>
    <w:qFormat/>
    <w:uiPriority w:val="0"/>
    <w:pPr>
      <w:ind w:left="100" w:leftChars="2500"/>
    </w:pPr>
    <w:rPr>
      <w:rFonts w:ascii="Times New Roman" w:hAnsi="Times New Roman"/>
      <w:b/>
      <w:bCs/>
      <w:sz w:val="28"/>
    </w:rPr>
  </w:style>
  <w:style w:type="paragraph" w:styleId="13">
    <w:name w:val="Body Text Indent 2"/>
    <w:basedOn w:val="1"/>
    <w:qFormat/>
    <w:uiPriority w:val="0"/>
    <w:pPr>
      <w:ind w:firstLine="538" w:firstLineChars="192"/>
    </w:pPr>
    <w:rPr>
      <w:rFonts w:ascii="宋体" w:hAnsi="宋体"/>
      <w:sz w:val="28"/>
    </w:rPr>
  </w:style>
  <w:style w:type="paragraph" w:styleId="14">
    <w:name w:val="Balloon Text"/>
    <w:basedOn w:val="1"/>
    <w:link w:val="32"/>
    <w:qFormat/>
    <w:uiPriority w:val="0"/>
    <w:rPr>
      <w:sz w:val="18"/>
      <w:szCs w:val="18"/>
    </w:rPr>
  </w:style>
  <w:style w:type="paragraph" w:styleId="15">
    <w:name w:val="footer"/>
    <w:basedOn w:val="1"/>
    <w:next w:val="16"/>
    <w:qFormat/>
    <w:uiPriority w:val="0"/>
    <w:pPr>
      <w:tabs>
        <w:tab w:val="center" w:pos="4153"/>
        <w:tab w:val="right" w:pos="8306"/>
      </w:tabs>
      <w:snapToGrid w:val="0"/>
    </w:pPr>
    <w:rPr>
      <w:sz w:val="18"/>
      <w:szCs w:val="18"/>
    </w:rPr>
  </w:style>
  <w:style w:type="paragraph" w:styleId="16">
    <w:name w:val="Normal (Web)"/>
    <w:basedOn w:val="1"/>
    <w:next w:val="17"/>
    <w:qFormat/>
    <w:uiPriority w:val="0"/>
    <w:pPr>
      <w:spacing w:before="100" w:beforeAutospacing="1" w:after="100" w:afterAutospacing="1"/>
      <w:jc w:val="left"/>
    </w:pPr>
    <w:rPr>
      <w:kern w:val="0"/>
      <w:sz w:val="24"/>
    </w:rPr>
  </w:style>
  <w:style w:type="paragraph" w:customStyle="1" w:styleId="17">
    <w:name w:val="toc 84"/>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jc w:val="left"/>
    </w:pPr>
    <w:rPr>
      <w:rFonts w:ascii="宋体"/>
      <w:b/>
      <w:bCs/>
      <w:caps/>
      <w:sz w:val="20"/>
      <w:szCs w:val="20"/>
    </w:rPr>
  </w:style>
  <w:style w:type="paragraph" w:styleId="20">
    <w:name w:val="Body Text Indent 3"/>
    <w:basedOn w:val="1"/>
    <w:qFormat/>
    <w:uiPriority w:val="0"/>
    <w:pPr>
      <w:ind w:firstLine="630"/>
    </w:pPr>
    <w:rPr>
      <w:rFonts w:ascii="Times New Roman" w:hAnsi="Times New Roman" w:eastAsia="仿宋_GB2312"/>
      <w:sz w:val="28"/>
    </w:rPr>
  </w:style>
  <w:style w:type="paragraph" w:styleId="21">
    <w:name w:val="Body Text First Indent"/>
    <w:basedOn w:val="2"/>
    <w:next w:val="1"/>
    <w:qFormat/>
    <w:uiPriority w:val="0"/>
    <w:pPr>
      <w:spacing w:after="120"/>
      <w:ind w:firstLine="420" w:firstLineChars="100"/>
    </w:pPr>
  </w:style>
  <w:style w:type="paragraph" w:customStyle="1" w:styleId="24">
    <w:name w:val="正文2"/>
    <w:basedOn w:val="1"/>
    <w:qFormat/>
    <w:uiPriority w:val="0"/>
    <w:pPr>
      <w:spacing w:line="440" w:lineRule="atLeast"/>
      <w:ind w:firstLine="567"/>
    </w:pPr>
    <w:rPr>
      <w:sz w:val="24"/>
      <w:szCs w:val="20"/>
    </w:rPr>
  </w:style>
  <w:style w:type="paragraph" w:customStyle="1" w:styleId="25">
    <w:name w:val="样式 首行缩进:  2 字符"/>
    <w:basedOn w:val="1"/>
    <w:next w:val="1"/>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26">
    <w:name w:val="Default"/>
    <w:basedOn w:val="27"/>
    <w:qFormat/>
    <w:uiPriority w:val="0"/>
    <w:pPr>
      <w:autoSpaceDE w:val="0"/>
      <w:autoSpaceDN w:val="0"/>
    </w:pPr>
    <w:rPr>
      <w:rFonts w:hint="eastAsia" w:ascii="宋体"/>
      <w:sz w:val="24"/>
    </w:rPr>
  </w:style>
  <w:style w:type="paragraph" w:customStyle="1" w:styleId="27">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8">
    <w:name w:val="li_正文"/>
    <w:basedOn w:val="1"/>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29">
    <w:name w:val="样式 标题 2"/>
    <w:basedOn w:val="4"/>
    <w:qFormat/>
    <w:uiPriority w:val="0"/>
    <w:pPr>
      <w:spacing w:beforeLines="0" w:afterLines="0"/>
    </w:pPr>
    <w:rPr>
      <w:rFonts w:ascii="Arial" w:hAnsi="Arial" w:eastAsia="宋体" w:cs="宋体"/>
      <w:snapToGrid/>
      <w:kern w:val="2"/>
      <w:szCs w:val="32"/>
      <w:lang w:val="zh-CN"/>
    </w:rPr>
  </w:style>
  <w:style w:type="paragraph" w:customStyle="1" w:styleId="30">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p0"/>
    <w:basedOn w:val="1"/>
    <w:qFormat/>
    <w:uiPriority w:val="0"/>
    <w:pPr>
      <w:widowControl/>
    </w:pPr>
    <w:rPr>
      <w:kern w:val="0"/>
      <w:szCs w:val="21"/>
    </w:rPr>
  </w:style>
  <w:style w:type="character" w:customStyle="1" w:styleId="32">
    <w:name w:val="批注框文本 字符"/>
    <w:basedOn w:val="23"/>
    <w:link w:val="14"/>
    <w:qFormat/>
    <w:uiPriority w:val="0"/>
    <w:rPr>
      <w:rFonts w:ascii="Calibri" w:hAnsi="Calibri"/>
      <w:kern w:val="2"/>
      <w:sz w:val="18"/>
      <w:szCs w:val="18"/>
    </w:rPr>
  </w:style>
  <w:style w:type="paragraph" w:customStyle="1" w:styleId="33">
    <w:name w:val="111"/>
    <w:basedOn w:val="1"/>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4">
    <w:name w:val="表头 Char Char Char"/>
    <w:basedOn w:val="23"/>
    <w:qFormat/>
    <w:uiPriority w:val="0"/>
    <w:rPr>
      <w:rFonts w:ascii="宋体" w:hAnsi="Tahoma" w:eastAsia="宋体"/>
      <w:snapToGrid w:val="0"/>
      <w:spacing w:val="6"/>
      <w:kern w:val="10"/>
      <w:sz w:val="24"/>
    </w:rPr>
  </w:style>
  <w:style w:type="paragraph" w:customStyle="1" w:styleId="35">
    <w:name w:val="表格居中"/>
    <w:basedOn w:val="36"/>
    <w:qFormat/>
    <w:uiPriority w:val="0"/>
    <w:pPr>
      <w:jc w:val="center"/>
    </w:pPr>
  </w:style>
  <w:style w:type="paragraph" w:customStyle="1" w:styleId="36">
    <w:name w:val="表格一"/>
    <w:basedOn w:val="1"/>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37">
    <w:name w:val="伟灿工贸-表格文字"/>
    <w:basedOn w:val="1"/>
    <w:qFormat/>
    <w:uiPriority w:val="0"/>
    <w:pPr>
      <w:jc w:val="center"/>
    </w:pPr>
    <w:rPr>
      <w:rFonts w:hint="eastAsia" w:ascii="宋体" w:hAnsi="宋体" w:cs="宋体"/>
      <w:szCs w:val="21"/>
    </w:rPr>
  </w:style>
  <w:style w:type="paragraph" w:customStyle="1" w:styleId="38">
    <w:name w:val="QQ表正文"/>
    <w:basedOn w:val="1"/>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39">
    <w:name w:val="表名、图名"/>
    <w:basedOn w:val="1"/>
    <w:next w:val="1"/>
    <w:qFormat/>
    <w:uiPriority w:val="0"/>
    <w:pPr>
      <w:jc w:val="center"/>
    </w:pPr>
    <w:rPr>
      <w:b/>
      <w:bCs/>
    </w:rPr>
  </w:style>
  <w:style w:type="paragraph" w:customStyle="1" w:styleId="40">
    <w:name w:val="标题 三"/>
    <w:basedOn w:val="1"/>
    <w:qFormat/>
    <w:uiPriority w:val="0"/>
    <w:pPr>
      <w:tabs>
        <w:tab w:val="left" w:pos="3544"/>
      </w:tabs>
      <w:snapToGrid w:val="0"/>
      <w:spacing w:line="360" w:lineRule="auto"/>
      <w:outlineLvl w:val="2"/>
    </w:pPr>
    <w:rPr>
      <w:rFonts w:ascii="宋体" w:hAnsi="宋体"/>
      <w:b/>
      <w:bCs/>
      <w:sz w:val="28"/>
      <w:szCs w:val="28"/>
    </w:rPr>
  </w:style>
  <w:style w:type="paragraph" w:customStyle="1" w:styleId="41">
    <w:name w:val="ENFI正文"/>
    <w:basedOn w:val="1"/>
    <w:qFormat/>
    <w:uiPriority w:val="0"/>
    <w:pPr>
      <w:adjustRightInd w:val="0"/>
      <w:snapToGrid w:val="0"/>
      <w:ind w:firstLine="567"/>
    </w:pPr>
    <w:rPr>
      <w:rFonts w:eastAsia="仿宋_GB2312"/>
      <w:snapToGrid w:val="0"/>
      <w:color w:val="000000"/>
      <w:kern w:val="0"/>
      <w:sz w:val="28"/>
    </w:rPr>
  </w:style>
  <w:style w:type="paragraph" w:customStyle="1" w:styleId="42">
    <w:name w:val="工艺序号"/>
    <w:basedOn w:val="1"/>
    <w:qFormat/>
    <w:uiPriority w:val="0"/>
    <w:pPr>
      <w:numPr>
        <w:ilvl w:val="0"/>
        <w:numId w:val="1"/>
      </w:numPr>
    </w:pPr>
    <w:rPr>
      <w:b/>
      <w:bCs/>
    </w:rPr>
  </w:style>
  <w:style w:type="paragraph" w:customStyle="1" w:styleId="43">
    <w:name w:val="伟灿-表格文字"/>
    <w:basedOn w:val="1"/>
    <w:qFormat/>
    <w:uiPriority w:val="0"/>
    <w:pPr>
      <w:jc w:val="center"/>
    </w:pPr>
    <w:rPr>
      <w:rFonts w:hint="eastAsia" w:ascii="宋体" w:hAnsi="宋体" w:cs="宋体"/>
      <w:szCs w:val="21"/>
    </w:rPr>
  </w:style>
  <w:style w:type="paragraph" w:styleId="44">
    <w:name w:val="List Paragraph"/>
    <w:basedOn w:val="1"/>
    <w:qFormat/>
    <w:uiPriority w:val="99"/>
    <w:pPr>
      <w:ind w:firstLine="420" w:firstLineChars="200"/>
    </w:pPr>
  </w:style>
  <w:style w:type="paragraph" w:customStyle="1" w:styleId="45">
    <w:name w:val="表格1（标题）"/>
    <w:basedOn w:val="1"/>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6">
    <w:name w:val="日期 字符"/>
    <w:basedOn w:val="23"/>
    <w:link w:val="12"/>
    <w:qFormat/>
    <w:uiPriority w:val="0"/>
    <w:rPr>
      <w:b/>
      <w:bCs/>
      <w:kern w:val="2"/>
      <w:sz w:val="28"/>
      <w:szCs w:val="24"/>
    </w:rPr>
  </w:style>
  <w:style w:type="paragraph" w:customStyle="1" w:styleId="47">
    <w:name w:val="k-正文序列"/>
    <w:basedOn w:val="1"/>
    <w:qFormat/>
    <w:uiPriority w:val="0"/>
    <w:pPr>
      <w:numPr>
        <w:ilvl w:val="0"/>
        <w:numId w:val="2"/>
      </w:numPr>
    </w:pPr>
    <w:rPr>
      <w:rFonts w:hint="eastAsia"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1171</Words>
  <Characters>1382</Characters>
  <Lines>8</Lines>
  <Paragraphs>2</Paragraphs>
  <TotalTime>0</TotalTime>
  <ScaleCrop>false</ScaleCrop>
  <LinksUpToDate>false</LinksUpToDate>
  <CharactersWithSpaces>1385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叶子</cp:lastModifiedBy>
  <dcterms:modified xsi:type="dcterms:W3CDTF">2026-08-27T06:08:25Z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BF701FB91A744B049CE4F80DAFD00276_13</vt:lpwstr>
  </property>
  <property fmtid="{D5CDD505-2E9C-101B-9397-08002B2CF9AE}" pid="4" name="KSOTemplateDocerSaveRecord">
    <vt:lpwstr>eyJoZGlkIjoiNDgzMjdiZTZhYWEwMDUyMzMwMzdhZWM2ZmNjMGMzMDkiLCJ1c2VySWQiOiI1NzcyNjAwMzgifQ==</vt:lpwstr>
  </property>
</Properties>
</file>