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20F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2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237"/>
        <w:gridCol w:w="4803"/>
        <w:gridCol w:w="2115"/>
      </w:tblGrid>
      <w:tr w14:paraId="5183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15B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B96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szCs w:val="22"/>
                <w:lang w:eastAsia="zh-CN"/>
              </w:rPr>
              <w:t>江西省金瑞环保科技有限公司多金属回收利用项目安全预评价</w:t>
            </w:r>
            <w:r>
              <w:rPr>
                <w:rFonts w:hint="eastAsia" w:ascii="宋体" w:hAnsi="宋体"/>
                <w:sz w:val="24"/>
                <w:szCs w:val="22"/>
              </w:rPr>
              <w:t>报告</w:t>
            </w:r>
          </w:p>
        </w:tc>
      </w:tr>
      <w:tr w14:paraId="61D7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334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610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5FF1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192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7FA9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154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A9D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5E5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34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062A2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D23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1DFA60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谢雨飞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053FE3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CAWS350000230200227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57CF88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043378</w:t>
            </w:r>
          </w:p>
        </w:tc>
      </w:tr>
      <w:tr w14:paraId="638E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07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A90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DDA0B8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乔贯德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448743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1700000000300087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A6B83B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030797</w:t>
            </w:r>
          </w:p>
        </w:tc>
      </w:tr>
      <w:tr w14:paraId="4EC8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28C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2768C7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于志勇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49EEE5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2014033230330000003310230030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C02C5C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51190209624</w:t>
            </w:r>
          </w:p>
        </w:tc>
      </w:tr>
      <w:tr w14:paraId="748FD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DA3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F0677A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刘二平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46F14C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03320241036000000887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7B1D9F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37250438462</w:t>
            </w:r>
          </w:p>
        </w:tc>
      </w:tr>
      <w:tr w14:paraId="0780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1D9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FC4F51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王静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3CCA51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1800000000300838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108697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034276</w:t>
            </w:r>
          </w:p>
        </w:tc>
      </w:tr>
      <w:tr w14:paraId="6F99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8D0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26B7FD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程冬红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F5D069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1500000000301714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5FE290">
            <w:pPr>
              <w:pStyle w:val="3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026812</w:t>
            </w:r>
          </w:p>
        </w:tc>
      </w:tr>
      <w:tr w14:paraId="7D0B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3B0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5B5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7972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E95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B8D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谢雨飞</w:t>
            </w:r>
            <w:r>
              <w:rPr>
                <w:rFonts w:hint="eastAsia"/>
                <w:color w:val="000000"/>
                <w:sz w:val="24"/>
              </w:rPr>
              <w:t>、</w:t>
            </w: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乔贯德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6.6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13</w:t>
            </w:r>
          </w:p>
        </w:tc>
      </w:tr>
      <w:tr w14:paraId="5143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054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6F0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/</w:t>
            </w:r>
          </w:p>
        </w:tc>
      </w:tr>
      <w:tr w14:paraId="402D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F8751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2CAEFC5B">
            <w:pPr>
              <w:ind w:firstLine="56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江西省金瑞环保科技有限公司成立于2008年7月2日，注册资金为4000万元，法定代表人祝银富。</w:t>
            </w:r>
            <w:r>
              <w:rPr>
                <w:rFonts w:hint="eastAsia" w:hAnsi="宋体" w:cs="宋体"/>
                <w:color w:val="auto"/>
                <w:spacing w:val="-1"/>
                <w:szCs w:val="28"/>
              </w:rPr>
              <w:t>经营范围：再生废旧物资利用（含生产性废旧金属）加工销售、国际贸易，贵金属销售，五金、化工产品（除危险品）机械电子设备的购销，自营及代理各类商品和技术的进出口（国家限制或禁止进出口的商品和技术除外）（以上项目国家限制或禁止经营的凭许可证或资质证经营）</w:t>
            </w:r>
            <w:r>
              <w:rPr>
                <w:rFonts w:hint="eastAsia"/>
                <w:color w:val="auto"/>
              </w:rPr>
              <w:t>。</w:t>
            </w:r>
          </w:p>
          <w:p w14:paraId="7DC5BD97">
            <w:pPr>
              <w:ind w:firstLine="560"/>
              <w:rPr>
                <w:rFonts w:hint="eastAsia" w:eastAsia="宋体"/>
                <w:snapToGrid w:val="0"/>
                <w:lang w:eastAsia="zh-CN"/>
              </w:rPr>
            </w:pPr>
            <w:r>
              <w:rPr>
                <w:rFonts w:hint="eastAsia"/>
                <w:color w:val="auto"/>
              </w:rPr>
              <w:t>该公司为进一步提升资源利用效率，拟投资22000万元建设“多金属回收利用项目”，</w:t>
            </w:r>
            <w:r>
              <w:rPr>
                <w:rFonts w:hint="eastAsia"/>
                <w:color w:val="auto"/>
                <w:lang w:val="en-US" w:eastAsia="zh-CN"/>
              </w:rPr>
              <w:t>建设主要内容为</w:t>
            </w:r>
            <w:r>
              <w:rPr>
                <w:color w:val="auto"/>
              </w:rPr>
              <w:t>拆除场地上所有老旧建筑物，并在原址新建厂房及附属设施。以自产的富氧熔炼渣以及外购的硫精矿、石灰石、煤为原料，采用烟化炉硫化工艺，经破碎、煤粉制备、烟化炉进料、硫化挥发、电热前床造渣等工序，生产富锡烟尘、冰铜等产物，可年处理6万吨自产富氧熔炼炉渣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  <w:p w14:paraId="468E5EAB">
            <w:pPr>
              <w:ind w:firstLine="560"/>
              <w:rPr>
                <w:rFonts w:hint="eastAsia"/>
                <w:snapToGrid w:val="0"/>
                <w:lang w:eastAsia="zh-CN"/>
              </w:rPr>
            </w:pPr>
            <w:r>
              <w:rPr>
                <w:rFonts w:hint="eastAsia"/>
                <w:color w:val="auto"/>
              </w:rPr>
              <w:t>本项目涉及的危险化学品有氮气、柴油、一氧化碳（尾气）、二氧化硫（尾气）以及检维修使用的氧气、乙炔，涉及的高毒物品有一氧化碳（尾气），涉及的重点监管的危险化学品有一氧化碳（尾气）、二氧化硫（尾气）以及检维修使用的乙炔，不</w:t>
            </w:r>
            <w:r>
              <w:rPr>
                <w:color w:val="auto"/>
              </w:rPr>
              <w:t>涉及剧毒化学品</w:t>
            </w:r>
            <w:r>
              <w:rPr>
                <w:rFonts w:hint="eastAsia"/>
                <w:color w:val="auto"/>
              </w:rPr>
              <w:t>、不涉及</w:t>
            </w:r>
            <w:r>
              <w:rPr>
                <w:color w:val="auto"/>
              </w:rPr>
              <w:t>监控化学品</w:t>
            </w:r>
            <w:r>
              <w:rPr>
                <w:rFonts w:hint="eastAsia"/>
                <w:color w:val="auto"/>
              </w:rPr>
              <w:t>、不涉及易制爆化学品、不涉及易制毒化学品、不涉及特别管控危险化学品，不构成危险化学品重大危险源</w:t>
            </w:r>
            <w:r>
              <w:rPr>
                <w:rFonts w:hint="eastAsia"/>
                <w:snapToGrid w:val="0"/>
                <w:lang w:eastAsia="zh-CN"/>
              </w:rPr>
              <w:t>。</w:t>
            </w:r>
          </w:p>
          <w:p w14:paraId="07A856E3">
            <w:pPr>
              <w:ind w:firstLine="560"/>
              <w:rPr>
                <w:rFonts w:hint="default" w:eastAsia="宋体"/>
                <w:snapToGrid w:val="0"/>
                <w:lang w:val="en-US" w:eastAsia="zh-CN"/>
              </w:rPr>
            </w:pPr>
            <w:r>
              <w:rPr>
                <w:rFonts w:hint="eastAsia"/>
                <w:color w:val="auto"/>
              </w:rPr>
              <w:t>本项目</w:t>
            </w:r>
            <w:r>
              <w:rPr>
                <w:color w:val="auto"/>
              </w:rPr>
              <w:t>存在的危险因素有</w:t>
            </w:r>
            <w:r>
              <w:rPr>
                <w:rFonts w:hint="eastAsia"/>
                <w:color w:val="auto"/>
              </w:rPr>
              <w:t>火灾、粉尘爆炸、高温熔融物爆炸、机械致害、灼烫、中毒、窒息、触电、起重致害、容器爆炸、管道爆炸、厂（场）内车辆致害、高处坠落、物体打击、跌落、坍塌、淹溺、泄漏、可燃气体爆炸、其他</w:t>
            </w:r>
            <w:r>
              <w:rPr>
                <w:color w:val="auto"/>
              </w:rPr>
              <w:t>等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color w:val="auto"/>
              </w:rPr>
              <w:t>重点防范的危险因素是</w:t>
            </w:r>
            <w:r>
              <w:rPr>
                <w:rFonts w:hint="eastAsia"/>
                <w:color w:val="auto"/>
              </w:rPr>
              <w:t>火灾、粉尘爆炸、高温熔融物爆炸</w:t>
            </w:r>
            <w:r>
              <w:rPr>
                <w:rFonts w:hint="eastAsia"/>
                <w:snapToGrid w:val="0"/>
                <w:lang w:eastAsia="zh-CN"/>
              </w:rPr>
              <w:t>。</w:t>
            </w:r>
          </w:p>
        </w:tc>
      </w:tr>
      <w:tr w14:paraId="2E5E8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528574">
            <w:pPr>
              <w:widowControl/>
              <w:spacing w:after="150"/>
              <w:jc w:val="center"/>
            </w:pPr>
            <w:r>
              <w:rPr>
                <w:rFonts w:hint="eastAsia"/>
                <w:sz w:val="24"/>
              </w:rPr>
              <w:t>工艺流程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4E327EC9">
            <w:pPr>
              <w:ind w:firstLine="560"/>
            </w:pPr>
            <w:r>
              <w:rPr>
                <w:rFonts w:hint="eastAsia"/>
                <w:lang w:val="en-US"/>
              </w:rPr>
              <w:t>1、</w:t>
            </w:r>
            <w:r>
              <w:rPr>
                <w:rFonts w:hint="eastAsia"/>
              </w:rPr>
              <w:t>生产工艺流程</w:t>
            </w:r>
            <w:r>
              <w:t>简述：</w:t>
            </w:r>
          </w:p>
          <w:p w14:paraId="2AFDD7EA">
            <w:pPr>
              <w:ind w:firstLine="562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原料破碎、配料：</w:t>
            </w:r>
            <w:r>
              <w:rPr>
                <w:rFonts w:hint="eastAsia"/>
                <w:color w:val="auto"/>
              </w:rPr>
              <w:t>富氧熔炼渣原始物料粒度不均匀，无法直接入炉烟化，需提前开展破碎预处理。物料首先送入颚式破碎机进行破碎细化，通过机械破碎控制物料粒度均匀，保证后续混合、入炉熔化及化学反应均匀稳定。</w:t>
            </w:r>
          </w:p>
          <w:p w14:paraId="5A89A126">
            <w:pPr>
              <w:ind w:firstLine="56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破碎完成后的熔炼渣，根据物料锡含量检测数据进行精准配方配比，按工艺比例定量搭配硫精矿、自产脱硫渣等辅助原料。所有物料经计量设备精准称重后充分混匀，保证批次物料成分稳定、硫含量适配烟化硫化挥发需求。混匀后的物料由皮带输送机密闭输送至烟化炉料仓储存备用，全程避免物料扬尘、混料偏差，为炉内稳定反应提供合格炉料。</w:t>
            </w:r>
          </w:p>
          <w:p w14:paraId="04665CFB">
            <w:pPr>
              <w:ind w:firstLine="562"/>
              <w:rPr>
                <w:rFonts w:hint="eastAsia"/>
                <w:color w:val="auto"/>
              </w:rPr>
            </w:pPr>
            <w:r>
              <w:rPr>
                <w:b/>
                <w:bCs/>
                <w:color w:val="auto"/>
              </w:rPr>
              <w:t>煤粉制备</w:t>
            </w:r>
            <w:r>
              <w:rPr>
                <w:rFonts w:hint="eastAsia"/>
                <w:color w:val="auto"/>
              </w:rPr>
              <w:t>：本工艺采用外购原煤作为燃料与还原剂原料，原煤经煤粉制备系统处理，由雷蒙磨粉机研磨加工为细度合格的粉状煤粉。制备完成的煤粉利用氮气密闭输送系统均匀喷入烟化炉炉膛内，可有效防止煤粉氧化自燃、保证喷粉连续稳定，为烟化作业持续提供热量与还原介质。</w:t>
            </w:r>
          </w:p>
          <w:p w14:paraId="1C53FC63">
            <w:pPr>
              <w:ind w:firstLine="56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煤粉在炉内充分燃烧放热，维持炉体高温工况，同时构建炉内强弱适宜的还原气氛，保障锡氧化物还原、硫化挥发反应顺利进行。炉内主要燃烧及造气反应如下：</w:t>
            </w:r>
          </w:p>
          <w:p w14:paraId="1048E855">
            <w:pPr>
              <w:spacing w:line="240" w:lineRule="auto"/>
              <w:ind w:firstLine="56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2C+O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color w:val="auto"/>
                <w:szCs w:val="28"/>
              </w:rPr>
              <w:t>=2CO</w:t>
            </w:r>
          </w:p>
          <w:p w14:paraId="46211088">
            <w:pPr>
              <w:spacing w:line="240" w:lineRule="auto"/>
              <w:ind w:firstLine="56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C+O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color w:val="auto"/>
                <w:szCs w:val="28"/>
              </w:rPr>
              <w:t>=CO</w:t>
            </w:r>
            <w:r>
              <w:rPr>
                <w:color w:val="auto"/>
                <w:szCs w:val="28"/>
                <w:vertAlign w:val="subscript"/>
              </w:rPr>
              <w:t>2</w:t>
            </w:r>
          </w:p>
          <w:p w14:paraId="4295AC25">
            <w:pPr>
              <w:spacing w:line="240" w:lineRule="auto"/>
              <w:ind w:firstLine="56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CO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color w:val="auto"/>
                <w:szCs w:val="28"/>
              </w:rPr>
              <w:t>+C=2CO</w:t>
            </w:r>
          </w:p>
          <w:p w14:paraId="0147E2C4">
            <w:pPr>
              <w:tabs>
                <w:tab w:val="left" w:pos="3825"/>
                <w:tab w:val="left" w:pos="4680"/>
              </w:tabs>
              <w:ind w:firstLine="560"/>
              <w:jc w:val="left"/>
              <w:rPr>
                <w:color w:val="auto"/>
              </w:rPr>
            </w:pPr>
            <w:r>
              <w:rPr>
                <w:color w:val="auto"/>
              </w:rPr>
              <w:t>炉内生成的一氧化碳为核心还原性介质，是实现锡氧化物还原挥发的关键反应物。</w:t>
            </w:r>
          </w:p>
          <w:p w14:paraId="2E520274">
            <w:pPr>
              <w:ind w:firstLine="562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烟化：</w:t>
            </w:r>
            <w:r>
              <w:rPr>
                <w:rFonts w:hint="eastAsia"/>
                <w:color w:val="auto"/>
              </w:rPr>
              <w:t>烟化炉采用周期性间歇作业模式，整套工艺过程分为加料熔化、升温加热、还原硫化挥发、炉内吹炼四个阶段，工艺适配性强，可稳定处理各类低品位含锡渣料。炉料采用分批加料、逐层熔化的方式作业，待上一批物料完全熔化、炉况稳定后，再投入下一批炉料，直至整炉物料全部熔化，方可进入高温吹炼与烟化挥发阶段。</w:t>
            </w:r>
          </w:p>
          <w:p w14:paraId="2C48BD6D">
            <w:pPr>
              <w:ind w:firstLine="56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当炉内温度稳定升至1150～1250℃工艺区间时，批量补加硫精矿，开启高温硫化烟化作业。原料渣中锡主要以一氧化锡（SnO）形态赋存，烟化过程本质为高温还原+硫化挥发富集过程：在高温、还原、富硫协同工况下，物料中的单质锡直接以锡蒸汽形式挥发；锡的氧化物被CO还原为金属锡蒸汽；同时在硫介质作用下生成硫化锡蒸气，实现锡的气态分离，与炉渣基体彻底分离。</w:t>
            </w:r>
          </w:p>
          <w:p w14:paraId="161AC873">
            <w:pPr>
              <w:ind w:firstLine="56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炉内核心还原、硫化、氧化转化反应如下：</w:t>
            </w:r>
          </w:p>
          <w:tbl>
            <w:tblPr>
              <w:tblStyle w:val="22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912"/>
              <w:gridCol w:w="2459"/>
            </w:tblGrid>
            <w:tr w14:paraId="2044FE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912" w:type="dxa"/>
                  <w:noWrap w:val="0"/>
                  <w:vAlign w:val="top"/>
                </w:tcPr>
                <w:p w14:paraId="5ADE8484">
                  <w:pPr>
                    <w:spacing w:line="240" w:lineRule="auto"/>
                    <w:ind w:firstLine="560"/>
                    <w:jc w:val="center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SnO+CO=Sn+CO</w:t>
                  </w:r>
                  <w:r>
                    <w:rPr>
                      <w:color w:val="auto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2459" w:type="dxa"/>
                  <w:noWrap w:val="0"/>
                  <w:vAlign w:val="top"/>
                </w:tcPr>
                <w:p w14:paraId="67227E0A">
                  <w:pPr>
                    <w:spacing w:line="240" w:lineRule="auto"/>
                    <w:ind w:firstLine="560"/>
                    <w:jc w:val="center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2Sn+O</w:t>
                  </w:r>
                  <w:r>
                    <w:rPr>
                      <w:color w:val="auto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Cs w:val="28"/>
                    </w:rPr>
                    <w:t>=2SnO</w:t>
                  </w:r>
                </w:p>
              </w:tc>
            </w:tr>
            <w:tr w14:paraId="7E3379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912" w:type="dxa"/>
                  <w:noWrap w:val="0"/>
                  <w:vAlign w:val="top"/>
                </w:tcPr>
                <w:p w14:paraId="56D408B9">
                  <w:pPr>
                    <w:spacing w:line="240" w:lineRule="auto"/>
                    <w:ind w:firstLine="560"/>
                    <w:jc w:val="center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2FeS</w:t>
                  </w:r>
                  <w:r>
                    <w:rPr>
                      <w:color w:val="auto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Cs w:val="28"/>
                    </w:rPr>
                    <w:t>=2FeS+2S</w:t>
                  </w:r>
                </w:p>
              </w:tc>
              <w:tc>
                <w:tcPr>
                  <w:tcW w:w="2459" w:type="dxa"/>
                  <w:noWrap w:val="0"/>
                  <w:vAlign w:val="top"/>
                </w:tcPr>
                <w:p w14:paraId="68EC76D9">
                  <w:pPr>
                    <w:spacing w:line="240" w:lineRule="auto"/>
                    <w:ind w:firstLine="560"/>
                    <w:jc w:val="center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S+O</w:t>
                  </w:r>
                  <w:r>
                    <w:rPr>
                      <w:color w:val="auto"/>
                      <w:szCs w:val="28"/>
                      <w:vertAlign w:val="subscript"/>
                    </w:rPr>
                    <w:t>2</w:t>
                  </w:r>
                  <w:r>
                    <w:rPr>
                      <w:color w:val="auto"/>
                      <w:szCs w:val="28"/>
                    </w:rPr>
                    <w:t>=SO</w:t>
                  </w:r>
                  <w:r>
                    <w:rPr>
                      <w:color w:val="auto"/>
                      <w:szCs w:val="28"/>
                      <w:vertAlign w:val="subscript"/>
                    </w:rPr>
                    <w:t>2</w:t>
                  </w:r>
                </w:p>
              </w:tc>
            </w:tr>
            <w:tr w14:paraId="492A87E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371" w:type="dxa"/>
                  <w:gridSpan w:val="2"/>
                  <w:noWrap w:val="0"/>
                  <w:vAlign w:val="top"/>
                </w:tcPr>
                <w:p w14:paraId="4D1240BE">
                  <w:pPr>
                    <w:spacing w:line="240" w:lineRule="auto"/>
                    <w:ind w:firstLine="560"/>
                    <w:jc w:val="center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SnO+FeS=SnS+FeO</w:t>
                  </w:r>
                </w:p>
              </w:tc>
            </w:tr>
          </w:tbl>
          <w:p w14:paraId="1B2828E0">
            <w:pPr>
              <w:spacing w:before="156" w:beforeLines="50"/>
              <w:ind w:firstLine="560"/>
              <w:jc w:val="left"/>
              <w:rPr>
                <w:color w:val="auto"/>
                <w:szCs w:val="28"/>
              </w:rPr>
            </w:pPr>
            <w:r>
              <w:rPr>
                <w:rFonts w:hint="eastAsia"/>
                <w:color w:val="auto"/>
                <w:szCs w:val="28"/>
              </w:rPr>
              <w:t>生成的硫化锡（SnS）蒸气随高温烟气上升至烟化炉上部炉膛，通过三次风口补入的空气进一步氧化，生成二氧化锡（SnO₂）固相微粒，随烟气进入收尘系统被捕集回收，核心反应如下：</w:t>
            </w:r>
            <w:r>
              <w:rPr>
                <w:color w:val="auto"/>
                <w:szCs w:val="28"/>
              </w:rPr>
              <w:t>SnS+2O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color w:val="auto"/>
                <w:szCs w:val="28"/>
              </w:rPr>
              <w:t>=SnO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color w:val="auto"/>
                <w:szCs w:val="28"/>
              </w:rPr>
              <w:t>+SO</w:t>
            </w:r>
            <w:r>
              <w:rPr>
                <w:color w:val="auto"/>
                <w:szCs w:val="28"/>
                <w:vertAlign w:val="subscript"/>
              </w:rPr>
              <w:t>2</w:t>
            </w:r>
            <w:r>
              <w:rPr>
                <w:rFonts w:hint="eastAsia"/>
                <w:color w:val="auto"/>
                <w:szCs w:val="28"/>
              </w:rPr>
              <w:t>。</w:t>
            </w:r>
          </w:p>
          <w:p w14:paraId="6BAA0B8D">
            <w:pPr>
              <w:spacing w:line="384" w:lineRule="auto"/>
              <w:ind w:firstLine="560"/>
              <w:rPr>
                <w:color w:val="auto"/>
                <w:szCs w:val="28"/>
              </w:rPr>
            </w:pPr>
            <w:r>
              <w:rPr>
                <w:rFonts w:hint="eastAsia"/>
                <w:color w:val="auto"/>
                <w:szCs w:val="28"/>
              </w:rPr>
              <w:t>在整体硫化烟化挥发过程中，除铁、铜金属基本留存于炉渣难以挥发外，其余伴生金属均会不同程度随烟气挥发富集于烟尘中，实现多金属初步富集分离，提升资源综合利用率。</w:t>
            </w:r>
          </w:p>
          <w:p w14:paraId="07107C83">
            <w:pPr>
              <w:ind w:firstLine="562"/>
              <w:rPr>
                <w:rFonts w:hint="eastAsia"/>
                <w:color w:val="auto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Cs w:val="28"/>
              </w:rPr>
              <w:t>放渣、水淬：</w:t>
            </w:r>
            <w:r>
              <w:rPr>
                <w:rFonts w:hint="eastAsia"/>
                <w:color w:val="auto"/>
                <w:szCs w:val="28"/>
              </w:rPr>
              <w:t>炉内完成烟化反应后的熔融熔液从放渣口连续放出，自流进入电热前床进行静置澄清。通过静置分层，利用比重差异实现渣相与冰铜相分离：高熔点硅酸盐炉渣比重较小，浮于上层，经水淬冷却后形成水淬渣，为最终冶炼废渣；冰铜比重较大，沉降于熔体底层，排放至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冰铜模具（冰铜铸锭车）内</w:t>
            </w:r>
            <w:r>
              <w:rPr>
                <w:rFonts w:hint="eastAsia"/>
                <w:color w:val="auto"/>
                <w:szCs w:val="28"/>
              </w:rPr>
              <w:t>，自然冷却后单独收集储存，实现有价金属渣相分类回收。</w:t>
            </w:r>
          </w:p>
          <w:p w14:paraId="3998E47D">
            <w:pPr>
              <w:ind w:firstLine="562"/>
              <w:rPr>
                <w:rFonts w:hint="eastAsia"/>
                <w:color w:val="auto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Cs w:val="28"/>
              </w:rPr>
              <w:t>富锡烟尘回收</w:t>
            </w:r>
            <w:r>
              <w:rPr>
                <w:rFonts w:hint="eastAsia"/>
                <w:color w:val="auto"/>
                <w:szCs w:val="28"/>
              </w:rPr>
              <w:t>：烟化炉产出的高温含尘烟气首先进入沉灰筒，通过重力沉降作用分离收集大颗粒烟尘，细微颗粒烟气再进入覆膜布袋除尘器进行深度收尘。沉灰筒沉降尘与布袋除尘器收集粉尘统称为烟化炉富锡烟尘，为高品位锡富集产物。</w:t>
            </w:r>
          </w:p>
          <w:p w14:paraId="30D2A5C1">
            <w:pPr>
              <w:ind w:firstLine="560"/>
              <w:jc w:val="left"/>
            </w:pPr>
            <w:r>
              <w:rPr>
                <w:rFonts w:hint="eastAsia"/>
                <w:color w:val="auto"/>
                <w:szCs w:val="28"/>
              </w:rPr>
              <w:t>脱硫系统产生的脱硫渣硫含量较高，具备良好的回用价值，统一收集后返回配料工序替代部分硫精矿参与烟化生产。该回用方式可有效补充炉内硫源，稳定硫化挥发工况，同时减少外购硫精矿用量，降低原辅材料消耗，实现生产副产物资源化循环利用，提升整体工艺经济性与环保性</w:t>
            </w:r>
            <w:r>
              <w:rPr>
                <w:rFonts w:hint="eastAsia"/>
              </w:rPr>
              <w:t>。</w:t>
            </w:r>
          </w:p>
          <w:p w14:paraId="546FF909">
            <w:pPr>
              <w:ind w:firstLine="560"/>
              <w:textAlignment w:val="baseline"/>
            </w:pPr>
            <w:r>
              <w:rPr>
                <w:rFonts w:hint="eastAsia"/>
              </w:rPr>
              <w:t>2、工艺流程框图</w:t>
            </w:r>
          </w:p>
          <w:p w14:paraId="6BE44613">
            <w:pPr>
              <w:ind w:firstLine="560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/>
                <w:color w:val="auto"/>
              </w:rPr>
              <w:drawing>
                <wp:inline distT="0" distB="0" distL="114300" distR="114300">
                  <wp:extent cx="4585335" cy="3010535"/>
                  <wp:effectExtent l="0" t="0" r="5715" b="18415"/>
                  <wp:docPr id="1" name="图片 1" descr="无标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无标题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335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B5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B2FC86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FAFB09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44164A8A">
      <w:r>
        <w:rPr>
          <w:rFonts w:hint="eastAsia"/>
        </w:rPr>
        <w:br w:type="page"/>
      </w:r>
    </w:p>
    <w:p w14:paraId="77680E70">
      <w:pPr>
        <w:jc w:val="both"/>
      </w:pPr>
    </w:p>
    <w:p w14:paraId="04CF224C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22875" cy="3917315"/>
            <wp:effectExtent l="0" t="0" r="15875" b="6985"/>
            <wp:docPr id="2" name="图片 2" descr="影像记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影像记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8CB30">
      <w:pPr>
        <w:jc w:val="both"/>
        <w:rPr>
          <w:rFonts w:hint="eastAsia" w:eastAsia="宋体"/>
          <w:lang w:eastAsia="zh-CN"/>
        </w:rPr>
      </w:pPr>
    </w:p>
    <w:p w14:paraId="7F422983">
      <w:pPr>
        <w:jc w:val="both"/>
      </w:pPr>
    </w:p>
    <w:p w14:paraId="4397E254">
      <w:pPr>
        <w:jc w:val="both"/>
      </w:pPr>
    </w:p>
    <w:p w14:paraId="0D180275">
      <w:pPr>
        <w:jc w:val="both"/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</w:pPr>
    </w:p>
    <w:p w14:paraId="7320BAFF"/>
    <w:p w14:paraId="3B579254"/>
    <w:p w14:paraId="4A9043E7"/>
    <w:p w14:paraId="051B9FA4"/>
    <w:p w14:paraId="3D0DBB6A"/>
    <w:p w14:paraId="2926565F"/>
    <w:p w14:paraId="2D1CD838"/>
    <w:p w14:paraId="15764499"/>
    <w:p w14:paraId="753F65C7"/>
    <w:p w14:paraId="430B6AF1"/>
    <w:p w14:paraId="54AFC77D"/>
    <w:p w14:paraId="7B0A4E30"/>
    <w:p w14:paraId="5E7A6E29"/>
    <w:p w14:paraId="1EE5D497"/>
    <w:p w14:paraId="4A27907A"/>
    <w:p w14:paraId="62D015E7"/>
    <w:p w14:paraId="0FD05839"/>
    <w:p w14:paraId="064420BD"/>
    <w:p w14:paraId="266909C7"/>
    <w:p w14:paraId="0699554E">
      <w:pPr>
        <w:pStyle w:val="9"/>
        <w:ind w:left="0" w:leftChars="0" w:firstLine="0" w:firstLineChars="0"/>
      </w:pPr>
      <w:r>
        <w:drawing>
          <wp:inline distT="0" distB="0" distL="114300" distR="114300">
            <wp:extent cx="5268595" cy="7295515"/>
            <wp:effectExtent l="0" t="0" r="825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CB8E6">
      <w:r>
        <w:br w:type="page"/>
      </w:r>
    </w:p>
    <w:p w14:paraId="2D23121C">
      <w:pPr>
        <w:pStyle w:val="7"/>
      </w:pPr>
      <w:r>
        <w:drawing>
          <wp:inline distT="0" distB="0" distL="114300" distR="114300">
            <wp:extent cx="5274310" cy="7475855"/>
            <wp:effectExtent l="0" t="0" r="2540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625080"/>
            <wp:effectExtent l="0" t="0" r="3175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97525" cy="6007735"/>
            <wp:effectExtent l="0" t="0" r="3175" b="1206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600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679C0"/>
    <w:multiLevelType w:val="singleLevel"/>
    <w:tmpl w:val="850679C0"/>
    <w:lvl w:ilvl="0" w:tentative="0">
      <w:start w:val="1"/>
      <w:numFmt w:val="decimal"/>
      <w:pStyle w:val="47"/>
      <w:suff w:val="nothing"/>
      <w:lvlText w:val="%1）"/>
      <w:lvlJc w:val="left"/>
      <w:pPr>
        <w:tabs>
          <w:tab w:val="left" w:pos="312"/>
        </w:tabs>
      </w:pPr>
      <w:rPr>
        <w:rFonts w:hint="default" w:ascii="Times New Roman" w:hAnsi="Times New Roman" w:eastAsia="宋体" w:cs="Times New Roman"/>
        <w:sz w:val="24"/>
        <w:szCs w:val="24"/>
      </w:rPr>
    </w:lvl>
  </w:abstractNum>
  <w:abstractNum w:abstractNumId="1">
    <w:nsid w:val="951B3ABD"/>
    <w:multiLevelType w:val="singleLevel"/>
    <w:tmpl w:val="951B3ABD"/>
    <w:lvl w:ilvl="0" w:tentative="0">
      <w:start w:val="1"/>
      <w:numFmt w:val="decimal"/>
      <w:pStyle w:val="48"/>
      <w:suff w:val="nothing"/>
      <w:lvlText w:val="%1）"/>
      <w:lvlJc w:val="left"/>
      <w:pPr>
        <w:tabs>
          <w:tab w:val="left" w:pos="0"/>
        </w:tabs>
      </w:pPr>
      <w:rPr>
        <w:rFonts w:hint="default" w:ascii="Times New Roman" w:hAnsi="Times New Roman" w:eastAsia="宋体" w:cs="Times New Roman"/>
        <w:sz w:val="28"/>
        <w:szCs w:val="28"/>
      </w:rPr>
    </w:lvl>
  </w:abstractNum>
  <w:abstractNum w:abstractNumId="2">
    <w:nsid w:val="5183855F"/>
    <w:multiLevelType w:val="singleLevel"/>
    <w:tmpl w:val="5183855F"/>
    <w:lvl w:ilvl="0" w:tentative="0">
      <w:start w:val="1"/>
      <w:numFmt w:val="chineseCounting"/>
      <w:pStyle w:val="4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N2U3YjgwYmFiODFhZWM5YTkwNDFlYjJiYWFlOTQifQ=="/>
    <w:docVar w:name="KSO_WPS_MARK_KEY" w:val="f0c94484-18bf-41d0-a894-232196517eb0"/>
  </w:docVars>
  <w:rsids>
    <w:rsidRoot w:val="00E3751A"/>
    <w:rsid w:val="00047227"/>
    <w:rsid w:val="00194B7C"/>
    <w:rsid w:val="002012A2"/>
    <w:rsid w:val="00303C12"/>
    <w:rsid w:val="003A7C06"/>
    <w:rsid w:val="004340C8"/>
    <w:rsid w:val="00443349"/>
    <w:rsid w:val="004D1AF7"/>
    <w:rsid w:val="005858BE"/>
    <w:rsid w:val="00727066"/>
    <w:rsid w:val="00756850"/>
    <w:rsid w:val="00787BD2"/>
    <w:rsid w:val="007A2261"/>
    <w:rsid w:val="007C3A9A"/>
    <w:rsid w:val="00802085"/>
    <w:rsid w:val="008F01AE"/>
    <w:rsid w:val="009570B9"/>
    <w:rsid w:val="009A19ED"/>
    <w:rsid w:val="00C341C7"/>
    <w:rsid w:val="00C65B3D"/>
    <w:rsid w:val="00C75118"/>
    <w:rsid w:val="00C82162"/>
    <w:rsid w:val="00D40559"/>
    <w:rsid w:val="00D93BC0"/>
    <w:rsid w:val="00E3751A"/>
    <w:rsid w:val="00E95F3C"/>
    <w:rsid w:val="00F46A10"/>
    <w:rsid w:val="00F60933"/>
    <w:rsid w:val="00FF47EE"/>
    <w:rsid w:val="01381A2C"/>
    <w:rsid w:val="030516AD"/>
    <w:rsid w:val="03463A74"/>
    <w:rsid w:val="03A1635F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6007F0A"/>
    <w:rsid w:val="062E2CC9"/>
    <w:rsid w:val="06567547"/>
    <w:rsid w:val="06EF6353"/>
    <w:rsid w:val="07D32EB9"/>
    <w:rsid w:val="07E46E00"/>
    <w:rsid w:val="0814540D"/>
    <w:rsid w:val="08300409"/>
    <w:rsid w:val="08302FF8"/>
    <w:rsid w:val="0845254C"/>
    <w:rsid w:val="08E81855"/>
    <w:rsid w:val="08ED0200"/>
    <w:rsid w:val="0946657C"/>
    <w:rsid w:val="096769A3"/>
    <w:rsid w:val="096F1B10"/>
    <w:rsid w:val="09806C85"/>
    <w:rsid w:val="09A37E9F"/>
    <w:rsid w:val="0A0E1339"/>
    <w:rsid w:val="0A173A74"/>
    <w:rsid w:val="0A4F7A65"/>
    <w:rsid w:val="0BC750FD"/>
    <w:rsid w:val="0C370800"/>
    <w:rsid w:val="0D073DB5"/>
    <w:rsid w:val="0D081033"/>
    <w:rsid w:val="0E564C35"/>
    <w:rsid w:val="0EC817E1"/>
    <w:rsid w:val="0F1C6141"/>
    <w:rsid w:val="0F1E74B7"/>
    <w:rsid w:val="0FE07C54"/>
    <w:rsid w:val="0FFD1618"/>
    <w:rsid w:val="10806817"/>
    <w:rsid w:val="10A546BD"/>
    <w:rsid w:val="10AD0B5D"/>
    <w:rsid w:val="10AE1BD9"/>
    <w:rsid w:val="10D96D50"/>
    <w:rsid w:val="11BA5E99"/>
    <w:rsid w:val="13337B71"/>
    <w:rsid w:val="13FA1B12"/>
    <w:rsid w:val="141C622E"/>
    <w:rsid w:val="14732EA1"/>
    <w:rsid w:val="147F5532"/>
    <w:rsid w:val="14D001B2"/>
    <w:rsid w:val="156C314D"/>
    <w:rsid w:val="15CB68F5"/>
    <w:rsid w:val="16B10157"/>
    <w:rsid w:val="172B1294"/>
    <w:rsid w:val="17505468"/>
    <w:rsid w:val="1752433D"/>
    <w:rsid w:val="17550DB0"/>
    <w:rsid w:val="17810296"/>
    <w:rsid w:val="17C601C4"/>
    <w:rsid w:val="18301429"/>
    <w:rsid w:val="18351C95"/>
    <w:rsid w:val="188D103C"/>
    <w:rsid w:val="190E35A0"/>
    <w:rsid w:val="191A70DD"/>
    <w:rsid w:val="1992731D"/>
    <w:rsid w:val="19992B53"/>
    <w:rsid w:val="19CE23A1"/>
    <w:rsid w:val="19D014C8"/>
    <w:rsid w:val="19F45335"/>
    <w:rsid w:val="1A330456"/>
    <w:rsid w:val="1A4E76A5"/>
    <w:rsid w:val="1ADA1B6B"/>
    <w:rsid w:val="1B63147C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F0F5E71"/>
    <w:rsid w:val="1F142A61"/>
    <w:rsid w:val="1F373426"/>
    <w:rsid w:val="1F642D26"/>
    <w:rsid w:val="1FAC2BD1"/>
    <w:rsid w:val="1FF45CE7"/>
    <w:rsid w:val="2107263D"/>
    <w:rsid w:val="21313216"/>
    <w:rsid w:val="214C4107"/>
    <w:rsid w:val="21A13C43"/>
    <w:rsid w:val="222E1FA2"/>
    <w:rsid w:val="22366385"/>
    <w:rsid w:val="224031F6"/>
    <w:rsid w:val="2282270A"/>
    <w:rsid w:val="229735F9"/>
    <w:rsid w:val="22AD2D70"/>
    <w:rsid w:val="23532900"/>
    <w:rsid w:val="2359594A"/>
    <w:rsid w:val="237962D0"/>
    <w:rsid w:val="23B37411"/>
    <w:rsid w:val="242E50EF"/>
    <w:rsid w:val="244E33BB"/>
    <w:rsid w:val="24775815"/>
    <w:rsid w:val="24D12D46"/>
    <w:rsid w:val="24FD0CF7"/>
    <w:rsid w:val="25FB3FD9"/>
    <w:rsid w:val="260B2287"/>
    <w:rsid w:val="26134134"/>
    <w:rsid w:val="271635D9"/>
    <w:rsid w:val="27280E94"/>
    <w:rsid w:val="27F61196"/>
    <w:rsid w:val="28814447"/>
    <w:rsid w:val="29283150"/>
    <w:rsid w:val="297A3C20"/>
    <w:rsid w:val="298C1931"/>
    <w:rsid w:val="29925FE1"/>
    <w:rsid w:val="29C972C6"/>
    <w:rsid w:val="2BD9110B"/>
    <w:rsid w:val="2C9D3BC7"/>
    <w:rsid w:val="2CF2686E"/>
    <w:rsid w:val="2E9E272A"/>
    <w:rsid w:val="2EAE6403"/>
    <w:rsid w:val="2F5C124E"/>
    <w:rsid w:val="31055C5A"/>
    <w:rsid w:val="3256187C"/>
    <w:rsid w:val="3259568C"/>
    <w:rsid w:val="32A66941"/>
    <w:rsid w:val="32F72E00"/>
    <w:rsid w:val="334B2415"/>
    <w:rsid w:val="339918AA"/>
    <w:rsid w:val="33BD2F62"/>
    <w:rsid w:val="33C148CD"/>
    <w:rsid w:val="341F407D"/>
    <w:rsid w:val="34BD4A82"/>
    <w:rsid w:val="351530F3"/>
    <w:rsid w:val="35211925"/>
    <w:rsid w:val="35524794"/>
    <w:rsid w:val="35EA6222"/>
    <w:rsid w:val="36577381"/>
    <w:rsid w:val="366115C7"/>
    <w:rsid w:val="368F242B"/>
    <w:rsid w:val="37285AB1"/>
    <w:rsid w:val="375C6F30"/>
    <w:rsid w:val="3781684D"/>
    <w:rsid w:val="3823766B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BFC6477"/>
    <w:rsid w:val="3C7D28D5"/>
    <w:rsid w:val="3C9506A5"/>
    <w:rsid w:val="3CE43836"/>
    <w:rsid w:val="3D027FC2"/>
    <w:rsid w:val="3D3D4FC4"/>
    <w:rsid w:val="3D4729D1"/>
    <w:rsid w:val="3DEB4A20"/>
    <w:rsid w:val="3E2D53F7"/>
    <w:rsid w:val="3EB62D94"/>
    <w:rsid w:val="3EEC7F81"/>
    <w:rsid w:val="3F0E1560"/>
    <w:rsid w:val="3FA71C20"/>
    <w:rsid w:val="3FDA2F9E"/>
    <w:rsid w:val="40606FB3"/>
    <w:rsid w:val="408A0869"/>
    <w:rsid w:val="40995D81"/>
    <w:rsid w:val="40DC28F6"/>
    <w:rsid w:val="416C231C"/>
    <w:rsid w:val="41B906C9"/>
    <w:rsid w:val="41C84509"/>
    <w:rsid w:val="421E5E45"/>
    <w:rsid w:val="42305ED2"/>
    <w:rsid w:val="42355182"/>
    <w:rsid w:val="43120BD6"/>
    <w:rsid w:val="43B14016"/>
    <w:rsid w:val="43C93DF7"/>
    <w:rsid w:val="43F50190"/>
    <w:rsid w:val="4432163F"/>
    <w:rsid w:val="44476729"/>
    <w:rsid w:val="4546743F"/>
    <w:rsid w:val="45A13141"/>
    <w:rsid w:val="46966FC2"/>
    <w:rsid w:val="46F56910"/>
    <w:rsid w:val="47EE36B2"/>
    <w:rsid w:val="485E76F8"/>
    <w:rsid w:val="487A531F"/>
    <w:rsid w:val="48AF6D87"/>
    <w:rsid w:val="49CE6C17"/>
    <w:rsid w:val="4A437992"/>
    <w:rsid w:val="4CDE060B"/>
    <w:rsid w:val="4E2E60EA"/>
    <w:rsid w:val="4E3D5914"/>
    <w:rsid w:val="4E461B89"/>
    <w:rsid w:val="4F4858F7"/>
    <w:rsid w:val="4F4C1097"/>
    <w:rsid w:val="4F844CD5"/>
    <w:rsid w:val="4FF32FA8"/>
    <w:rsid w:val="50EA0B03"/>
    <w:rsid w:val="512A57AB"/>
    <w:rsid w:val="515A3854"/>
    <w:rsid w:val="5276471A"/>
    <w:rsid w:val="52B20F97"/>
    <w:rsid w:val="52CC47C0"/>
    <w:rsid w:val="52E07D49"/>
    <w:rsid w:val="5374510A"/>
    <w:rsid w:val="53F5005F"/>
    <w:rsid w:val="550C37A2"/>
    <w:rsid w:val="563D2137"/>
    <w:rsid w:val="565D015E"/>
    <w:rsid w:val="56836AB2"/>
    <w:rsid w:val="56BC2DE3"/>
    <w:rsid w:val="56D42C4D"/>
    <w:rsid w:val="56EF512A"/>
    <w:rsid w:val="572B019F"/>
    <w:rsid w:val="57301D47"/>
    <w:rsid w:val="57487036"/>
    <w:rsid w:val="575D6537"/>
    <w:rsid w:val="57800B40"/>
    <w:rsid w:val="57CD2DFE"/>
    <w:rsid w:val="58244FE5"/>
    <w:rsid w:val="584B13F6"/>
    <w:rsid w:val="58E97312"/>
    <w:rsid w:val="59217B49"/>
    <w:rsid w:val="59656964"/>
    <w:rsid w:val="59D926D2"/>
    <w:rsid w:val="5A034680"/>
    <w:rsid w:val="5AA52A54"/>
    <w:rsid w:val="5BC05975"/>
    <w:rsid w:val="5BD743DE"/>
    <w:rsid w:val="5C3A1541"/>
    <w:rsid w:val="5CA15F65"/>
    <w:rsid w:val="5D63281F"/>
    <w:rsid w:val="5D706898"/>
    <w:rsid w:val="5D731EE5"/>
    <w:rsid w:val="5D7C7100"/>
    <w:rsid w:val="5D89238E"/>
    <w:rsid w:val="5D8C28DB"/>
    <w:rsid w:val="5DA30A1C"/>
    <w:rsid w:val="5E1A42E3"/>
    <w:rsid w:val="5E3F6556"/>
    <w:rsid w:val="5E4A7A0E"/>
    <w:rsid w:val="5E8C3C37"/>
    <w:rsid w:val="5EBC6D64"/>
    <w:rsid w:val="5ED03402"/>
    <w:rsid w:val="5F182B4A"/>
    <w:rsid w:val="5FD163AE"/>
    <w:rsid w:val="60057BEA"/>
    <w:rsid w:val="6098413C"/>
    <w:rsid w:val="60B44CEE"/>
    <w:rsid w:val="60B460AF"/>
    <w:rsid w:val="619747AF"/>
    <w:rsid w:val="621C336D"/>
    <w:rsid w:val="629E5C56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7F105D6"/>
    <w:rsid w:val="68233EA0"/>
    <w:rsid w:val="68A30209"/>
    <w:rsid w:val="68C86C57"/>
    <w:rsid w:val="69C2222A"/>
    <w:rsid w:val="6AA57F27"/>
    <w:rsid w:val="6CC37EB5"/>
    <w:rsid w:val="6D1139EB"/>
    <w:rsid w:val="6D3457FF"/>
    <w:rsid w:val="6E0E1EE1"/>
    <w:rsid w:val="6E2A4841"/>
    <w:rsid w:val="6EEF19E2"/>
    <w:rsid w:val="6F3D1DEF"/>
    <w:rsid w:val="6F963F3C"/>
    <w:rsid w:val="6FB940CF"/>
    <w:rsid w:val="6FE54B28"/>
    <w:rsid w:val="71276AD1"/>
    <w:rsid w:val="7160445C"/>
    <w:rsid w:val="71697143"/>
    <w:rsid w:val="716C6A50"/>
    <w:rsid w:val="717476DC"/>
    <w:rsid w:val="7207397B"/>
    <w:rsid w:val="729E3A33"/>
    <w:rsid w:val="72C43B37"/>
    <w:rsid w:val="73670AB5"/>
    <w:rsid w:val="737D1DEA"/>
    <w:rsid w:val="748B2EA1"/>
    <w:rsid w:val="74AE0F56"/>
    <w:rsid w:val="76391AC6"/>
    <w:rsid w:val="7672193D"/>
    <w:rsid w:val="770403EE"/>
    <w:rsid w:val="771C50B0"/>
    <w:rsid w:val="771E190D"/>
    <w:rsid w:val="77832F9B"/>
    <w:rsid w:val="77C519A6"/>
    <w:rsid w:val="78063C29"/>
    <w:rsid w:val="784004D1"/>
    <w:rsid w:val="78725E9B"/>
    <w:rsid w:val="7877129B"/>
    <w:rsid w:val="787B0173"/>
    <w:rsid w:val="79302291"/>
    <w:rsid w:val="797D7F1B"/>
    <w:rsid w:val="79ED0745"/>
    <w:rsid w:val="79F44E86"/>
    <w:rsid w:val="79FE7AE0"/>
    <w:rsid w:val="7A083C89"/>
    <w:rsid w:val="7AA15E8B"/>
    <w:rsid w:val="7B424553"/>
    <w:rsid w:val="7BB96559"/>
    <w:rsid w:val="7BF25D18"/>
    <w:rsid w:val="7C304A31"/>
    <w:rsid w:val="7C6520EB"/>
    <w:rsid w:val="7C85225C"/>
    <w:rsid w:val="7D1943FF"/>
    <w:rsid w:val="7D7347EF"/>
    <w:rsid w:val="7D9B14E2"/>
    <w:rsid w:val="7DB761A8"/>
    <w:rsid w:val="7DD52B5A"/>
    <w:rsid w:val="7E522673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4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4">
    <w:name w:val="heading 3"/>
    <w:basedOn w:val="1"/>
    <w:next w:val="1"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outlineLvl w:val="3"/>
    </w:pPr>
    <w:rPr>
      <w:b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7">
    <w:name w:val="Body Text"/>
    <w:basedOn w:val="1"/>
    <w:next w:val="1"/>
    <w:qFormat/>
    <w:uiPriority w:val="99"/>
    <w:rPr>
      <w:sz w:val="28"/>
      <w:szCs w:val="28"/>
    </w:rPr>
  </w:style>
  <w:style w:type="paragraph" w:styleId="8">
    <w:name w:val="Body Text Indent"/>
    <w:basedOn w:val="1"/>
    <w:next w:val="9"/>
    <w:unhideWhenUsed/>
    <w:qFormat/>
    <w:uiPriority w:val="99"/>
    <w:pPr>
      <w:spacing w:after="120"/>
      <w:ind w:left="420" w:leftChars="200"/>
    </w:pPr>
  </w:style>
  <w:style w:type="paragraph" w:styleId="9">
    <w:name w:val="Body Text First Indent 2"/>
    <w:basedOn w:val="8"/>
    <w:next w:val="7"/>
    <w:unhideWhenUsed/>
    <w:qFormat/>
    <w:uiPriority w:val="99"/>
    <w:pPr>
      <w:ind w:firstLine="420" w:firstLineChars="200"/>
    </w:pPr>
  </w:style>
  <w:style w:type="paragraph" w:styleId="10">
    <w:name w:val="toc 5"/>
    <w:basedOn w:val="1"/>
    <w:next w:val="1"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46"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3"/>
    <w:qFormat/>
    <w:uiPriority w:val="0"/>
    <w:rPr>
      <w:sz w:val="18"/>
      <w:szCs w:val="18"/>
    </w:rPr>
  </w:style>
  <w:style w:type="paragraph" w:styleId="15">
    <w:name w:val="footer"/>
    <w:basedOn w:val="1"/>
    <w:next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Normal (Web)"/>
    <w:basedOn w:val="1"/>
    <w:next w:val="17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7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20">
    <w:name w:val="Body Text Indent 3"/>
    <w:basedOn w:val="1"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21">
    <w:name w:val="Body Text First Indent"/>
    <w:basedOn w:val="7"/>
    <w:next w:val="1"/>
    <w:qFormat/>
    <w:uiPriority w:val="0"/>
    <w:pPr>
      <w:spacing w:after="120"/>
      <w:ind w:firstLine="420" w:firstLineChars="100"/>
    </w:pPr>
  </w:style>
  <w:style w:type="paragraph" w:customStyle="1" w:styleId="24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5">
    <w:name w:val="正文2"/>
    <w:basedOn w:val="1"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26">
    <w:name w:val="样式 首行缩进:  2 字符"/>
    <w:basedOn w:val="1"/>
    <w:next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7">
    <w:name w:val="Default"/>
    <w:basedOn w:val="28"/>
    <w:next w:val="9"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28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9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0">
    <w:name w:val="样式 标题 2"/>
    <w:basedOn w:val="3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1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3">
    <w:name w:val="批注框文本 字符"/>
    <w:basedOn w:val="23"/>
    <w:link w:val="1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表头 Char Char Char"/>
    <w:basedOn w:val="23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5">
    <w:name w:val="表格居中"/>
    <w:basedOn w:val="36"/>
    <w:qFormat/>
    <w:uiPriority w:val="0"/>
    <w:pPr>
      <w:jc w:val="center"/>
    </w:pPr>
  </w:style>
  <w:style w:type="paragraph" w:customStyle="1" w:styleId="36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37">
    <w:name w:val="伟灿工贸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38">
    <w:name w:val="QQ表正文"/>
    <w:basedOn w:val="1"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39">
    <w:name w:val="表名、图名"/>
    <w:basedOn w:val="1"/>
    <w:next w:val="1"/>
    <w:qFormat/>
    <w:uiPriority w:val="0"/>
    <w:pPr>
      <w:jc w:val="center"/>
    </w:pPr>
    <w:rPr>
      <w:b/>
      <w:bCs/>
    </w:rPr>
  </w:style>
  <w:style w:type="paragraph" w:customStyle="1" w:styleId="40">
    <w:name w:val="标题 三"/>
    <w:basedOn w:val="1"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1">
    <w:name w:val="ENFI正文"/>
    <w:basedOn w:val="1"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2">
    <w:name w:val="工艺序号"/>
    <w:basedOn w:val="1"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3">
    <w:name w:val="伟灿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4">
    <w:name w:val="List Paragraph"/>
    <w:basedOn w:val="1"/>
    <w:qFormat/>
    <w:uiPriority w:val="99"/>
    <w:pPr>
      <w:ind w:firstLine="420" w:firstLineChars="200"/>
    </w:pPr>
  </w:style>
  <w:style w:type="paragraph" w:customStyle="1" w:styleId="45">
    <w:name w:val="表格1（标题）"/>
    <w:basedOn w:val="1"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46">
    <w:name w:val="日期 字符"/>
    <w:basedOn w:val="23"/>
    <w:link w:val="12"/>
    <w:qFormat/>
    <w:uiPriority w:val="0"/>
    <w:rPr>
      <w:b/>
      <w:bCs/>
      <w:kern w:val="2"/>
      <w:sz w:val="28"/>
      <w:szCs w:val="24"/>
    </w:rPr>
  </w:style>
  <w:style w:type="paragraph" w:customStyle="1" w:styleId="47">
    <w:name w:val="k-正文序列"/>
    <w:basedOn w:val="1"/>
    <w:qFormat/>
    <w:uiPriority w:val="0"/>
    <w:pPr>
      <w:numPr>
        <w:ilvl w:val="0"/>
        <w:numId w:val="2"/>
      </w:numPr>
    </w:pPr>
    <w:rPr>
      <w:rFonts w:hint="eastAsia" w:ascii="Times New Roman" w:hAnsi="Times New Roman"/>
    </w:rPr>
  </w:style>
  <w:style w:type="paragraph" w:customStyle="1" w:styleId="48">
    <w:name w:val="k-正文一级序列k"/>
    <w:basedOn w:val="1"/>
    <w:qFormat/>
    <w:uiPriority w:val="0"/>
    <w:pPr>
      <w:numPr>
        <w:ilvl w:val="0"/>
        <w:numId w:val="3"/>
      </w:numPr>
      <w:tabs>
        <w:tab w:val="left" w:pos="312"/>
        <w:tab w:val="clear" w:pos="0"/>
      </w:tabs>
      <w:jc w:val="both"/>
    </w:pPr>
    <w:rPr>
      <w:rFonts w:hint="eastAsia"/>
      <w:szCs w:val="28"/>
    </w:rPr>
  </w:style>
  <w:style w:type="paragraph" w:customStyle="1" w:styleId="49">
    <w:name w:val="k-图名、表名k"/>
    <w:basedOn w:val="1"/>
    <w:qFormat/>
    <w:uiPriority w:val="0"/>
    <w:pPr>
      <w:ind w:firstLine="0" w:firstLineChars="0"/>
      <w:jc w:val="center"/>
    </w:pPr>
    <w:rPr>
      <w:rFonts w:ascii="宋体" w:hAnsi="宋体" w:eastAsia="宋体"/>
      <w:b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2182</Words>
  <Characters>2458</Characters>
  <Lines>8</Lines>
  <Paragraphs>2</Paragraphs>
  <TotalTime>3</TotalTime>
  <ScaleCrop>false</ScaleCrop>
  <LinksUpToDate>false</LinksUpToDate>
  <CharactersWithSpaces>2458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2026-08-27T03:15:21Z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DF8838ED3FCC40EDA87D519F4E4824F3_13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