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79074">
      <w:pPr>
        <w:jc w:val="center"/>
        <w:rPr>
          <w:rFonts w:ascii="Times New Roman" w:hAnsi="Times New Roman"/>
          <w:sz w:val="28"/>
          <w:szCs w:val="28"/>
        </w:rPr>
      </w:pPr>
      <w:r>
        <w:rPr>
          <w:rFonts w:hint="eastAsia" w:ascii="Times New Roman" w:hAnsi="Times New Roman"/>
          <w:kern w:val="0"/>
          <w:sz w:val="28"/>
          <w:szCs w:val="28"/>
          <w:shd w:val="clear" w:color="auto" w:fill="FFFFFF"/>
        </w:rPr>
        <w:t>安全评价报告</w:t>
      </w:r>
      <w:r>
        <w:rPr>
          <w:rFonts w:ascii="Times New Roman" w:hAnsi="Times New Roman"/>
          <w:kern w:val="0"/>
          <w:sz w:val="28"/>
          <w:szCs w:val="28"/>
          <w:shd w:val="clear" w:color="auto" w:fill="FFFFFF"/>
        </w:rPr>
        <w:t>公开信息表</w:t>
      </w:r>
    </w:p>
    <w:tbl>
      <w:tblPr>
        <w:tblStyle w:val="23"/>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074"/>
        <w:gridCol w:w="1237"/>
        <w:gridCol w:w="4803"/>
        <w:gridCol w:w="2115"/>
      </w:tblGrid>
      <w:tr w14:paraId="1B57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5FC8A3E6">
            <w:pPr>
              <w:widowControl/>
              <w:spacing w:after="150"/>
              <w:jc w:val="center"/>
              <w:rPr>
                <w:rFonts w:ascii="宋体" w:hAnsi="宋体" w:cs="宋体"/>
                <w:sz w:val="24"/>
              </w:rPr>
            </w:pPr>
            <w:r>
              <w:rPr>
                <w:rFonts w:hint="eastAsia" w:ascii="宋体" w:hAnsi="宋体" w:cs="宋体"/>
                <w:kern w:val="0"/>
                <w:sz w:val="24"/>
                <w:shd w:val="clear" w:color="auto" w:fill="FFFFFF"/>
              </w:rPr>
              <w:t>项目名称</w:t>
            </w:r>
          </w:p>
        </w:tc>
        <w:tc>
          <w:tcPr>
            <w:tcW w:w="8155" w:type="dxa"/>
            <w:gridSpan w:val="3"/>
            <w:tcBorders>
              <w:tl2br w:val="nil"/>
              <w:tr2bl w:val="nil"/>
            </w:tcBorders>
            <w:shd w:val="clear" w:color="auto" w:fill="FFFFFF"/>
            <w:vAlign w:val="center"/>
          </w:tcPr>
          <w:p w14:paraId="0E887D4A">
            <w:pPr>
              <w:widowControl/>
              <w:spacing w:after="150"/>
              <w:jc w:val="center"/>
              <w:rPr>
                <w:rFonts w:ascii="宋体" w:hAnsi="宋体" w:cs="宋体"/>
                <w:sz w:val="24"/>
              </w:rPr>
            </w:pPr>
            <w:r>
              <w:rPr>
                <w:rFonts w:hint="eastAsia" w:hAnsi="宋体"/>
                <w:color w:val="000000"/>
                <w:sz w:val="24"/>
              </w:rPr>
              <w:t>江西草珊瑚消毒用品股份有限公司</w:t>
            </w:r>
            <w:r>
              <w:rPr>
                <w:rFonts w:hint="eastAsia" w:ascii="宋体" w:hAnsi="宋体"/>
                <w:sz w:val="24"/>
                <w:szCs w:val="22"/>
              </w:rPr>
              <w:t>安全现状评价报告</w:t>
            </w:r>
          </w:p>
        </w:tc>
      </w:tr>
      <w:tr w14:paraId="36D3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40C5780C">
            <w:pPr>
              <w:widowControl/>
              <w:spacing w:after="150"/>
              <w:jc w:val="center"/>
              <w:rPr>
                <w:rFonts w:ascii="宋体" w:hAnsi="宋体" w:cs="宋体"/>
                <w:sz w:val="24"/>
              </w:rPr>
            </w:pPr>
            <w:r>
              <w:rPr>
                <w:rFonts w:hint="eastAsia" w:ascii="宋体" w:hAnsi="宋体" w:cs="宋体"/>
                <w:kern w:val="0"/>
                <w:sz w:val="24"/>
                <w:shd w:val="clear" w:color="auto" w:fill="FFFFFF"/>
              </w:rPr>
              <w:t>完成时间</w:t>
            </w:r>
          </w:p>
        </w:tc>
        <w:tc>
          <w:tcPr>
            <w:tcW w:w="8155" w:type="dxa"/>
            <w:gridSpan w:val="3"/>
            <w:tcBorders>
              <w:tl2br w:val="nil"/>
              <w:tr2bl w:val="nil"/>
            </w:tcBorders>
            <w:shd w:val="clear" w:color="auto" w:fill="FFFFFF"/>
            <w:vAlign w:val="center"/>
          </w:tcPr>
          <w:p w14:paraId="7D26AA8F">
            <w:pPr>
              <w:widowControl/>
              <w:spacing w:after="150"/>
              <w:jc w:val="center"/>
              <w:rPr>
                <w:rFonts w:ascii="宋体" w:hAnsi="宋体" w:cs="宋体"/>
                <w:sz w:val="24"/>
              </w:rPr>
            </w:pPr>
            <w:r>
              <w:rPr>
                <w:rFonts w:hint="eastAsia" w:ascii="宋体" w:hAnsi="宋体" w:cs="宋体"/>
                <w:sz w:val="24"/>
              </w:rPr>
              <w:t>202</w:t>
            </w:r>
            <w:r>
              <w:rPr>
                <w:rFonts w:ascii="宋体" w:hAnsi="宋体" w:cs="宋体"/>
                <w:sz w:val="24"/>
              </w:rPr>
              <w:t>6</w:t>
            </w:r>
            <w:r>
              <w:rPr>
                <w:rFonts w:hint="eastAsia" w:ascii="宋体" w:hAnsi="宋体" w:cs="宋体"/>
                <w:sz w:val="24"/>
              </w:rPr>
              <w:t>年</w:t>
            </w:r>
            <w:r>
              <w:rPr>
                <w:rFonts w:ascii="宋体" w:hAnsi="宋体" w:cs="宋体"/>
                <w:sz w:val="24"/>
              </w:rPr>
              <w:t>6</w:t>
            </w:r>
            <w:r>
              <w:rPr>
                <w:rFonts w:hint="eastAsia" w:ascii="宋体" w:hAnsi="宋体" w:cs="宋体"/>
                <w:sz w:val="24"/>
              </w:rPr>
              <w:t>月</w:t>
            </w:r>
          </w:p>
        </w:tc>
      </w:tr>
      <w:tr w14:paraId="2477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9229" w:type="dxa"/>
            <w:gridSpan w:val="4"/>
            <w:tcBorders>
              <w:tl2br w:val="nil"/>
              <w:tr2bl w:val="nil"/>
            </w:tcBorders>
            <w:shd w:val="clear" w:color="auto" w:fill="FFFFFF"/>
            <w:vAlign w:val="center"/>
          </w:tcPr>
          <w:p w14:paraId="5299A41F">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评价人员</w:t>
            </w:r>
          </w:p>
        </w:tc>
      </w:tr>
      <w:tr w14:paraId="6184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190B2DC7">
            <w:pPr>
              <w:jc w:val="center"/>
              <w:rPr>
                <w:rFonts w:ascii="宋体" w:hAnsi="宋体" w:cs="宋体"/>
                <w:sz w:val="24"/>
              </w:rPr>
            </w:pPr>
          </w:p>
        </w:tc>
        <w:tc>
          <w:tcPr>
            <w:tcW w:w="1237" w:type="dxa"/>
            <w:tcBorders>
              <w:tl2br w:val="nil"/>
              <w:tr2bl w:val="nil"/>
            </w:tcBorders>
            <w:shd w:val="clear" w:color="auto" w:fill="FFFFFF"/>
            <w:vAlign w:val="center"/>
          </w:tcPr>
          <w:p w14:paraId="101F9D09">
            <w:pPr>
              <w:widowControl/>
              <w:spacing w:after="150"/>
              <w:jc w:val="center"/>
              <w:rPr>
                <w:rFonts w:ascii="宋体" w:hAnsi="宋体" w:cs="宋体"/>
                <w:sz w:val="24"/>
              </w:rPr>
            </w:pPr>
            <w:r>
              <w:rPr>
                <w:rFonts w:hint="eastAsia" w:ascii="宋体" w:hAnsi="宋体" w:cs="宋体"/>
                <w:kern w:val="0"/>
                <w:sz w:val="24"/>
                <w:shd w:val="clear" w:color="auto" w:fill="FFFFFF"/>
              </w:rPr>
              <w:t>姓名</w:t>
            </w:r>
          </w:p>
        </w:tc>
        <w:tc>
          <w:tcPr>
            <w:tcW w:w="4803" w:type="dxa"/>
            <w:tcBorders>
              <w:tl2br w:val="nil"/>
              <w:tr2bl w:val="nil"/>
            </w:tcBorders>
            <w:shd w:val="clear" w:color="auto" w:fill="FFFFFF"/>
            <w:vAlign w:val="center"/>
          </w:tcPr>
          <w:p w14:paraId="698BE64B">
            <w:pPr>
              <w:widowControl/>
              <w:spacing w:after="150"/>
              <w:jc w:val="center"/>
              <w:rPr>
                <w:rFonts w:ascii="宋体" w:hAnsi="宋体" w:cs="宋体"/>
                <w:sz w:val="24"/>
              </w:rPr>
            </w:pPr>
            <w:r>
              <w:rPr>
                <w:rFonts w:hint="eastAsia" w:ascii="宋体" w:hAnsi="宋体" w:cs="宋体"/>
                <w:kern w:val="0"/>
                <w:sz w:val="24"/>
                <w:shd w:val="clear" w:color="auto" w:fill="FFFFFF"/>
              </w:rPr>
              <w:t>资格证书号</w:t>
            </w:r>
          </w:p>
        </w:tc>
        <w:tc>
          <w:tcPr>
            <w:tcW w:w="2115" w:type="dxa"/>
            <w:tcBorders>
              <w:tl2br w:val="nil"/>
              <w:tr2bl w:val="nil"/>
            </w:tcBorders>
            <w:shd w:val="clear" w:color="auto" w:fill="FFFFFF"/>
            <w:vAlign w:val="center"/>
          </w:tcPr>
          <w:p w14:paraId="3A845CCA">
            <w:pPr>
              <w:widowControl/>
              <w:spacing w:after="150"/>
              <w:jc w:val="center"/>
              <w:rPr>
                <w:rFonts w:ascii="宋体" w:hAnsi="宋体" w:cs="宋体"/>
                <w:sz w:val="24"/>
              </w:rPr>
            </w:pPr>
            <w:r>
              <w:rPr>
                <w:rFonts w:hint="eastAsia" w:ascii="宋体" w:hAnsi="宋体" w:cs="宋体"/>
                <w:kern w:val="0"/>
                <w:sz w:val="24"/>
                <w:shd w:val="clear" w:color="auto" w:fill="FFFFFF"/>
              </w:rPr>
              <w:t>从业号</w:t>
            </w:r>
          </w:p>
        </w:tc>
      </w:tr>
      <w:tr w14:paraId="6365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32" w:hRule="atLeast"/>
          <w:jc w:val="center"/>
        </w:trPr>
        <w:tc>
          <w:tcPr>
            <w:tcW w:w="1074" w:type="dxa"/>
            <w:tcBorders>
              <w:tl2br w:val="nil"/>
              <w:tr2bl w:val="nil"/>
            </w:tcBorders>
            <w:shd w:val="clear" w:color="auto" w:fill="FFFFFF"/>
            <w:vAlign w:val="center"/>
          </w:tcPr>
          <w:p w14:paraId="12167D4B">
            <w:pPr>
              <w:jc w:val="center"/>
              <w:rPr>
                <w:rFonts w:ascii="宋体" w:hAnsi="宋体" w:cs="宋体"/>
                <w:sz w:val="24"/>
              </w:rPr>
            </w:pPr>
            <w:r>
              <w:rPr>
                <w:rFonts w:hint="eastAsia" w:ascii="宋体" w:hAnsi="宋体" w:cs="宋体"/>
                <w:sz w:val="24"/>
              </w:rPr>
              <w:t>项目负责人</w:t>
            </w:r>
          </w:p>
        </w:tc>
        <w:tc>
          <w:tcPr>
            <w:tcW w:w="1237" w:type="dxa"/>
            <w:tcBorders>
              <w:tl2br w:val="nil"/>
              <w:tr2bl w:val="nil"/>
            </w:tcBorders>
            <w:shd w:val="clear" w:color="auto" w:fill="FFFFFF"/>
            <w:vAlign w:val="center"/>
          </w:tcPr>
          <w:p w14:paraId="38C40783">
            <w:pPr>
              <w:jc w:val="center"/>
              <w:rPr>
                <w:rFonts w:ascii="宋体" w:hAnsi="宋体" w:cs="宋体"/>
                <w:sz w:val="24"/>
              </w:rPr>
            </w:pPr>
            <w:r>
              <w:rPr>
                <w:rFonts w:hint="eastAsia" w:ascii="宋体" w:hAnsi="宋体" w:cs="宋体"/>
                <w:sz w:val="24"/>
              </w:rPr>
              <w:t>徐顺星</w:t>
            </w:r>
          </w:p>
        </w:tc>
        <w:tc>
          <w:tcPr>
            <w:tcW w:w="4803" w:type="dxa"/>
            <w:tcBorders>
              <w:tl2br w:val="nil"/>
              <w:tr2bl w:val="nil"/>
            </w:tcBorders>
            <w:shd w:val="clear" w:color="auto" w:fill="FFFFFF"/>
            <w:vAlign w:val="center"/>
          </w:tcPr>
          <w:p w14:paraId="371509CD">
            <w:pPr>
              <w:jc w:val="center"/>
              <w:rPr>
                <w:rFonts w:ascii="宋体" w:hAnsi="宋体" w:cs="宋体"/>
                <w:sz w:val="24"/>
              </w:rPr>
            </w:pPr>
            <w:r>
              <w:rPr>
                <w:rFonts w:hint="eastAsia" w:ascii="宋体" w:hAnsi="宋体" w:cs="宋体"/>
                <w:sz w:val="24"/>
              </w:rPr>
              <w:t>S011041000110192002229</w:t>
            </w:r>
          </w:p>
        </w:tc>
        <w:tc>
          <w:tcPr>
            <w:tcW w:w="2115" w:type="dxa"/>
            <w:tcBorders>
              <w:tl2br w:val="nil"/>
              <w:tr2bl w:val="nil"/>
            </w:tcBorders>
            <w:shd w:val="clear" w:color="auto" w:fill="FFFFFF"/>
            <w:vAlign w:val="center"/>
          </w:tcPr>
          <w:p w14:paraId="7969ED24">
            <w:pPr>
              <w:widowControl/>
              <w:jc w:val="center"/>
              <w:rPr>
                <w:rFonts w:ascii="宋体" w:hAnsi="宋体" w:cs="宋体"/>
                <w:sz w:val="24"/>
              </w:rPr>
            </w:pPr>
            <w:r>
              <w:rPr>
                <w:rFonts w:hint="eastAsia" w:ascii="宋体" w:hAnsi="宋体" w:cs="宋体"/>
                <w:sz w:val="24"/>
              </w:rPr>
              <w:t>018803</w:t>
            </w:r>
          </w:p>
        </w:tc>
      </w:tr>
      <w:tr w14:paraId="471B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9" w:hRule="atLeast"/>
          <w:jc w:val="center"/>
        </w:trPr>
        <w:tc>
          <w:tcPr>
            <w:tcW w:w="1074" w:type="dxa"/>
            <w:vMerge w:val="restart"/>
            <w:tcBorders>
              <w:tl2br w:val="nil"/>
              <w:tr2bl w:val="nil"/>
            </w:tcBorders>
            <w:shd w:val="clear" w:color="auto" w:fill="FFFFFF"/>
            <w:vAlign w:val="center"/>
          </w:tcPr>
          <w:p w14:paraId="75B7E808">
            <w:pPr>
              <w:jc w:val="center"/>
              <w:rPr>
                <w:rFonts w:ascii="宋体" w:hAnsi="宋体" w:cs="宋体"/>
                <w:sz w:val="24"/>
              </w:rPr>
            </w:pPr>
            <w:r>
              <w:rPr>
                <w:rFonts w:hint="eastAsia" w:ascii="宋体" w:hAnsi="宋体" w:cs="宋体"/>
                <w:sz w:val="24"/>
              </w:rPr>
              <w:t>项目组成员</w:t>
            </w:r>
          </w:p>
        </w:tc>
        <w:tc>
          <w:tcPr>
            <w:tcW w:w="1237" w:type="dxa"/>
            <w:tcBorders>
              <w:tl2br w:val="nil"/>
              <w:tr2bl w:val="nil"/>
            </w:tcBorders>
            <w:shd w:val="clear" w:color="auto" w:fill="FFFFFF"/>
            <w:vAlign w:val="center"/>
          </w:tcPr>
          <w:p w14:paraId="4A339887">
            <w:pPr>
              <w:jc w:val="center"/>
              <w:rPr>
                <w:rFonts w:ascii="宋体" w:hAnsi="宋体" w:cs="宋体"/>
                <w:sz w:val="24"/>
              </w:rPr>
            </w:pPr>
            <w:r>
              <w:rPr>
                <w:rFonts w:hint="eastAsia" w:ascii="宋体" w:hAnsi="宋体" w:cs="宋体"/>
                <w:sz w:val="24"/>
              </w:rPr>
              <w:t>乔贯德</w:t>
            </w:r>
          </w:p>
        </w:tc>
        <w:tc>
          <w:tcPr>
            <w:tcW w:w="4803" w:type="dxa"/>
            <w:tcBorders>
              <w:tl2br w:val="nil"/>
              <w:tr2bl w:val="nil"/>
            </w:tcBorders>
            <w:shd w:val="clear" w:color="auto" w:fill="FFFFFF"/>
            <w:vAlign w:val="center"/>
          </w:tcPr>
          <w:p w14:paraId="06125248">
            <w:pPr>
              <w:jc w:val="center"/>
              <w:rPr>
                <w:rFonts w:ascii="宋体" w:hAnsi="宋体" w:cs="宋体"/>
                <w:sz w:val="24"/>
              </w:rPr>
            </w:pPr>
            <w:r>
              <w:rPr>
                <w:rFonts w:hint="eastAsia" w:ascii="宋体" w:hAnsi="宋体" w:cs="宋体"/>
                <w:sz w:val="24"/>
              </w:rPr>
              <w:t>1700000000300087</w:t>
            </w:r>
          </w:p>
        </w:tc>
        <w:tc>
          <w:tcPr>
            <w:tcW w:w="2115" w:type="dxa"/>
            <w:tcBorders>
              <w:tl2br w:val="nil"/>
              <w:tr2bl w:val="nil"/>
            </w:tcBorders>
            <w:shd w:val="clear" w:color="auto" w:fill="FFFFFF"/>
            <w:vAlign w:val="center"/>
          </w:tcPr>
          <w:p w14:paraId="1EC2CCB8">
            <w:pPr>
              <w:jc w:val="center"/>
              <w:rPr>
                <w:rFonts w:ascii="宋体" w:hAnsi="宋体" w:cs="宋体"/>
                <w:sz w:val="24"/>
              </w:rPr>
            </w:pPr>
            <w:r>
              <w:rPr>
                <w:rFonts w:hint="eastAsia" w:ascii="宋体" w:hAnsi="宋体" w:cs="宋体"/>
                <w:sz w:val="24"/>
              </w:rPr>
              <w:t>030797</w:t>
            </w:r>
          </w:p>
        </w:tc>
      </w:tr>
      <w:tr w14:paraId="19D8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vMerge w:val="continue"/>
            <w:tcBorders>
              <w:tl2br w:val="nil"/>
              <w:tr2bl w:val="nil"/>
            </w:tcBorders>
            <w:shd w:val="clear" w:color="auto" w:fill="FFFFFF"/>
            <w:vAlign w:val="center"/>
          </w:tcPr>
          <w:p w14:paraId="0014F364">
            <w:pPr>
              <w:jc w:val="center"/>
              <w:rPr>
                <w:rFonts w:ascii="宋体" w:hAnsi="宋体" w:cs="宋体"/>
                <w:sz w:val="24"/>
              </w:rPr>
            </w:pPr>
          </w:p>
        </w:tc>
        <w:tc>
          <w:tcPr>
            <w:tcW w:w="1237" w:type="dxa"/>
            <w:tcBorders>
              <w:tl2br w:val="nil"/>
              <w:tr2bl w:val="nil"/>
            </w:tcBorders>
            <w:shd w:val="clear" w:color="auto" w:fill="FFFFFF"/>
            <w:vAlign w:val="center"/>
          </w:tcPr>
          <w:p w14:paraId="56D3E2EB">
            <w:pPr>
              <w:jc w:val="center"/>
              <w:rPr>
                <w:rFonts w:ascii="宋体" w:hAnsi="宋体" w:cs="宋体"/>
                <w:sz w:val="24"/>
              </w:rPr>
            </w:pPr>
            <w:r>
              <w:rPr>
                <w:rFonts w:hint="eastAsia" w:ascii="宋体" w:hAnsi="宋体" w:cs="宋体"/>
                <w:sz w:val="24"/>
              </w:rPr>
              <w:t>于志勇</w:t>
            </w:r>
          </w:p>
        </w:tc>
        <w:tc>
          <w:tcPr>
            <w:tcW w:w="4803" w:type="dxa"/>
            <w:tcBorders>
              <w:tl2br w:val="nil"/>
              <w:tr2bl w:val="nil"/>
            </w:tcBorders>
            <w:shd w:val="clear" w:color="auto" w:fill="FFFFFF"/>
            <w:vAlign w:val="center"/>
          </w:tcPr>
          <w:p w14:paraId="7CC64D0B">
            <w:pPr>
              <w:jc w:val="center"/>
              <w:rPr>
                <w:rFonts w:ascii="宋体" w:hAnsi="宋体" w:cs="宋体"/>
                <w:sz w:val="24"/>
              </w:rPr>
            </w:pPr>
            <w:r>
              <w:rPr>
                <w:rFonts w:hint="eastAsia" w:ascii="宋体" w:hAnsi="宋体" w:cs="宋体"/>
                <w:sz w:val="24"/>
              </w:rPr>
              <w:t>2014033230330000003310230030</w:t>
            </w:r>
          </w:p>
        </w:tc>
        <w:tc>
          <w:tcPr>
            <w:tcW w:w="2115" w:type="dxa"/>
            <w:tcBorders>
              <w:tl2br w:val="nil"/>
              <w:tr2bl w:val="nil"/>
            </w:tcBorders>
            <w:shd w:val="clear" w:color="auto" w:fill="FFFFFF"/>
            <w:vAlign w:val="center"/>
          </w:tcPr>
          <w:p w14:paraId="3FFBEE5C">
            <w:pPr>
              <w:jc w:val="center"/>
              <w:rPr>
                <w:rFonts w:ascii="宋体" w:hAnsi="宋体" w:cs="宋体"/>
                <w:sz w:val="24"/>
              </w:rPr>
            </w:pPr>
            <w:r>
              <w:rPr>
                <w:rFonts w:hint="eastAsia" w:ascii="宋体" w:hAnsi="宋体" w:cs="宋体"/>
                <w:sz w:val="24"/>
              </w:rPr>
              <w:t>51190209624</w:t>
            </w:r>
          </w:p>
        </w:tc>
      </w:tr>
      <w:tr w14:paraId="4243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vMerge w:val="continue"/>
            <w:tcBorders>
              <w:tl2br w:val="nil"/>
              <w:tr2bl w:val="nil"/>
            </w:tcBorders>
            <w:shd w:val="clear" w:color="auto" w:fill="FFFFFF"/>
            <w:vAlign w:val="center"/>
          </w:tcPr>
          <w:p w14:paraId="5EFDCDB9">
            <w:pPr>
              <w:jc w:val="center"/>
              <w:rPr>
                <w:rFonts w:ascii="宋体" w:hAnsi="宋体" w:cs="宋体"/>
                <w:sz w:val="24"/>
              </w:rPr>
            </w:pPr>
          </w:p>
        </w:tc>
        <w:tc>
          <w:tcPr>
            <w:tcW w:w="1237" w:type="dxa"/>
            <w:tcBorders>
              <w:tl2br w:val="nil"/>
              <w:tr2bl w:val="nil"/>
            </w:tcBorders>
            <w:shd w:val="clear" w:color="auto" w:fill="FFFFFF"/>
            <w:vAlign w:val="center"/>
          </w:tcPr>
          <w:p w14:paraId="07EB7EC9">
            <w:pPr>
              <w:jc w:val="center"/>
              <w:rPr>
                <w:rFonts w:ascii="宋体" w:hAnsi="宋体" w:cs="宋体"/>
                <w:sz w:val="24"/>
              </w:rPr>
            </w:pPr>
            <w:r>
              <w:rPr>
                <w:rFonts w:hint="eastAsia" w:ascii="宋体" w:hAnsi="宋体" w:cs="宋体"/>
                <w:sz w:val="24"/>
              </w:rPr>
              <w:t>程冬红</w:t>
            </w:r>
          </w:p>
        </w:tc>
        <w:tc>
          <w:tcPr>
            <w:tcW w:w="4803" w:type="dxa"/>
            <w:tcBorders>
              <w:tl2br w:val="nil"/>
              <w:tr2bl w:val="nil"/>
            </w:tcBorders>
            <w:shd w:val="clear" w:color="auto" w:fill="FFFFFF"/>
            <w:vAlign w:val="center"/>
          </w:tcPr>
          <w:p w14:paraId="58E44EA5">
            <w:pPr>
              <w:jc w:val="center"/>
              <w:rPr>
                <w:rFonts w:ascii="宋体" w:hAnsi="宋体" w:cs="宋体"/>
                <w:sz w:val="24"/>
              </w:rPr>
            </w:pPr>
            <w:r>
              <w:rPr>
                <w:rFonts w:hint="eastAsia" w:ascii="宋体" w:hAnsi="宋体" w:cs="宋体"/>
                <w:sz w:val="24"/>
              </w:rPr>
              <w:t>1500000000301714</w:t>
            </w:r>
          </w:p>
        </w:tc>
        <w:tc>
          <w:tcPr>
            <w:tcW w:w="2115" w:type="dxa"/>
            <w:tcBorders>
              <w:tl2br w:val="nil"/>
              <w:tr2bl w:val="nil"/>
            </w:tcBorders>
            <w:shd w:val="clear" w:color="auto" w:fill="FFFFFF"/>
            <w:vAlign w:val="center"/>
          </w:tcPr>
          <w:p w14:paraId="0F1A3A9A">
            <w:pPr>
              <w:jc w:val="center"/>
              <w:rPr>
                <w:rFonts w:ascii="宋体" w:hAnsi="宋体" w:cs="宋体"/>
                <w:sz w:val="24"/>
              </w:rPr>
            </w:pPr>
            <w:r>
              <w:rPr>
                <w:rFonts w:hint="eastAsia" w:ascii="宋体" w:hAnsi="宋体" w:cs="宋体"/>
                <w:sz w:val="24"/>
              </w:rPr>
              <w:t>026812</w:t>
            </w:r>
          </w:p>
        </w:tc>
      </w:tr>
      <w:tr w14:paraId="4F14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vMerge w:val="continue"/>
            <w:tcBorders>
              <w:tl2br w:val="nil"/>
              <w:tr2bl w:val="nil"/>
            </w:tcBorders>
            <w:shd w:val="clear" w:color="auto" w:fill="FFFFFF"/>
            <w:vAlign w:val="center"/>
          </w:tcPr>
          <w:p w14:paraId="22B2ACB7">
            <w:pPr>
              <w:jc w:val="center"/>
              <w:rPr>
                <w:rFonts w:ascii="宋体" w:hAnsi="宋体" w:cs="宋体"/>
                <w:sz w:val="24"/>
              </w:rPr>
            </w:pPr>
          </w:p>
        </w:tc>
        <w:tc>
          <w:tcPr>
            <w:tcW w:w="1237" w:type="dxa"/>
            <w:tcBorders>
              <w:tl2br w:val="nil"/>
              <w:tr2bl w:val="nil"/>
            </w:tcBorders>
            <w:shd w:val="clear" w:color="auto" w:fill="FFFFFF"/>
            <w:vAlign w:val="center"/>
          </w:tcPr>
          <w:p w14:paraId="47F987DF">
            <w:pPr>
              <w:jc w:val="center"/>
              <w:rPr>
                <w:rFonts w:ascii="宋体" w:hAnsi="宋体" w:cs="宋体"/>
                <w:sz w:val="24"/>
              </w:rPr>
            </w:pPr>
            <w:r>
              <w:rPr>
                <w:rFonts w:hint="eastAsia" w:ascii="宋体" w:hAnsi="宋体" w:cs="宋体"/>
                <w:sz w:val="24"/>
              </w:rPr>
              <w:t>刘二平</w:t>
            </w:r>
          </w:p>
        </w:tc>
        <w:tc>
          <w:tcPr>
            <w:tcW w:w="4803" w:type="dxa"/>
            <w:tcBorders>
              <w:tl2br w:val="nil"/>
              <w:tr2bl w:val="nil"/>
            </w:tcBorders>
            <w:shd w:val="clear" w:color="auto" w:fill="FFFFFF"/>
            <w:vAlign w:val="center"/>
          </w:tcPr>
          <w:p w14:paraId="01443A6F">
            <w:pPr>
              <w:jc w:val="center"/>
              <w:rPr>
                <w:rFonts w:ascii="宋体" w:hAnsi="宋体" w:cs="宋体"/>
                <w:sz w:val="24"/>
              </w:rPr>
            </w:pPr>
            <w:r>
              <w:rPr>
                <w:rFonts w:hint="eastAsia" w:ascii="宋体" w:hAnsi="宋体" w:cs="宋体"/>
                <w:sz w:val="24"/>
              </w:rPr>
              <w:t>03320241036000000887</w:t>
            </w:r>
          </w:p>
        </w:tc>
        <w:tc>
          <w:tcPr>
            <w:tcW w:w="2115" w:type="dxa"/>
            <w:tcBorders>
              <w:tl2br w:val="nil"/>
              <w:tr2bl w:val="nil"/>
            </w:tcBorders>
            <w:shd w:val="clear" w:color="auto" w:fill="FFFFFF"/>
            <w:vAlign w:val="center"/>
          </w:tcPr>
          <w:p w14:paraId="58806C41">
            <w:pPr>
              <w:jc w:val="center"/>
              <w:rPr>
                <w:rFonts w:ascii="宋体" w:hAnsi="宋体" w:cs="宋体"/>
                <w:sz w:val="24"/>
              </w:rPr>
            </w:pPr>
            <w:r>
              <w:rPr>
                <w:rFonts w:hint="eastAsia" w:ascii="宋体" w:hAnsi="宋体" w:cs="宋体"/>
                <w:sz w:val="24"/>
              </w:rPr>
              <w:t>37250438462</w:t>
            </w:r>
          </w:p>
        </w:tc>
      </w:tr>
      <w:tr w14:paraId="6A5F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783F8BDA">
            <w:pPr>
              <w:widowControl/>
              <w:spacing w:after="150"/>
              <w:jc w:val="center"/>
              <w:rPr>
                <w:rFonts w:ascii="宋体" w:hAnsi="宋体" w:cs="宋体"/>
                <w:sz w:val="24"/>
              </w:rPr>
            </w:pPr>
            <w:r>
              <w:rPr>
                <w:rFonts w:hint="eastAsia" w:ascii="宋体" w:hAnsi="宋体" w:cs="宋体"/>
                <w:kern w:val="0"/>
                <w:sz w:val="24"/>
                <w:shd w:val="clear" w:color="auto" w:fill="FFFFFF"/>
              </w:rPr>
              <w:t>技术专家</w:t>
            </w:r>
          </w:p>
        </w:tc>
        <w:tc>
          <w:tcPr>
            <w:tcW w:w="8155" w:type="dxa"/>
            <w:gridSpan w:val="3"/>
            <w:tcBorders>
              <w:tl2br w:val="nil"/>
              <w:tr2bl w:val="nil"/>
            </w:tcBorders>
            <w:shd w:val="clear" w:color="auto" w:fill="FFFFFF"/>
            <w:vAlign w:val="center"/>
          </w:tcPr>
          <w:p w14:paraId="15DBFEC2">
            <w:pPr>
              <w:jc w:val="center"/>
              <w:rPr>
                <w:rFonts w:ascii="宋体" w:hAnsi="宋体" w:cs="宋体"/>
                <w:sz w:val="24"/>
              </w:rPr>
            </w:pPr>
            <w:r>
              <w:rPr>
                <w:rFonts w:hint="eastAsia" w:ascii="宋体" w:hAnsi="宋体" w:cs="宋体"/>
                <w:sz w:val="24"/>
              </w:rPr>
              <w:t>/</w:t>
            </w:r>
          </w:p>
        </w:tc>
      </w:tr>
      <w:tr w14:paraId="124F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50" w:hRule="atLeast"/>
          <w:jc w:val="center"/>
        </w:trPr>
        <w:tc>
          <w:tcPr>
            <w:tcW w:w="1074" w:type="dxa"/>
            <w:tcBorders>
              <w:tl2br w:val="nil"/>
              <w:tr2bl w:val="nil"/>
            </w:tcBorders>
            <w:shd w:val="clear" w:color="auto" w:fill="FFFFFF"/>
            <w:vAlign w:val="center"/>
          </w:tcPr>
          <w:p w14:paraId="53266B2D">
            <w:pPr>
              <w:widowControl/>
              <w:spacing w:after="150"/>
              <w:jc w:val="center"/>
              <w:rPr>
                <w:rFonts w:ascii="宋体" w:hAnsi="宋体" w:cs="宋体"/>
                <w:sz w:val="24"/>
              </w:rPr>
            </w:pPr>
            <w:r>
              <w:rPr>
                <w:rFonts w:hint="eastAsia" w:ascii="宋体" w:hAnsi="宋体" w:cs="宋体"/>
                <w:kern w:val="0"/>
                <w:sz w:val="24"/>
                <w:shd w:val="clear" w:color="auto" w:fill="FFFFFF"/>
              </w:rPr>
              <w:t>现场勘察人员及时间</w:t>
            </w:r>
          </w:p>
        </w:tc>
        <w:tc>
          <w:tcPr>
            <w:tcW w:w="8155" w:type="dxa"/>
            <w:gridSpan w:val="3"/>
            <w:tcBorders>
              <w:tl2br w:val="nil"/>
              <w:tr2bl w:val="nil"/>
            </w:tcBorders>
            <w:shd w:val="clear" w:color="auto" w:fill="FFFFFF"/>
            <w:vAlign w:val="center"/>
          </w:tcPr>
          <w:p w14:paraId="70DFB675">
            <w:pPr>
              <w:widowControl/>
              <w:spacing w:after="150"/>
              <w:jc w:val="center"/>
              <w:rPr>
                <w:rFonts w:ascii="Times New Roman" w:hAnsi="Times New Roman"/>
                <w:sz w:val="24"/>
              </w:rPr>
            </w:pPr>
            <w:r>
              <w:rPr>
                <w:rFonts w:hint="eastAsia" w:ascii="Times New Roman" w:hAnsi="Times New Roman"/>
                <w:sz w:val="24"/>
              </w:rPr>
              <w:t>徐顺星</w:t>
            </w:r>
            <w:r>
              <w:rPr>
                <w:rFonts w:hint="eastAsia"/>
                <w:color w:val="000000"/>
                <w:sz w:val="24"/>
              </w:rPr>
              <w:t>、</w:t>
            </w:r>
            <w:r>
              <w:rPr>
                <w:rFonts w:hint="eastAsia" w:ascii="宋体" w:hAnsi="宋体" w:cs="宋体"/>
                <w:sz w:val="24"/>
              </w:rPr>
              <w:t>乔贯德</w:t>
            </w:r>
            <w:r>
              <w:rPr>
                <w:rFonts w:hint="eastAsia"/>
                <w:sz w:val="24"/>
              </w:rPr>
              <w:t>202</w:t>
            </w:r>
            <w:r>
              <w:rPr>
                <w:sz w:val="24"/>
              </w:rPr>
              <w:t>6</w:t>
            </w:r>
            <w:r>
              <w:rPr>
                <w:rFonts w:hint="eastAsia"/>
                <w:sz w:val="24"/>
              </w:rPr>
              <w:t>.</w:t>
            </w:r>
            <w:r>
              <w:rPr>
                <w:sz w:val="24"/>
              </w:rPr>
              <w:t>5</w:t>
            </w:r>
            <w:r>
              <w:rPr>
                <w:rFonts w:hint="eastAsia"/>
                <w:sz w:val="24"/>
              </w:rPr>
              <w:t>.</w:t>
            </w:r>
            <w:r>
              <w:rPr>
                <w:sz w:val="24"/>
              </w:rPr>
              <w:t>8</w:t>
            </w:r>
          </w:p>
        </w:tc>
      </w:tr>
      <w:tr w14:paraId="69D6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61" w:hRule="atLeast"/>
          <w:jc w:val="center"/>
        </w:trPr>
        <w:tc>
          <w:tcPr>
            <w:tcW w:w="1074" w:type="dxa"/>
            <w:tcBorders>
              <w:tl2br w:val="nil"/>
              <w:tr2bl w:val="nil"/>
            </w:tcBorders>
            <w:shd w:val="clear" w:color="auto" w:fill="FFFFFF"/>
            <w:vAlign w:val="center"/>
          </w:tcPr>
          <w:p w14:paraId="22054619">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现场核查的人员和时间</w:t>
            </w:r>
          </w:p>
        </w:tc>
        <w:tc>
          <w:tcPr>
            <w:tcW w:w="8155" w:type="dxa"/>
            <w:gridSpan w:val="3"/>
            <w:tcBorders>
              <w:tl2br w:val="nil"/>
              <w:tr2bl w:val="nil"/>
            </w:tcBorders>
            <w:shd w:val="clear" w:color="auto" w:fill="FFFFFF"/>
            <w:vAlign w:val="center"/>
          </w:tcPr>
          <w:p w14:paraId="6AA3EA0E">
            <w:pPr>
              <w:widowControl/>
              <w:spacing w:after="150"/>
              <w:jc w:val="center"/>
              <w:rPr>
                <w:rFonts w:ascii="Times New Roman" w:hAnsi="Times New Roman"/>
                <w:color w:val="FF0000"/>
                <w:sz w:val="24"/>
              </w:rPr>
            </w:pPr>
            <w:r>
              <w:rPr>
                <w:rFonts w:hint="eastAsia" w:ascii="Times New Roman" w:hAnsi="Times New Roman"/>
                <w:sz w:val="24"/>
              </w:rPr>
              <w:t>徐顺星</w:t>
            </w:r>
            <w:r>
              <w:rPr>
                <w:rFonts w:hint="eastAsia"/>
                <w:color w:val="000000"/>
                <w:sz w:val="24"/>
              </w:rPr>
              <w:t>、</w:t>
            </w:r>
            <w:r>
              <w:rPr>
                <w:rFonts w:hint="eastAsia" w:ascii="宋体" w:hAnsi="宋体" w:cs="宋体"/>
                <w:sz w:val="24"/>
              </w:rPr>
              <w:t>乔贯德</w:t>
            </w:r>
            <w:r>
              <w:rPr>
                <w:rFonts w:hint="eastAsia"/>
                <w:sz w:val="24"/>
              </w:rPr>
              <w:t>202</w:t>
            </w:r>
            <w:r>
              <w:rPr>
                <w:sz w:val="24"/>
              </w:rPr>
              <w:t>6</w:t>
            </w:r>
            <w:r>
              <w:rPr>
                <w:rFonts w:hint="eastAsia"/>
                <w:sz w:val="24"/>
              </w:rPr>
              <w:t>.</w:t>
            </w:r>
            <w:r>
              <w:rPr>
                <w:sz w:val="24"/>
              </w:rPr>
              <w:t>6</w:t>
            </w:r>
            <w:r>
              <w:rPr>
                <w:rFonts w:hint="eastAsia"/>
                <w:sz w:val="24"/>
              </w:rPr>
              <w:t>.</w:t>
            </w:r>
            <w:r>
              <w:rPr>
                <w:sz w:val="24"/>
              </w:rPr>
              <w:t>20</w:t>
            </w:r>
          </w:p>
        </w:tc>
      </w:tr>
      <w:tr w14:paraId="0549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28490734">
            <w:pPr>
              <w:widowControl/>
              <w:spacing w:after="150"/>
              <w:jc w:val="center"/>
              <w:rPr>
                <w:rFonts w:ascii="宋体" w:hAnsi="宋体" w:cs="宋体"/>
                <w:sz w:val="24"/>
              </w:rPr>
            </w:pPr>
            <w:r>
              <w:rPr>
                <w:rFonts w:hint="eastAsia" w:ascii="宋体" w:hAnsi="宋体" w:cs="宋体"/>
                <w:kern w:val="0"/>
                <w:sz w:val="24"/>
                <w:shd w:val="clear" w:color="auto" w:fill="FFFFFF"/>
              </w:rPr>
              <w:t>项目简介</w:t>
            </w:r>
          </w:p>
        </w:tc>
        <w:tc>
          <w:tcPr>
            <w:tcW w:w="8155" w:type="dxa"/>
            <w:gridSpan w:val="3"/>
            <w:tcBorders>
              <w:tl2br w:val="nil"/>
              <w:tr2bl w:val="nil"/>
            </w:tcBorders>
            <w:shd w:val="clear" w:color="auto" w:fill="FFFFFF"/>
          </w:tcPr>
          <w:p w14:paraId="473ADD39">
            <w:pPr>
              <w:ind w:firstLine="560"/>
              <w:rPr>
                <w:snapToGrid w:val="0"/>
              </w:rPr>
            </w:pPr>
            <w:r>
              <w:rPr>
                <w:rFonts w:hint="eastAsia"/>
                <w:snapToGrid w:val="0"/>
              </w:rPr>
              <w:t>江西草珊瑚消毒用品股份有限公司（以下简称“该公司”）是一家专业从事开发生产与销售人体皮肤粘膜、环境、医疗器械等消毒用品一体化的高新企业。位于江西省南昌市南昌县小蓝经济开发区金沙二路989号，成立于2002年9月12日，注册资本2188万元，法定代表人周贵保，企业类型为股份有限公司（非上市、自然人投资或控股），经营范围：液体消毒剂（净化）、（液体、凝胶）、消毒剂（洗手用）、用于测定化学消毒剂浓度的化学指示物、液体抗（抑）菌制剂（净化）的生产；第Ⅰ类医疗器械、第Ⅱ类医疗器械、塑料制品的生产；玻璃仪器、办公用品、电子产品、建筑材料的销售；卫生用品和一次性使用医疗用品生产；卫生用品和一次性使用医疗用品销售；第一类医疗器械销售；第二类医疗器械销售；日用化学产品销售；日用化学产品制造（依法须经批准的项目，经相关部门批准后方可开展经营活动）。</w:t>
            </w:r>
          </w:p>
          <w:p w14:paraId="5B4929A6">
            <w:pPr>
              <w:ind w:firstLine="560"/>
              <w:rPr>
                <w:snapToGrid w:val="0"/>
              </w:rPr>
            </w:pPr>
            <w:r>
              <w:rPr>
                <w:rFonts w:hint="eastAsia"/>
                <w:snapToGrid w:val="0"/>
              </w:rPr>
              <w:t>江西草珊瑚消毒用品股份有限公司于2023年</w:t>
            </w:r>
            <w:r>
              <w:rPr>
                <w:snapToGrid w:val="0"/>
              </w:rPr>
              <w:t>8</w:t>
            </w:r>
            <w:r>
              <w:rPr>
                <w:rFonts w:hint="eastAsia"/>
                <w:snapToGrid w:val="0"/>
              </w:rPr>
              <w:t>月</w:t>
            </w:r>
            <w:r>
              <w:rPr>
                <w:snapToGrid w:val="0"/>
              </w:rPr>
              <w:t>22</w:t>
            </w:r>
            <w:r>
              <w:rPr>
                <w:rFonts w:hint="eastAsia"/>
                <w:snapToGrid w:val="0"/>
              </w:rPr>
              <w:t>日取得由南昌市应急管理局颁发的《危险化学品经营许可证》，证书编号：赣洪应急经（甲） [2023]000</w:t>
            </w:r>
            <w:r>
              <w:rPr>
                <w:snapToGrid w:val="0"/>
              </w:rPr>
              <w:t>82</w:t>
            </w:r>
            <w:r>
              <w:rPr>
                <w:rFonts w:hint="eastAsia"/>
                <w:snapToGrid w:val="0"/>
              </w:rPr>
              <w:t>号，许可范围：乙醇、次氯酸钠溶液、过氧化氢消毒液、戊二醛消毒液、来苏尔、碘伏、新洁尔灭，经营方式为批发、零售，有效期为2023年</w:t>
            </w:r>
            <w:r>
              <w:rPr>
                <w:snapToGrid w:val="0"/>
              </w:rPr>
              <w:t>8</w:t>
            </w:r>
            <w:r>
              <w:rPr>
                <w:rFonts w:hint="eastAsia"/>
                <w:snapToGrid w:val="0"/>
              </w:rPr>
              <w:t>月</w:t>
            </w:r>
            <w:r>
              <w:rPr>
                <w:snapToGrid w:val="0"/>
              </w:rPr>
              <w:t>23</w:t>
            </w:r>
            <w:r>
              <w:rPr>
                <w:rFonts w:hint="eastAsia"/>
                <w:snapToGrid w:val="0"/>
              </w:rPr>
              <w:t>日至2026年</w:t>
            </w:r>
            <w:r>
              <w:rPr>
                <w:snapToGrid w:val="0"/>
              </w:rPr>
              <w:t>8</w:t>
            </w:r>
            <w:r>
              <w:rPr>
                <w:rFonts w:hint="eastAsia"/>
                <w:snapToGrid w:val="0"/>
              </w:rPr>
              <w:t>月</w:t>
            </w:r>
            <w:r>
              <w:rPr>
                <w:snapToGrid w:val="0"/>
              </w:rPr>
              <w:t>22</w:t>
            </w:r>
            <w:r>
              <w:rPr>
                <w:rFonts w:hint="eastAsia"/>
                <w:snapToGrid w:val="0"/>
              </w:rPr>
              <w:t>日。</w:t>
            </w:r>
          </w:p>
          <w:p w14:paraId="2E205942">
            <w:pPr>
              <w:ind w:firstLine="560"/>
              <w:rPr>
                <w:rFonts w:hint="eastAsia"/>
                <w:snapToGrid w:val="0"/>
              </w:rPr>
            </w:pPr>
            <w:r>
              <w:rPr>
                <w:rFonts w:hint="eastAsia"/>
                <w:snapToGrid w:val="0"/>
              </w:rPr>
              <w:t>根据《中华人民共和国安全生产法》（2021年主席令第88号修正）、《危险化学品安全管理条例》（国务院令第591号、第645号修正）、《危险化学品经营许可证管理办法》（安监总局令第55号、第79号修正）等的要求：危险化学品经营许可证有效期为3年，有效期满后，经营单位继续从事危险化学品经营活动的，应当在经营许可证有效期前向发证机关提出换证申请。</w:t>
            </w:r>
          </w:p>
        </w:tc>
      </w:tr>
      <w:tr w14:paraId="626C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0637D8BD">
            <w:pPr>
              <w:widowControl/>
              <w:spacing w:after="150"/>
              <w:jc w:val="center"/>
            </w:pPr>
            <w:r>
              <w:rPr>
                <w:rFonts w:hint="eastAsia"/>
                <w:sz w:val="24"/>
              </w:rPr>
              <w:t>工艺流程</w:t>
            </w:r>
          </w:p>
        </w:tc>
        <w:tc>
          <w:tcPr>
            <w:tcW w:w="8155" w:type="dxa"/>
            <w:gridSpan w:val="3"/>
            <w:tcBorders>
              <w:tl2br w:val="nil"/>
              <w:tr2bl w:val="nil"/>
            </w:tcBorders>
            <w:shd w:val="clear" w:color="auto" w:fill="FFFFFF"/>
          </w:tcPr>
          <w:p w14:paraId="2EB9FF43">
            <w:pPr>
              <w:ind w:firstLine="560"/>
              <w:rPr>
                <w:snapToGrid w:val="0"/>
              </w:rPr>
            </w:pPr>
            <w:r>
              <w:rPr>
                <w:rFonts w:hint="eastAsia"/>
                <w:snapToGrid w:val="0"/>
              </w:rPr>
              <w:t>一、84消毒液生产工艺流程</w:t>
            </w:r>
          </w:p>
          <w:p w14:paraId="18B3DB8D">
            <w:pPr>
              <w:ind w:firstLine="560"/>
              <w:rPr>
                <w:snapToGrid w:val="0"/>
              </w:rPr>
            </w:pPr>
            <w:r>
              <w:rPr>
                <w:rFonts w:hint="eastAsia"/>
                <w:snapToGrid w:val="0"/>
              </w:rPr>
              <w:t>（1）先将十二烷基苯磺酸钠和十二烷基磺酸钠按10%溶液配制沉降，待用。</w:t>
            </w:r>
          </w:p>
          <w:p w14:paraId="419F2258">
            <w:pPr>
              <w:ind w:firstLine="560"/>
              <w:rPr>
                <w:snapToGrid w:val="0"/>
              </w:rPr>
            </w:pPr>
            <w:r>
              <w:rPr>
                <w:rFonts w:hint="eastAsia"/>
                <w:snapToGrid w:val="0"/>
              </w:rPr>
              <w:t>（2）将沉降澄清的十二烷基苯磺酸钠和十二烷基磺酸钠按投料量加入配料槽中，加适量去离子水，搅拌均匀。 </w:t>
            </w:r>
          </w:p>
          <w:p w14:paraId="10D40D37">
            <w:pPr>
              <w:ind w:firstLine="560"/>
              <w:rPr>
                <w:snapToGrid w:val="0"/>
              </w:rPr>
            </w:pPr>
            <w:r>
              <w:rPr>
                <w:rFonts w:hint="eastAsia"/>
                <w:snapToGrid w:val="0"/>
              </w:rPr>
              <w:t>（3）将次氯酸钠按配方比例缓缓加入以上混合液中，边加边搅拌，使其混匀，并打捞出悬浮物，直至较为清亮，静置12小时后，取样化验合格后进行过滤分装。 </w:t>
            </w:r>
          </w:p>
          <w:p w14:paraId="5179A4DC">
            <w:pPr>
              <w:ind w:firstLine="560"/>
              <w:rPr>
                <w:snapToGrid w:val="0"/>
              </w:rPr>
            </w:pPr>
            <w:r>
              <w:rPr>
                <w:rFonts w:hint="eastAsia"/>
                <w:snapToGrid w:val="0"/>
              </w:rPr>
              <w:t>（4）按出厂要求进行项目检验，检验合格后，按卫生条件要求，进行过滤、分装、封口、贴签。成品检验合格后，装箱入库。</w:t>
            </w:r>
          </w:p>
          <w:p w14:paraId="08EF9D25">
            <w:pPr>
              <w:ind w:firstLine="560"/>
              <w:rPr>
                <w:snapToGrid w:val="0"/>
              </w:rPr>
            </w:pPr>
            <w:r>
              <w:rPr>
                <w:rFonts w:hint="eastAsia"/>
                <w:snapToGrid w:val="0"/>
              </w:rPr>
              <w:t>（5）该生产过程仅为物理搅拌过程，不涉及化学反应。</w:t>
            </w:r>
          </w:p>
          <w:p w14:paraId="1A5F75BD">
            <w:pPr>
              <w:ind w:firstLine="560"/>
              <w:rPr>
                <w:snapToGrid w:val="0"/>
              </w:rPr>
            </w:pPr>
            <w:r>
              <w:rPr>
                <w:rFonts w:hint="eastAsia"/>
                <w:snapToGrid w:val="0"/>
              </w:rPr>
              <w:t>二、戊二醛消毒液生产工艺流程</w:t>
            </w:r>
          </w:p>
          <w:p w14:paraId="59767629">
            <w:pPr>
              <w:ind w:firstLine="560"/>
              <w:rPr>
                <w:snapToGrid w:val="0"/>
              </w:rPr>
            </w:pPr>
            <w:r>
              <w:rPr>
                <w:rFonts w:hint="eastAsia"/>
                <w:snapToGrid w:val="0"/>
              </w:rPr>
              <w:t>（1）先加入配方量的平平加，再加水升温、搅拌溶解备用。 </w:t>
            </w:r>
          </w:p>
          <w:p w14:paraId="55EE4897">
            <w:pPr>
              <w:ind w:firstLine="560"/>
              <w:rPr>
                <w:snapToGrid w:val="0"/>
              </w:rPr>
            </w:pPr>
            <w:r>
              <w:rPr>
                <w:rFonts w:hint="eastAsia"/>
                <w:snapToGrid w:val="0"/>
              </w:rPr>
              <w:t>（2）向</w:t>
            </w:r>
            <w:r>
              <w:rPr>
                <w:snapToGrid w:val="0"/>
              </w:rPr>
              <w:t>配料桶</w:t>
            </w:r>
            <w:r>
              <w:rPr>
                <w:rFonts w:hint="eastAsia"/>
                <w:snapToGrid w:val="0"/>
              </w:rPr>
              <w:t>加去离子水、戊二醛，使搅拌均匀将溶解的平平加缓缓加入，搅拌均匀，静置。 </w:t>
            </w:r>
          </w:p>
          <w:p w14:paraId="1FFA16C5">
            <w:pPr>
              <w:ind w:firstLine="560"/>
              <w:rPr>
                <w:snapToGrid w:val="0"/>
              </w:rPr>
            </w:pPr>
            <w:r>
              <w:rPr>
                <w:rFonts w:hint="eastAsia"/>
                <w:snapToGrid w:val="0"/>
              </w:rPr>
              <w:t>（3）接出厂要求进行项目检验，检验合格后，按卫生条件要求，进行过滤、封口、贴标签。成品检验合格后，装箱入库。</w:t>
            </w:r>
          </w:p>
          <w:p w14:paraId="0FA123A6">
            <w:pPr>
              <w:ind w:firstLine="560"/>
              <w:rPr>
                <w:snapToGrid w:val="0"/>
              </w:rPr>
            </w:pPr>
            <w:r>
              <w:rPr>
                <w:rFonts w:hint="eastAsia"/>
                <w:snapToGrid w:val="0"/>
              </w:rPr>
              <w:t>（4）该生产过程仅为物理搅拌过程，不涉及化学反应。</w:t>
            </w:r>
          </w:p>
          <w:p w14:paraId="45DA4C37">
            <w:pPr>
              <w:ind w:firstLine="560"/>
              <w:rPr>
                <w:snapToGrid w:val="0"/>
              </w:rPr>
            </w:pPr>
            <w:r>
              <w:rPr>
                <w:rFonts w:hint="eastAsia"/>
                <w:snapToGrid w:val="0"/>
              </w:rPr>
              <w:t>三、过氧化氢消毒液生产工艺流程</w:t>
            </w:r>
          </w:p>
          <w:p w14:paraId="6CAB18BA">
            <w:pPr>
              <w:ind w:firstLine="560"/>
              <w:rPr>
                <w:snapToGrid w:val="0"/>
              </w:rPr>
            </w:pPr>
            <w:r>
              <w:rPr>
                <w:rFonts w:hint="eastAsia"/>
                <w:snapToGrid w:val="0"/>
              </w:rPr>
              <w:t>（1）先在配料槽中加入部分去离子水，在搅拌下缓缓加入浓过氧化氢，搅拌片刻再加入剩余部分的水及柠檬酸直至搅拌均匀。静置，化验。</w:t>
            </w:r>
          </w:p>
          <w:p w14:paraId="5B8B3C57">
            <w:pPr>
              <w:ind w:firstLine="560"/>
              <w:rPr>
                <w:snapToGrid w:val="0"/>
              </w:rPr>
            </w:pPr>
            <w:r>
              <w:rPr>
                <w:rFonts w:hint="eastAsia"/>
                <w:snapToGrid w:val="0"/>
              </w:rPr>
              <w:t>（2）接出厂检验项目，进行检验，合格后，按卫生条件分装程序，进行过滤、灌装、拧盖、贴标签，成品检验合格装箱入库。 </w:t>
            </w:r>
          </w:p>
          <w:p w14:paraId="6D9A84CE">
            <w:pPr>
              <w:ind w:firstLine="560"/>
              <w:rPr>
                <w:snapToGrid w:val="0"/>
              </w:rPr>
            </w:pPr>
            <w:r>
              <w:rPr>
                <w:rFonts w:hint="eastAsia"/>
                <w:snapToGrid w:val="0"/>
              </w:rPr>
              <w:t>（3）该生产过程仅为物理搅拌过程，不涉及化学反应。</w:t>
            </w:r>
          </w:p>
          <w:p w14:paraId="3A3F0F29">
            <w:pPr>
              <w:ind w:firstLine="560"/>
              <w:rPr>
                <w:snapToGrid w:val="0"/>
              </w:rPr>
            </w:pPr>
            <w:r>
              <w:rPr>
                <w:rFonts w:hint="eastAsia"/>
                <w:snapToGrid w:val="0"/>
              </w:rPr>
              <w:t>四、碘伏消毒液生产工艺流程</w:t>
            </w:r>
          </w:p>
          <w:p w14:paraId="61706BBD">
            <w:pPr>
              <w:ind w:firstLine="560"/>
              <w:rPr>
                <w:snapToGrid w:val="0"/>
              </w:rPr>
            </w:pPr>
            <w:r>
              <w:rPr>
                <w:rFonts w:hint="eastAsia"/>
                <w:snapToGrid w:val="0"/>
              </w:rPr>
              <w:t>（1）将碘和助溶剂搅拌使其将碘溶解（溶液1），另加平平加和去离子水，利用设备配套的电加热设施加温溶解（溶液2）。将溶液2加入配料槽，并加水搅拌均匀。将溶液1慢慢倒入配料槽中，边加边搅拌，直至均匀。再将十二烷基苯磺酸钠加入并搅拌均匀，即可。 </w:t>
            </w:r>
          </w:p>
          <w:p w14:paraId="76BDA7AD">
            <w:pPr>
              <w:ind w:firstLine="560"/>
              <w:rPr>
                <w:rFonts w:hint="eastAsia"/>
                <w:snapToGrid w:val="0"/>
              </w:rPr>
            </w:pPr>
            <w:r>
              <w:rPr>
                <w:rFonts w:hint="eastAsia"/>
                <w:snapToGrid w:val="0"/>
              </w:rPr>
              <w:t>（2）按出厂要求进行项目检验，检验合格后，按卫生条件要求，进行过滤、分装、封口、贴签。成品检验合格后，装箱入库。</w:t>
            </w:r>
          </w:p>
        </w:tc>
      </w:tr>
      <w:tr w14:paraId="0B16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6050F406">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被评价单位信息反馈情况</w:t>
            </w:r>
          </w:p>
        </w:tc>
        <w:tc>
          <w:tcPr>
            <w:tcW w:w="8155" w:type="dxa"/>
            <w:gridSpan w:val="3"/>
            <w:tcBorders>
              <w:tl2br w:val="nil"/>
              <w:tr2bl w:val="nil"/>
            </w:tcBorders>
            <w:shd w:val="clear" w:color="auto" w:fill="FFFFFF"/>
            <w:vAlign w:val="center"/>
          </w:tcPr>
          <w:p w14:paraId="3C2CFD95">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满意</w:t>
            </w:r>
          </w:p>
        </w:tc>
      </w:tr>
    </w:tbl>
    <w:p w14:paraId="4700760B">
      <w:r>
        <w:rPr>
          <w:rFonts w:hint="eastAsia"/>
        </w:rPr>
        <w:br w:type="page"/>
      </w:r>
    </w:p>
    <w:p w14:paraId="146F7176">
      <w:r>
        <w:drawing>
          <wp:inline distT="0" distB="0" distL="0" distR="0">
            <wp:extent cx="5308600" cy="3981450"/>
            <wp:effectExtent l="0" t="0" r="6350" b="0"/>
            <wp:docPr id="1" name="图片 1" descr="D:\桌面\江西草珊瑚消毒用品股份有限公司\江西分公司-化工-江西草珊瑚消毒用品股份有限公司安全现状评价报告-修改稿\出版法定报告需要有的资料\1、现场照片\2现场考察1，2026年5月8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桌面\江西草珊瑚消毒用品股份有限公司\江西分公司-化工-江西草珊瑚消毒用品股份有限公司安全现状评价报告-修改稿\出版法定报告需要有的资料\1、现场照片\2现场考察1，2026年5月8日.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310353" cy="3982765"/>
                    </a:xfrm>
                    <a:prstGeom prst="rect">
                      <a:avLst/>
                    </a:prstGeom>
                    <a:noFill/>
                    <a:ln>
                      <a:noFill/>
                    </a:ln>
                  </pic:spPr>
                </pic:pic>
              </a:graphicData>
            </a:graphic>
          </wp:inline>
        </w:drawing>
      </w:r>
    </w:p>
    <w:p w14:paraId="7BF2D510"/>
    <w:p w14:paraId="737328E5">
      <w:r>
        <w:drawing>
          <wp:inline distT="0" distB="0" distL="0" distR="0">
            <wp:extent cx="5322570" cy="3991610"/>
            <wp:effectExtent l="0" t="0" r="0" b="8890"/>
            <wp:docPr id="2" name="图片 2" descr="D:\桌面\江西草珊瑚消毒用品股份有限公司\江西分公司-化工-江西草珊瑚消毒用品股份有限公司安全现状评价报告-修改稿\出版法定报告需要有的资料\1、现场照片\2现场考察3，2026年5月8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桌面\江西草珊瑚消毒用品股份有限公司\江西分公司-化工-江西草珊瑚消毒用品股份有限公司安全现状评价报告-修改稿\出版法定报告需要有的资料\1、现场照片\2现场考察3，2026年5月8日.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326801" cy="3995100"/>
                    </a:xfrm>
                    <a:prstGeom prst="rect">
                      <a:avLst/>
                    </a:prstGeom>
                    <a:noFill/>
                    <a:ln>
                      <a:noFill/>
                    </a:ln>
                  </pic:spPr>
                </pic:pic>
              </a:graphicData>
            </a:graphic>
          </wp:inline>
        </w:drawing>
      </w:r>
    </w:p>
    <w:p w14:paraId="03258D1F"/>
    <w:p w14:paraId="204B21AE"/>
    <w:p w14:paraId="7C0BF982"/>
    <w:p w14:paraId="51AB5850">
      <w:r>
        <w:drawing>
          <wp:inline distT="0" distB="0" distL="0" distR="0">
            <wp:extent cx="5185410" cy="7336155"/>
            <wp:effectExtent l="0" t="0" r="0" b="0"/>
            <wp:docPr id="4" name="图片 4" descr="E:\xwechat_files\pxb2003_5210\temp\InputTemp\8a768d16-1eac-4baa-9632-41dcfecabf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xwechat_files\pxb2003_5210\temp\InputTemp\8a768d16-1eac-4baa-9632-41dcfecabf3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96725" cy="7351756"/>
                    </a:xfrm>
                    <a:prstGeom prst="rect">
                      <a:avLst/>
                    </a:prstGeom>
                    <a:noFill/>
                    <a:ln>
                      <a:noFill/>
                    </a:ln>
                  </pic:spPr>
                </pic:pic>
              </a:graphicData>
            </a:graphic>
          </wp:inline>
        </w:drawing>
      </w:r>
    </w:p>
    <w:p w14:paraId="4143AA11"/>
    <w:p w14:paraId="5985F1C4"/>
    <w:p w14:paraId="3356B9CE">
      <w:bookmarkStart w:id="0" w:name="_GoBack"/>
      <w:bookmarkEnd w:id="0"/>
    </w:p>
    <w:p w14:paraId="002CA5D0">
      <w:r>
        <w:drawing>
          <wp:inline distT="0" distB="0" distL="0" distR="0">
            <wp:extent cx="5332095" cy="7495540"/>
            <wp:effectExtent l="0" t="0" r="1905" b="0"/>
            <wp:docPr id="5" name="图片 5" descr="E:\xwechat_files\pxb2003_5210\temp\InputTemp\3ef02122-ba2a-470e-ac7c-835c476b05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xwechat_files\pxb2003_5210\temp\InputTemp\3ef02122-ba2a-470e-ac7c-835c476b05f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338150" cy="7504022"/>
                    </a:xfrm>
                    <a:prstGeom prst="rect">
                      <a:avLst/>
                    </a:prstGeom>
                    <a:noFill/>
                    <a:ln>
                      <a:noFill/>
                    </a:ln>
                  </pic:spPr>
                </pic:pic>
              </a:graphicData>
            </a:graphic>
          </wp:inline>
        </w:drawing>
      </w:r>
    </w:p>
    <w:p w14:paraId="138D326C">
      <w:r>
        <w:drawing>
          <wp:inline distT="0" distB="0" distL="0" distR="0">
            <wp:extent cx="5277485" cy="7442200"/>
            <wp:effectExtent l="0" t="0" r="18415" b="6350"/>
            <wp:docPr id="3" name="图片 3" descr="E:\xwechat_files\pxb2003_5210\temp\InputTemp\e5794211-9dc2-4cad-8877-83d648938a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xwechat_files\pxb2003_5210\temp\InputTemp\e5794211-9dc2-4cad-8877-83d648938a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82549" cy="7449221"/>
                    </a:xfrm>
                    <a:prstGeom prst="rect">
                      <a:avLst/>
                    </a:prstGeom>
                    <a:noFill/>
                    <a:ln>
                      <a:noFill/>
                    </a:ln>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679C0"/>
    <w:multiLevelType w:val="singleLevel"/>
    <w:tmpl w:val="850679C0"/>
    <w:lvl w:ilvl="0" w:tentative="0">
      <w:start w:val="1"/>
      <w:numFmt w:val="decimal"/>
      <w:pStyle w:val="47"/>
      <w:suff w:val="nothing"/>
      <w:lvlText w:val="%1）"/>
      <w:lvlJc w:val="left"/>
      <w:pPr>
        <w:tabs>
          <w:tab w:val="left" w:pos="312"/>
        </w:tabs>
      </w:pPr>
      <w:rPr>
        <w:rFonts w:hint="default" w:ascii="Times New Roman" w:hAnsi="Times New Roman" w:eastAsia="宋体" w:cs="Times New Roman"/>
        <w:sz w:val="24"/>
        <w:szCs w:val="24"/>
      </w:rPr>
    </w:lvl>
  </w:abstractNum>
  <w:abstractNum w:abstractNumId="1">
    <w:nsid w:val="00000008"/>
    <w:multiLevelType w:val="singleLevel"/>
    <w:tmpl w:val="00000008"/>
    <w:lvl w:ilvl="0" w:tentative="0">
      <w:start w:val="1"/>
      <w:numFmt w:val="bullet"/>
      <w:pStyle w:val="48"/>
      <w:lvlText w:val=""/>
      <w:lvlJc w:val="left"/>
      <w:pPr>
        <w:tabs>
          <w:tab w:val="left" w:pos="425"/>
        </w:tabs>
        <w:ind w:left="425" w:hanging="425"/>
      </w:pPr>
      <w:rPr>
        <w:rFonts w:hint="default" w:ascii="Wingdings" w:hAnsi="Wingdings"/>
      </w:rPr>
    </w:lvl>
  </w:abstractNum>
  <w:abstractNum w:abstractNumId="2">
    <w:nsid w:val="5183855F"/>
    <w:multiLevelType w:val="singleLevel"/>
    <w:tmpl w:val="5183855F"/>
    <w:lvl w:ilvl="0" w:tentative="0">
      <w:start w:val="1"/>
      <w:numFmt w:val="chineseCounting"/>
      <w:pStyle w:val="42"/>
      <w:suff w:val="nothing"/>
      <w:lvlText w:val="%1、"/>
      <w:lvlJc w:val="left"/>
      <w:pPr>
        <w:ind w:left="0" w:firstLine="42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1YmJhMTRkMGU2NWU2MjE0YWI5MWU2ODcxNDk2YTgifQ=="/>
    <w:docVar w:name="KSO_WPS_MARK_KEY" w:val="f0c94484-18bf-41d0-a894-232196517eb0"/>
  </w:docVars>
  <w:rsids>
    <w:rsidRoot w:val="00E3751A"/>
    <w:rsid w:val="00047227"/>
    <w:rsid w:val="00194B7C"/>
    <w:rsid w:val="002012A2"/>
    <w:rsid w:val="00276DFC"/>
    <w:rsid w:val="00303C12"/>
    <w:rsid w:val="003A7C06"/>
    <w:rsid w:val="004105EC"/>
    <w:rsid w:val="004340C8"/>
    <w:rsid w:val="00443349"/>
    <w:rsid w:val="004D1AF7"/>
    <w:rsid w:val="005858BE"/>
    <w:rsid w:val="005C0CB5"/>
    <w:rsid w:val="00727066"/>
    <w:rsid w:val="00756850"/>
    <w:rsid w:val="00787BD2"/>
    <w:rsid w:val="007A2261"/>
    <w:rsid w:val="007C3A9A"/>
    <w:rsid w:val="00802085"/>
    <w:rsid w:val="008057A5"/>
    <w:rsid w:val="0087702C"/>
    <w:rsid w:val="008F01AE"/>
    <w:rsid w:val="00905C33"/>
    <w:rsid w:val="009570B9"/>
    <w:rsid w:val="009A19ED"/>
    <w:rsid w:val="00A51DA5"/>
    <w:rsid w:val="00A67C73"/>
    <w:rsid w:val="00AD0362"/>
    <w:rsid w:val="00BB2173"/>
    <w:rsid w:val="00C341C7"/>
    <w:rsid w:val="00C65B3D"/>
    <w:rsid w:val="00C75118"/>
    <w:rsid w:val="00C82162"/>
    <w:rsid w:val="00CA7067"/>
    <w:rsid w:val="00CA7F9C"/>
    <w:rsid w:val="00D40559"/>
    <w:rsid w:val="00D93BC0"/>
    <w:rsid w:val="00D950DC"/>
    <w:rsid w:val="00DC02DE"/>
    <w:rsid w:val="00E3751A"/>
    <w:rsid w:val="00E95F3C"/>
    <w:rsid w:val="00F46A10"/>
    <w:rsid w:val="00F60933"/>
    <w:rsid w:val="00FA6A84"/>
    <w:rsid w:val="00FB3048"/>
    <w:rsid w:val="00FF47EE"/>
    <w:rsid w:val="01381A2C"/>
    <w:rsid w:val="030516AD"/>
    <w:rsid w:val="03463A74"/>
    <w:rsid w:val="03A1635F"/>
    <w:rsid w:val="03C37305"/>
    <w:rsid w:val="04334FFF"/>
    <w:rsid w:val="04543719"/>
    <w:rsid w:val="045937F4"/>
    <w:rsid w:val="04664971"/>
    <w:rsid w:val="04714B20"/>
    <w:rsid w:val="04D11406"/>
    <w:rsid w:val="04E23328"/>
    <w:rsid w:val="050505ED"/>
    <w:rsid w:val="06007F0A"/>
    <w:rsid w:val="062E2CC9"/>
    <w:rsid w:val="06567547"/>
    <w:rsid w:val="06EF6353"/>
    <w:rsid w:val="07D32EB9"/>
    <w:rsid w:val="07E46E00"/>
    <w:rsid w:val="0814540D"/>
    <w:rsid w:val="08300409"/>
    <w:rsid w:val="08302FF8"/>
    <w:rsid w:val="0845254C"/>
    <w:rsid w:val="08E81855"/>
    <w:rsid w:val="08ED0200"/>
    <w:rsid w:val="0946657C"/>
    <w:rsid w:val="096769A3"/>
    <w:rsid w:val="096F1B10"/>
    <w:rsid w:val="09806C85"/>
    <w:rsid w:val="09A37E9F"/>
    <w:rsid w:val="0A0E1339"/>
    <w:rsid w:val="0A173A74"/>
    <w:rsid w:val="0A4F7A65"/>
    <w:rsid w:val="0BC750FD"/>
    <w:rsid w:val="0C370800"/>
    <w:rsid w:val="0D073DB5"/>
    <w:rsid w:val="0D081033"/>
    <w:rsid w:val="0E564C35"/>
    <w:rsid w:val="0EC817E1"/>
    <w:rsid w:val="0F1C6141"/>
    <w:rsid w:val="0FE07C54"/>
    <w:rsid w:val="0FFD1618"/>
    <w:rsid w:val="10806817"/>
    <w:rsid w:val="10A546BD"/>
    <w:rsid w:val="10AD0B5D"/>
    <w:rsid w:val="10AE1BD9"/>
    <w:rsid w:val="10D96D50"/>
    <w:rsid w:val="11BA5E99"/>
    <w:rsid w:val="13337B71"/>
    <w:rsid w:val="13FA1B12"/>
    <w:rsid w:val="141C622E"/>
    <w:rsid w:val="14732EA1"/>
    <w:rsid w:val="147F5532"/>
    <w:rsid w:val="14D001B2"/>
    <w:rsid w:val="156C314D"/>
    <w:rsid w:val="15CB68F5"/>
    <w:rsid w:val="16B10157"/>
    <w:rsid w:val="172B1294"/>
    <w:rsid w:val="17505468"/>
    <w:rsid w:val="1752433D"/>
    <w:rsid w:val="17550DB0"/>
    <w:rsid w:val="17810296"/>
    <w:rsid w:val="17C601C4"/>
    <w:rsid w:val="18301429"/>
    <w:rsid w:val="18351C95"/>
    <w:rsid w:val="188D103C"/>
    <w:rsid w:val="190E35A0"/>
    <w:rsid w:val="191A70DD"/>
    <w:rsid w:val="19992B53"/>
    <w:rsid w:val="19CE23A1"/>
    <w:rsid w:val="19D014C8"/>
    <w:rsid w:val="19F45335"/>
    <w:rsid w:val="1A330456"/>
    <w:rsid w:val="1A4E76A5"/>
    <w:rsid w:val="1ADA1B6B"/>
    <w:rsid w:val="1B63147C"/>
    <w:rsid w:val="1C3244B8"/>
    <w:rsid w:val="1C461987"/>
    <w:rsid w:val="1C4B6410"/>
    <w:rsid w:val="1C67088B"/>
    <w:rsid w:val="1C970306"/>
    <w:rsid w:val="1CD13F56"/>
    <w:rsid w:val="1CD14F1F"/>
    <w:rsid w:val="1CEA3399"/>
    <w:rsid w:val="1DA60EEB"/>
    <w:rsid w:val="1F0F5E71"/>
    <w:rsid w:val="1F142A61"/>
    <w:rsid w:val="1F373426"/>
    <w:rsid w:val="1F642D26"/>
    <w:rsid w:val="1FAC2BD1"/>
    <w:rsid w:val="1FF45CE7"/>
    <w:rsid w:val="2107263D"/>
    <w:rsid w:val="21313216"/>
    <w:rsid w:val="214C4107"/>
    <w:rsid w:val="21A13C43"/>
    <w:rsid w:val="222E1FA2"/>
    <w:rsid w:val="22366385"/>
    <w:rsid w:val="224031F6"/>
    <w:rsid w:val="2282270A"/>
    <w:rsid w:val="229735F9"/>
    <w:rsid w:val="22AD2D70"/>
    <w:rsid w:val="23532900"/>
    <w:rsid w:val="2359594A"/>
    <w:rsid w:val="237962D0"/>
    <w:rsid w:val="23B37411"/>
    <w:rsid w:val="242E50EF"/>
    <w:rsid w:val="244E33BB"/>
    <w:rsid w:val="24775815"/>
    <w:rsid w:val="24D12D46"/>
    <w:rsid w:val="24FD0CF7"/>
    <w:rsid w:val="25FB3FD9"/>
    <w:rsid w:val="260B2287"/>
    <w:rsid w:val="26134134"/>
    <w:rsid w:val="271635D9"/>
    <w:rsid w:val="27280E94"/>
    <w:rsid w:val="27F61196"/>
    <w:rsid w:val="28814447"/>
    <w:rsid w:val="29283150"/>
    <w:rsid w:val="297A3C20"/>
    <w:rsid w:val="298C1931"/>
    <w:rsid w:val="29925FE1"/>
    <w:rsid w:val="29C972C6"/>
    <w:rsid w:val="2BD9110B"/>
    <w:rsid w:val="2C943DA1"/>
    <w:rsid w:val="2C9D3BC7"/>
    <w:rsid w:val="2CF2686E"/>
    <w:rsid w:val="2E9E272A"/>
    <w:rsid w:val="2EAE6403"/>
    <w:rsid w:val="2F5C124E"/>
    <w:rsid w:val="31055C5A"/>
    <w:rsid w:val="3256187C"/>
    <w:rsid w:val="3259568C"/>
    <w:rsid w:val="32A66941"/>
    <w:rsid w:val="334B2415"/>
    <w:rsid w:val="339918AA"/>
    <w:rsid w:val="33BD2F62"/>
    <w:rsid w:val="33C148CD"/>
    <w:rsid w:val="341F407D"/>
    <w:rsid w:val="34BD4A82"/>
    <w:rsid w:val="351530F3"/>
    <w:rsid w:val="35211925"/>
    <w:rsid w:val="35524794"/>
    <w:rsid w:val="36577381"/>
    <w:rsid w:val="366115C7"/>
    <w:rsid w:val="368F242B"/>
    <w:rsid w:val="37285AB1"/>
    <w:rsid w:val="375C6F30"/>
    <w:rsid w:val="3781684D"/>
    <w:rsid w:val="3823766B"/>
    <w:rsid w:val="396748BA"/>
    <w:rsid w:val="3A751F6D"/>
    <w:rsid w:val="3AB6680E"/>
    <w:rsid w:val="3AD61658"/>
    <w:rsid w:val="3ADD7367"/>
    <w:rsid w:val="3AF50232"/>
    <w:rsid w:val="3B251FB8"/>
    <w:rsid w:val="3B3712DA"/>
    <w:rsid w:val="3B622014"/>
    <w:rsid w:val="3BFC6477"/>
    <w:rsid w:val="3C7D28D5"/>
    <w:rsid w:val="3C9506A5"/>
    <w:rsid w:val="3CE43836"/>
    <w:rsid w:val="3D027FC2"/>
    <w:rsid w:val="3D3D4FC4"/>
    <w:rsid w:val="3D4729D1"/>
    <w:rsid w:val="3DEB4A20"/>
    <w:rsid w:val="3E2D53F7"/>
    <w:rsid w:val="3EB62D94"/>
    <w:rsid w:val="3EEC7F81"/>
    <w:rsid w:val="3F0E1560"/>
    <w:rsid w:val="3FA71C20"/>
    <w:rsid w:val="3FDA2F9E"/>
    <w:rsid w:val="40606FB3"/>
    <w:rsid w:val="408A0869"/>
    <w:rsid w:val="40995D81"/>
    <w:rsid w:val="40DC28F6"/>
    <w:rsid w:val="416C231C"/>
    <w:rsid w:val="41B906C9"/>
    <w:rsid w:val="41C84509"/>
    <w:rsid w:val="421E5E45"/>
    <w:rsid w:val="42305ED2"/>
    <w:rsid w:val="42355182"/>
    <w:rsid w:val="43120BD6"/>
    <w:rsid w:val="43B14016"/>
    <w:rsid w:val="43F50190"/>
    <w:rsid w:val="4432163F"/>
    <w:rsid w:val="44476729"/>
    <w:rsid w:val="4546743F"/>
    <w:rsid w:val="45A13141"/>
    <w:rsid w:val="46966FC2"/>
    <w:rsid w:val="46F56910"/>
    <w:rsid w:val="47EE36B2"/>
    <w:rsid w:val="485E76F8"/>
    <w:rsid w:val="487A531F"/>
    <w:rsid w:val="48AF6D87"/>
    <w:rsid w:val="49CE6C17"/>
    <w:rsid w:val="4A437992"/>
    <w:rsid w:val="4CDE060B"/>
    <w:rsid w:val="4E3D5914"/>
    <w:rsid w:val="4E461B89"/>
    <w:rsid w:val="4F4C1097"/>
    <w:rsid w:val="4F844CD5"/>
    <w:rsid w:val="4FF32FA8"/>
    <w:rsid w:val="50EA0B03"/>
    <w:rsid w:val="512A57AB"/>
    <w:rsid w:val="515A3854"/>
    <w:rsid w:val="5276471A"/>
    <w:rsid w:val="52B20F97"/>
    <w:rsid w:val="52CC47C0"/>
    <w:rsid w:val="52E07D49"/>
    <w:rsid w:val="5374510A"/>
    <w:rsid w:val="53F5005F"/>
    <w:rsid w:val="550C37A2"/>
    <w:rsid w:val="563D2137"/>
    <w:rsid w:val="56836AB2"/>
    <w:rsid w:val="56BC2DE3"/>
    <w:rsid w:val="56D42C4D"/>
    <w:rsid w:val="56EF512A"/>
    <w:rsid w:val="57301D47"/>
    <w:rsid w:val="57487036"/>
    <w:rsid w:val="575D6537"/>
    <w:rsid w:val="57800B40"/>
    <w:rsid w:val="57CD2DFE"/>
    <w:rsid w:val="58244FE5"/>
    <w:rsid w:val="584B13F6"/>
    <w:rsid w:val="59217B49"/>
    <w:rsid w:val="59656964"/>
    <w:rsid w:val="59D926D2"/>
    <w:rsid w:val="5A034680"/>
    <w:rsid w:val="5AA52A54"/>
    <w:rsid w:val="5BC05975"/>
    <w:rsid w:val="5BD743DE"/>
    <w:rsid w:val="5C3A1541"/>
    <w:rsid w:val="5CA15F65"/>
    <w:rsid w:val="5D63281F"/>
    <w:rsid w:val="5D706898"/>
    <w:rsid w:val="5D731EE5"/>
    <w:rsid w:val="5D7C7100"/>
    <w:rsid w:val="5D89238E"/>
    <w:rsid w:val="5D8C28DB"/>
    <w:rsid w:val="5DA30A1C"/>
    <w:rsid w:val="5E1A42E3"/>
    <w:rsid w:val="5E3F6556"/>
    <w:rsid w:val="5E4A7A0E"/>
    <w:rsid w:val="5E8C3C37"/>
    <w:rsid w:val="5EBC6D64"/>
    <w:rsid w:val="5ED03402"/>
    <w:rsid w:val="5F182B4A"/>
    <w:rsid w:val="5FD163AE"/>
    <w:rsid w:val="60057BEA"/>
    <w:rsid w:val="6098413C"/>
    <w:rsid w:val="60B44CEE"/>
    <w:rsid w:val="60B460AF"/>
    <w:rsid w:val="619747AF"/>
    <w:rsid w:val="621C336D"/>
    <w:rsid w:val="629E5C56"/>
    <w:rsid w:val="62A05F08"/>
    <w:rsid w:val="62EA5BC6"/>
    <w:rsid w:val="630737FB"/>
    <w:rsid w:val="63C25DAA"/>
    <w:rsid w:val="64126CC6"/>
    <w:rsid w:val="648F0582"/>
    <w:rsid w:val="64F540D9"/>
    <w:rsid w:val="6559245A"/>
    <w:rsid w:val="65622F6B"/>
    <w:rsid w:val="658C415A"/>
    <w:rsid w:val="65BD6D5B"/>
    <w:rsid w:val="66C53C4A"/>
    <w:rsid w:val="673B297E"/>
    <w:rsid w:val="678F323C"/>
    <w:rsid w:val="67F105D6"/>
    <w:rsid w:val="68233EA0"/>
    <w:rsid w:val="68A30209"/>
    <w:rsid w:val="68C86C57"/>
    <w:rsid w:val="69C2222A"/>
    <w:rsid w:val="6AA57F27"/>
    <w:rsid w:val="6CC37EB5"/>
    <w:rsid w:val="6D1139EB"/>
    <w:rsid w:val="6D3457FF"/>
    <w:rsid w:val="6E0E1EE1"/>
    <w:rsid w:val="6E2A4841"/>
    <w:rsid w:val="6EEF19E2"/>
    <w:rsid w:val="6F3D1DEF"/>
    <w:rsid w:val="6F963F3C"/>
    <w:rsid w:val="6FB940CF"/>
    <w:rsid w:val="6FE54B28"/>
    <w:rsid w:val="71276AD1"/>
    <w:rsid w:val="7160445C"/>
    <w:rsid w:val="71697143"/>
    <w:rsid w:val="716C6A50"/>
    <w:rsid w:val="7207397B"/>
    <w:rsid w:val="729E3A33"/>
    <w:rsid w:val="72C43B37"/>
    <w:rsid w:val="73670AB5"/>
    <w:rsid w:val="737D1DEA"/>
    <w:rsid w:val="748B2EA1"/>
    <w:rsid w:val="74AE0F56"/>
    <w:rsid w:val="76391AC6"/>
    <w:rsid w:val="7672193D"/>
    <w:rsid w:val="770403EE"/>
    <w:rsid w:val="771C50B0"/>
    <w:rsid w:val="771E190D"/>
    <w:rsid w:val="77832F9B"/>
    <w:rsid w:val="77C519A6"/>
    <w:rsid w:val="78063C29"/>
    <w:rsid w:val="784004D1"/>
    <w:rsid w:val="78725E9B"/>
    <w:rsid w:val="7877129B"/>
    <w:rsid w:val="787B0173"/>
    <w:rsid w:val="79302291"/>
    <w:rsid w:val="797D7F1B"/>
    <w:rsid w:val="79F44E86"/>
    <w:rsid w:val="79FE7AE0"/>
    <w:rsid w:val="7A083C89"/>
    <w:rsid w:val="7AA15E8B"/>
    <w:rsid w:val="7B424553"/>
    <w:rsid w:val="7BB96559"/>
    <w:rsid w:val="7C304A31"/>
    <w:rsid w:val="7C6520EB"/>
    <w:rsid w:val="7C85225C"/>
    <w:rsid w:val="7D1943FF"/>
    <w:rsid w:val="7D7347EF"/>
    <w:rsid w:val="7D9B14E2"/>
    <w:rsid w:val="7DB761A8"/>
    <w:rsid w:val="7DD52B5A"/>
    <w:rsid w:val="7E522673"/>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4"/>
    <w:next w:val="1"/>
    <w:qFormat/>
    <w:uiPriority w:val="0"/>
    <w:pPr>
      <w:keepNext/>
      <w:keepLines/>
      <w:snapToGrid w:val="0"/>
      <w:spacing w:beforeLines="50" w:afterLines="50"/>
      <w:outlineLvl w:val="1"/>
    </w:pPr>
    <w:rPr>
      <w:rFonts w:eastAsia="楷体_GB2312" w:cs="MS Gothic"/>
      <w:snapToGrid w:val="0"/>
      <w:kern w:val="0"/>
      <w:sz w:val="32"/>
      <w:szCs w:val="28"/>
    </w:rPr>
  </w:style>
  <w:style w:type="paragraph" w:styleId="4">
    <w:name w:val="heading 3"/>
    <w:basedOn w:val="1"/>
    <w:next w:val="1"/>
    <w:unhideWhenUsed/>
    <w:qFormat/>
    <w:uiPriority w:val="0"/>
    <w:pPr>
      <w:outlineLvl w:val="2"/>
    </w:pPr>
    <w:rPr>
      <w:rFonts w:asciiTheme="majorHAnsi" w:hAnsiTheme="majorHAnsi" w:eastAsiaTheme="majorEastAsia" w:cstheme="majorBidi"/>
      <w:b/>
      <w:bCs/>
      <w:sz w:val="28"/>
      <w:szCs w:val="32"/>
    </w:rPr>
  </w:style>
  <w:style w:type="paragraph" w:styleId="5">
    <w:name w:val="heading 4"/>
    <w:basedOn w:val="1"/>
    <w:next w:val="1"/>
    <w:unhideWhenUsed/>
    <w:qFormat/>
    <w:uiPriority w:val="0"/>
    <w:pPr>
      <w:keepNext/>
      <w:keepLines/>
      <w:outlineLvl w:val="3"/>
    </w:pPr>
    <w:rPr>
      <w:b/>
    </w:rPr>
  </w:style>
  <w:style w:type="character" w:default="1" w:styleId="24">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djustRightInd w:val="0"/>
      <w:spacing w:line="360" w:lineRule="atLeast"/>
      <w:ind w:firstLine="420"/>
      <w:jc w:val="left"/>
      <w:textAlignment w:val="baseline"/>
    </w:pPr>
    <w:rPr>
      <w:rFonts w:eastAsia="仿宋_GB2312"/>
      <w:kern w:val="0"/>
      <w:sz w:val="28"/>
      <w:szCs w:val="20"/>
    </w:rPr>
  </w:style>
  <w:style w:type="paragraph" w:styleId="7">
    <w:name w:val="Body Text"/>
    <w:basedOn w:val="1"/>
    <w:next w:val="1"/>
    <w:qFormat/>
    <w:uiPriority w:val="99"/>
    <w:rPr>
      <w:sz w:val="28"/>
      <w:szCs w:val="28"/>
    </w:rPr>
  </w:style>
  <w:style w:type="paragraph" w:styleId="8">
    <w:name w:val="Body Text Indent"/>
    <w:basedOn w:val="1"/>
    <w:next w:val="7"/>
    <w:unhideWhenUsed/>
    <w:qFormat/>
    <w:uiPriority w:val="99"/>
    <w:pPr>
      <w:spacing w:after="120"/>
      <w:ind w:left="420" w:leftChars="200"/>
    </w:pPr>
  </w:style>
  <w:style w:type="paragraph" w:styleId="9">
    <w:name w:val="toc 5"/>
    <w:basedOn w:val="1"/>
    <w:next w:val="1"/>
    <w:semiHidden/>
    <w:qFormat/>
    <w:uiPriority w:val="0"/>
    <w:pPr>
      <w:ind w:left="1120"/>
      <w:jc w:val="left"/>
    </w:pPr>
    <w:rPr>
      <w:sz w:val="18"/>
      <w:szCs w:val="18"/>
    </w:rPr>
  </w:style>
  <w:style w:type="paragraph" w:styleId="10">
    <w:name w:val="Plain Text"/>
    <w:basedOn w:val="1"/>
    <w:qFormat/>
    <w:uiPriority w:val="0"/>
    <w:rPr>
      <w:rFonts w:ascii="宋体" w:hAnsi="Courier New" w:cs="Courier New"/>
      <w:szCs w:val="21"/>
    </w:rPr>
  </w:style>
  <w:style w:type="paragraph" w:styleId="11">
    <w:name w:val="Date"/>
    <w:basedOn w:val="1"/>
    <w:next w:val="1"/>
    <w:link w:val="46"/>
    <w:qFormat/>
    <w:uiPriority w:val="0"/>
    <w:pPr>
      <w:ind w:left="100" w:leftChars="2500"/>
    </w:pPr>
    <w:rPr>
      <w:rFonts w:ascii="Times New Roman" w:hAnsi="Times New Roman"/>
      <w:b/>
      <w:bCs/>
      <w:sz w:val="28"/>
    </w:rPr>
  </w:style>
  <w:style w:type="paragraph" w:styleId="12">
    <w:name w:val="Body Text Indent 2"/>
    <w:basedOn w:val="1"/>
    <w:qFormat/>
    <w:uiPriority w:val="0"/>
    <w:pPr>
      <w:ind w:firstLine="538" w:firstLineChars="192"/>
    </w:pPr>
    <w:rPr>
      <w:rFonts w:ascii="宋体" w:hAnsi="宋体"/>
      <w:sz w:val="28"/>
    </w:rPr>
  </w:style>
  <w:style w:type="paragraph" w:styleId="13">
    <w:name w:val="Balloon Text"/>
    <w:basedOn w:val="1"/>
    <w:link w:val="32"/>
    <w:qFormat/>
    <w:uiPriority w:val="0"/>
    <w:rPr>
      <w:sz w:val="18"/>
      <w:szCs w:val="18"/>
    </w:rPr>
  </w:style>
  <w:style w:type="paragraph" w:styleId="14">
    <w:name w:val="footer"/>
    <w:basedOn w:val="1"/>
    <w:next w:val="15"/>
    <w:qFormat/>
    <w:uiPriority w:val="0"/>
    <w:pPr>
      <w:tabs>
        <w:tab w:val="center" w:pos="4153"/>
        <w:tab w:val="right" w:pos="8306"/>
      </w:tabs>
      <w:snapToGrid w:val="0"/>
    </w:pPr>
    <w:rPr>
      <w:sz w:val="18"/>
      <w:szCs w:val="18"/>
    </w:rPr>
  </w:style>
  <w:style w:type="paragraph" w:styleId="15">
    <w:name w:val="Normal (Web)"/>
    <w:basedOn w:val="1"/>
    <w:next w:val="16"/>
    <w:qFormat/>
    <w:uiPriority w:val="0"/>
    <w:pPr>
      <w:spacing w:before="100" w:beforeAutospacing="1" w:after="100" w:afterAutospacing="1"/>
      <w:jc w:val="left"/>
    </w:pPr>
    <w:rPr>
      <w:kern w:val="0"/>
      <w:sz w:val="24"/>
    </w:rPr>
  </w:style>
  <w:style w:type="paragraph" w:customStyle="1" w:styleId="16">
    <w:name w:val="toc 84"/>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jc w:val="left"/>
    </w:pPr>
    <w:rPr>
      <w:rFonts w:ascii="宋体"/>
      <w:b/>
      <w:bCs/>
      <w:caps/>
      <w:sz w:val="20"/>
      <w:szCs w:val="20"/>
    </w:rPr>
  </w:style>
  <w:style w:type="paragraph" w:styleId="19">
    <w:name w:val="Body Text Indent 3"/>
    <w:basedOn w:val="1"/>
    <w:qFormat/>
    <w:uiPriority w:val="0"/>
    <w:pPr>
      <w:ind w:firstLine="630"/>
    </w:pPr>
    <w:rPr>
      <w:rFonts w:ascii="Times New Roman" w:hAnsi="Times New Roman" w:eastAsia="仿宋_GB2312"/>
      <w:sz w:val="28"/>
    </w:rPr>
  </w:style>
  <w:style w:type="paragraph" w:styleId="20">
    <w:name w:val="Body Text First Indent"/>
    <w:basedOn w:val="7"/>
    <w:next w:val="1"/>
    <w:qFormat/>
    <w:uiPriority w:val="0"/>
    <w:pPr>
      <w:spacing w:after="120"/>
      <w:ind w:firstLine="420" w:firstLineChars="100"/>
    </w:pPr>
  </w:style>
  <w:style w:type="paragraph" w:styleId="21">
    <w:name w:val="Body Text First Indent 2"/>
    <w:basedOn w:val="8"/>
    <w:next w:val="22"/>
    <w:unhideWhenUsed/>
    <w:qFormat/>
    <w:uiPriority w:val="99"/>
    <w:pPr>
      <w:ind w:firstLine="420" w:firstLineChars="200"/>
    </w:pPr>
  </w:style>
  <w:style w:type="paragraph" w:customStyle="1" w:styleId="22">
    <w:name w:val="正文2"/>
    <w:basedOn w:val="1"/>
    <w:qFormat/>
    <w:uiPriority w:val="0"/>
    <w:pPr>
      <w:spacing w:line="440" w:lineRule="atLeast"/>
      <w:ind w:firstLine="567"/>
    </w:pPr>
    <w:rPr>
      <w:sz w:val="24"/>
      <w:szCs w:val="20"/>
    </w:rPr>
  </w:style>
  <w:style w:type="paragraph" w:customStyle="1" w:styleId="25">
    <w:name w:val="样式 首行缩进:  2 字符"/>
    <w:basedOn w:val="1"/>
    <w:next w:val="1"/>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26">
    <w:name w:val="Default"/>
    <w:basedOn w:val="27"/>
    <w:next w:val="21"/>
    <w:qFormat/>
    <w:uiPriority w:val="99"/>
    <w:pPr>
      <w:autoSpaceDE w:val="0"/>
      <w:autoSpaceDN w:val="0"/>
    </w:pPr>
    <w:rPr>
      <w:rFonts w:hint="eastAsia" w:ascii="宋体"/>
      <w:sz w:val="24"/>
    </w:rPr>
  </w:style>
  <w:style w:type="paragraph" w:customStyle="1" w:styleId="27">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28">
    <w:name w:val="li_正文"/>
    <w:basedOn w:val="1"/>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29">
    <w:name w:val="样式 标题 2"/>
    <w:basedOn w:val="3"/>
    <w:qFormat/>
    <w:uiPriority w:val="0"/>
    <w:pPr>
      <w:spacing w:beforeLines="0" w:afterLines="0"/>
    </w:pPr>
    <w:rPr>
      <w:rFonts w:ascii="Arial" w:hAnsi="Arial" w:eastAsia="宋体" w:cs="宋体"/>
      <w:snapToGrid/>
      <w:kern w:val="2"/>
      <w:szCs w:val="32"/>
      <w:lang w:val="zh-CN"/>
    </w:rPr>
  </w:style>
  <w:style w:type="paragraph" w:customStyle="1" w:styleId="30">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p0"/>
    <w:basedOn w:val="1"/>
    <w:qFormat/>
    <w:uiPriority w:val="0"/>
    <w:pPr>
      <w:widowControl/>
    </w:pPr>
    <w:rPr>
      <w:kern w:val="0"/>
      <w:szCs w:val="21"/>
    </w:rPr>
  </w:style>
  <w:style w:type="character" w:customStyle="1" w:styleId="32">
    <w:name w:val="批注框文本 字符"/>
    <w:basedOn w:val="24"/>
    <w:link w:val="13"/>
    <w:qFormat/>
    <w:uiPriority w:val="0"/>
    <w:rPr>
      <w:rFonts w:ascii="Calibri" w:hAnsi="Calibri"/>
      <w:kern w:val="2"/>
      <w:sz w:val="18"/>
      <w:szCs w:val="18"/>
    </w:rPr>
  </w:style>
  <w:style w:type="paragraph" w:customStyle="1" w:styleId="33">
    <w:name w:val="111"/>
    <w:basedOn w:val="1"/>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34">
    <w:name w:val="表头 Char Char Char"/>
    <w:basedOn w:val="24"/>
    <w:qFormat/>
    <w:uiPriority w:val="0"/>
    <w:rPr>
      <w:rFonts w:ascii="宋体" w:hAnsi="Tahoma" w:eastAsia="宋体"/>
      <w:snapToGrid w:val="0"/>
      <w:spacing w:val="6"/>
      <w:kern w:val="10"/>
      <w:sz w:val="24"/>
    </w:rPr>
  </w:style>
  <w:style w:type="paragraph" w:customStyle="1" w:styleId="35">
    <w:name w:val="表格居中"/>
    <w:basedOn w:val="36"/>
    <w:qFormat/>
    <w:uiPriority w:val="0"/>
    <w:pPr>
      <w:jc w:val="center"/>
    </w:pPr>
  </w:style>
  <w:style w:type="paragraph" w:customStyle="1" w:styleId="36">
    <w:name w:val="表格一"/>
    <w:basedOn w:val="1"/>
    <w:qFormat/>
    <w:uiPriority w:val="0"/>
    <w:pPr>
      <w:autoSpaceDE w:val="0"/>
      <w:autoSpaceDN w:val="0"/>
      <w:adjustRightInd w:val="0"/>
      <w:snapToGrid w:val="0"/>
      <w:spacing w:line="240" w:lineRule="atLeast"/>
      <w:jc w:val="left"/>
    </w:pPr>
    <w:rPr>
      <w:rFonts w:hAnsi="宋体"/>
      <w:color w:val="000000"/>
      <w:kern w:val="1"/>
      <w:szCs w:val="21"/>
    </w:rPr>
  </w:style>
  <w:style w:type="paragraph" w:customStyle="1" w:styleId="37">
    <w:name w:val="伟灿工贸-表格文字"/>
    <w:basedOn w:val="1"/>
    <w:qFormat/>
    <w:uiPriority w:val="0"/>
    <w:pPr>
      <w:jc w:val="center"/>
    </w:pPr>
    <w:rPr>
      <w:rFonts w:hint="eastAsia" w:ascii="宋体" w:hAnsi="宋体" w:cs="宋体"/>
      <w:szCs w:val="21"/>
    </w:rPr>
  </w:style>
  <w:style w:type="paragraph" w:customStyle="1" w:styleId="38">
    <w:name w:val="QQ表正文"/>
    <w:basedOn w:val="1"/>
    <w:qFormat/>
    <w:uiPriority w:val="0"/>
    <w:pPr>
      <w:widowControl/>
      <w:snapToGrid w:val="0"/>
      <w:spacing w:after="120" w:line="520" w:lineRule="exact"/>
      <w:ind w:firstLine="480" w:firstLineChars="200"/>
    </w:pPr>
    <w:rPr>
      <w:rFonts w:ascii="Times New Roman" w:hAnsiTheme="minorHAnsi" w:eastAsiaTheme="minorEastAsia" w:cstheme="minorBidi"/>
      <w:kern w:val="0"/>
      <w:sz w:val="28"/>
      <w:szCs w:val="21"/>
    </w:rPr>
  </w:style>
  <w:style w:type="paragraph" w:customStyle="1" w:styleId="39">
    <w:name w:val="表名、图名"/>
    <w:basedOn w:val="1"/>
    <w:next w:val="1"/>
    <w:qFormat/>
    <w:uiPriority w:val="0"/>
    <w:pPr>
      <w:jc w:val="center"/>
    </w:pPr>
    <w:rPr>
      <w:b/>
      <w:bCs/>
    </w:rPr>
  </w:style>
  <w:style w:type="paragraph" w:customStyle="1" w:styleId="40">
    <w:name w:val="标题 三"/>
    <w:basedOn w:val="1"/>
    <w:qFormat/>
    <w:uiPriority w:val="0"/>
    <w:pPr>
      <w:tabs>
        <w:tab w:val="left" w:pos="3544"/>
      </w:tabs>
      <w:snapToGrid w:val="0"/>
      <w:spacing w:line="360" w:lineRule="auto"/>
      <w:outlineLvl w:val="2"/>
    </w:pPr>
    <w:rPr>
      <w:rFonts w:ascii="宋体" w:hAnsi="宋体"/>
      <w:b/>
      <w:bCs/>
      <w:sz w:val="28"/>
      <w:szCs w:val="28"/>
    </w:rPr>
  </w:style>
  <w:style w:type="paragraph" w:customStyle="1" w:styleId="41">
    <w:name w:val="ENFI正文"/>
    <w:basedOn w:val="1"/>
    <w:qFormat/>
    <w:uiPriority w:val="0"/>
    <w:pPr>
      <w:adjustRightInd w:val="0"/>
      <w:snapToGrid w:val="0"/>
      <w:ind w:firstLine="567"/>
    </w:pPr>
    <w:rPr>
      <w:rFonts w:eastAsia="仿宋_GB2312"/>
      <w:snapToGrid w:val="0"/>
      <w:color w:val="000000"/>
      <w:kern w:val="0"/>
      <w:sz w:val="28"/>
    </w:rPr>
  </w:style>
  <w:style w:type="paragraph" w:customStyle="1" w:styleId="42">
    <w:name w:val="工艺序号"/>
    <w:basedOn w:val="1"/>
    <w:qFormat/>
    <w:uiPriority w:val="0"/>
    <w:pPr>
      <w:numPr>
        <w:ilvl w:val="0"/>
        <w:numId w:val="1"/>
      </w:numPr>
    </w:pPr>
    <w:rPr>
      <w:b/>
      <w:bCs/>
    </w:rPr>
  </w:style>
  <w:style w:type="paragraph" w:customStyle="1" w:styleId="43">
    <w:name w:val="伟灿-表格文字"/>
    <w:basedOn w:val="1"/>
    <w:qFormat/>
    <w:uiPriority w:val="0"/>
    <w:pPr>
      <w:jc w:val="center"/>
    </w:pPr>
    <w:rPr>
      <w:rFonts w:hint="eastAsia" w:ascii="宋体" w:hAnsi="宋体" w:cs="宋体"/>
      <w:szCs w:val="21"/>
    </w:rPr>
  </w:style>
  <w:style w:type="paragraph" w:styleId="44">
    <w:name w:val="List Paragraph"/>
    <w:basedOn w:val="1"/>
    <w:qFormat/>
    <w:uiPriority w:val="99"/>
    <w:pPr>
      <w:ind w:firstLine="420" w:firstLineChars="200"/>
    </w:pPr>
  </w:style>
  <w:style w:type="paragraph" w:customStyle="1" w:styleId="45">
    <w:name w:val="表格1（标题）"/>
    <w:basedOn w:val="1"/>
    <w:qFormat/>
    <w:uiPriority w:val="0"/>
    <w:pPr>
      <w:widowControl/>
      <w:suppressAutoHyphens/>
      <w:adjustRightInd w:val="0"/>
      <w:snapToGrid w:val="0"/>
      <w:spacing w:line="360" w:lineRule="auto"/>
      <w:jc w:val="center"/>
      <w:textAlignment w:val="center"/>
      <w:outlineLvl w:val="8"/>
    </w:pPr>
    <w:rPr>
      <w:rFonts w:ascii="Times New Roman" w:hAnsi="Times New Roman" w:cs="黑体"/>
      <w:b/>
      <w:bCs/>
      <w:color w:val="000000"/>
      <w:kern w:val="21"/>
      <w:sz w:val="24"/>
    </w:rPr>
  </w:style>
  <w:style w:type="character" w:customStyle="1" w:styleId="46">
    <w:name w:val="日期 字符"/>
    <w:basedOn w:val="24"/>
    <w:link w:val="11"/>
    <w:qFormat/>
    <w:uiPriority w:val="0"/>
    <w:rPr>
      <w:b/>
      <w:bCs/>
      <w:kern w:val="2"/>
      <w:sz w:val="28"/>
      <w:szCs w:val="24"/>
    </w:rPr>
  </w:style>
  <w:style w:type="paragraph" w:customStyle="1" w:styleId="47">
    <w:name w:val="k-正文序列"/>
    <w:basedOn w:val="1"/>
    <w:qFormat/>
    <w:uiPriority w:val="0"/>
    <w:pPr>
      <w:numPr>
        <w:ilvl w:val="0"/>
        <w:numId w:val="2"/>
      </w:numPr>
    </w:pPr>
    <w:rPr>
      <w:rFonts w:hint="eastAsia" w:ascii="Times New Roman" w:hAnsi="Times New Roman"/>
    </w:rPr>
  </w:style>
  <w:style w:type="paragraph" w:customStyle="1" w:styleId="48">
    <w:name w:val="样式1"/>
    <w:basedOn w:val="1"/>
    <w:qFormat/>
    <w:uiPriority w:val="0"/>
    <w:pPr>
      <w:numPr>
        <w:ilvl w:val="0"/>
        <w:numId w:val="3"/>
      </w:numPr>
      <w:snapToGrid w:val="0"/>
      <w:spacing w:line="560" w:lineRule="atLeast"/>
    </w:pPr>
    <w:rPr>
      <w:rFonts w:ascii="仿宋_GB2312" w:eastAsia="仿宋_GB2312"/>
      <w:sz w:val="28"/>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6</Pages>
  <Words>1573</Words>
  <Characters>1768</Characters>
  <Lines>13</Lines>
  <Paragraphs>3</Paragraphs>
  <TotalTime>0</TotalTime>
  <ScaleCrop>false</ScaleCrop>
  <LinksUpToDate>false</LinksUpToDate>
  <CharactersWithSpaces>1769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2026-08-27T03:16:12Z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CF4A7C9B14FA44EBAF6ABBFE76CFD9FE_13</vt:lpwstr>
  </property>
  <property fmtid="{D5CDD505-2E9C-101B-9397-08002B2CF9AE}" pid="4" name="KSOTemplateDocerSaveRecord">
    <vt:lpwstr>eyJoZGlkIjoiNDgzMjdiZTZhYWEwMDUyMzMwMzdhZWM2ZmNjMGMzMDkiLCJ1c2VySWQiOiI1NzcyNjAwMzgifQ==</vt:lpwstr>
  </property>
</Properties>
</file>