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0F6C4">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074"/>
        <w:gridCol w:w="1237"/>
        <w:gridCol w:w="4803"/>
        <w:gridCol w:w="2115"/>
      </w:tblGrid>
      <w:tr w14:paraId="68AF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3D99FDF3">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155" w:type="dxa"/>
            <w:gridSpan w:val="3"/>
            <w:tcBorders>
              <w:tl2br w:val="nil"/>
              <w:tr2bl w:val="nil"/>
            </w:tcBorders>
            <w:shd w:val="clear" w:color="auto" w:fill="FFFFFF"/>
            <w:vAlign w:val="center"/>
          </w:tcPr>
          <w:p w14:paraId="75F2BFF0">
            <w:pPr>
              <w:widowControl/>
              <w:spacing w:after="150"/>
              <w:jc w:val="center"/>
              <w:rPr>
                <w:rFonts w:ascii="宋体" w:hAnsi="宋体"/>
                <w:sz w:val="24"/>
                <w:szCs w:val="22"/>
              </w:rPr>
            </w:pPr>
            <w:r>
              <w:rPr>
                <w:rFonts w:hint="eastAsia" w:ascii="宋体" w:hAnsi="宋体"/>
                <w:sz w:val="24"/>
                <w:szCs w:val="22"/>
              </w:rPr>
              <w:t>江西万华环保材料有限公司江西万华年产3万吨特种新型建筑材料及1万吨水性防水涂料中试线项目安全预评价报告</w:t>
            </w:r>
          </w:p>
        </w:tc>
      </w:tr>
      <w:tr w14:paraId="0C8D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710EF0C2">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155" w:type="dxa"/>
            <w:gridSpan w:val="3"/>
            <w:tcBorders>
              <w:tl2br w:val="nil"/>
              <w:tr2bl w:val="nil"/>
            </w:tcBorders>
            <w:shd w:val="clear" w:color="auto" w:fill="FFFFFF"/>
            <w:vAlign w:val="center"/>
          </w:tcPr>
          <w:p w14:paraId="1543066E">
            <w:pPr>
              <w:widowControl/>
              <w:spacing w:after="150"/>
              <w:jc w:val="center"/>
              <w:rPr>
                <w:rFonts w:ascii="宋体" w:hAnsi="宋体" w:cs="宋体"/>
                <w:sz w:val="24"/>
              </w:rPr>
            </w:pPr>
            <w:r>
              <w:rPr>
                <w:rFonts w:hint="eastAsia" w:ascii="宋体" w:hAnsi="宋体" w:cs="宋体"/>
                <w:sz w:val="24"/>
              </w:rPr>
              <w:t>202</w:t>
            </w:r>
            <w:r>
              <w:rPr>
                <w:rFonts w:ascii="宋体" w:hAnsi="宋体" w:cs="宋体"/>
                <w:sz w:val="24"/>
              </w:rPr>
              <w:t>6</w:t>
            </w:r>
            <w:r>
              <w:rPr>
                <w:rFonts w:hint="eastAsia" w:ascii="宋体" w:hAnsi="宋体" w:cs="宋体"/>
                <w:sz w:val="24"/>
              </w:rPr>
              <w:t>年</w:t>
            </w:r>
            <w:r>
              <w:rPr>
                <w:rFonts w:ascii="宋体" w:hAnsi="宋体" w:cs="宋体"/>
                <w:sz w:val="24"/>
              </w:rPr>
              <w:t>6</w:t>
            </w:r>
            <w:r>
              <w:rPr>
                <w:rFonts w:hint="eastAsia" w:ascii="宋体" w:hAnsi="宋体" w:cs="宋体"/>
                <w:sz w:val="24"/>
              </w:rPr>
              <w:t>月</w:t>
            </w:r>
          </w:p>
        </w:tc>
      </w:tr>
      <w:tr w14:paraId="2301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54A62D3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105A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28857B49">
            <w:pPr>
              <w:jc w:val="center"/>
              <w:rPr>
                <w:rFonts w:ascii="宋体" w:hAnsi="宋体" w:cs="宋体"/>
                <w:sz w:val="24"/>
              </w:rPr>
            </w:pPr>
          </w:p>
        </w:tc>
        <w:tc>
          <w:tcPr>
            <w:tcW w:w="1237" w:type="dxa"/>
            <w:tcBorders>
              <w:tl2br w:val="nil"/>
              <w:tr2bl w:val="nil"/>
            </w:tcBorders>
            <w:shd w:val="clear" w:color="auto" w:fill="FFFFFF"/>
            <w:vAlign w:val="center"/>
          </w:tcPr>
          <w:p w14:paraId="24D8E125">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4803" w:type="dxa"/>
            <w:tcBorders>
              <w:tl2br w:val="nil"/>
              <w:tr2bl w:val="nil"/>
            </w:tcBorders>
            <w:shd w:val="clear" w:color="auto" w:fill="FFFFFF"/>
            <w:vAlign w:val="center"/>
          </w:tcPr>
          <w:p w14:paraId="6C0662FE">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62C9D865">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4948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32" w:hRule="atLeast"/>
          <w:jc w:val="center"/>
        </w:trPr>
        <w:tc>
          <w:tcPr>
            <w:tcW w:w="1074" w:type="dxa"/>
            <w:tcBorders>
              <w:tl2br w:val="nil"/>
              <w:tr2bl w:val="nil"/>
            </w:tcBorders>
            <w:shd w:val="clear" w:color="auto" w:fill="FFFFFF"/>
            <w:vAlign w:val="center"/>
          </w:tcPr>
          <w:p w14:paraId="3C7A9A2E">
            <w:pPr>
              <w:jc w:val="center"/>
              <w:rPr>
                <w:rFonts w:ascii="宋体" w:hAnsi="宋体" w:cs="宋体"/>
                <w:sz w:val="24"/>
              </w:rPr>
            </w:pPr>
            <w:r>
              <w:rPr>
                <w:rFonts w:hint="eastAsia" w:ascii="宋体" w:hAnsi="宋体" w:cs="宋体"/>
                <w:sz w:val="24"/>
              </w:rPr>
              <w:t>项目负责人</w:t>
            </w:r>
          </w:p>
        </w:tc>
        <w:tc>
          <w:tcPr>
            <w:tcW w:w="1237" w:type="dxa"/>
            <w:tcBorders>
              <w:tl2br w:val="nil"/>
              <w:tr2bl w:val="nil"/>
            </w:tcBorders>
            <w:shd w:val="clear" w:color="auto" w:fill="FFFFFF"/>
            <w:vAlign w:val="center"/>
          </w:tcPr>
          <w:p w14:paraId="75C15903">
            <w:pPr>
              <w:jc w:val="center"/>
              <w:rPr>
                <w:rFonts w:ascii="宋体" w:hAnsi="宋体" w:cs="宋体"/>
                <w:sz w:val="24"/>
              </w:rPr>
            </w:pPr>
            <w:r>
              <w:rPr>
                <w:rFonts w:hint="eastAsia" w:ascii="宋体" w:hAnsi="宋体" w:cs="宋体"/>
                <w:sz w:val="24"/>
              </w:rPr>
              <w:t>徐顺星</w:t>
            </w:r>
          </w:p>
        </w:tc>
        <w:tc>
          <w:tcPr>
            <w:tcW w:w="4803" w:type="dxa"/>
            <w:tcBorders>
              <w:tl2br w:val="nil"/>
              <w:tr2bl w:val="nil"/>
            </w:tcBorders>
            <w:shd w:val="clear" w:color="auto" w:fill="FFFFFF"/>
            <w:vAlign w:val="center"/>
          </w:tcPr>
          <w:p w14:paraId="074A1053">
            <w:pPr>
              <w:jc w:val="center"/>
              <w:rPr>
                <w:rFonts w:ascii="宋体" w:hAnsi="宋体" w:cs="宋体"/>
                <w:sz w:val="24"/>
              </w:rPr>
            </w:pPr>
            <w:r>
              <w:rPr>
                <w:rFonts w:hint="eastAsia" w:ascii="宋体" w:hAnsi="宋体" w:cs="宋体"/>
                <w:sz w:val="24"/>
              </w:rPr>
              <w:t>S011041000110192002229</w:t>
            </w:r>
          </w:p>
        </w:tc>
        <w:tc>
          <w:tcPr>
            <w:tcW w:w="2115" w:type="dxa"/>
            <w:tcBorders>
              <w:tl2br w:val="nil"/>
              <w:tr2bl w:val="nil"/>
            </w:tcBorders>
            <w:shd w:val="clear" w:color="auto" w:fill="FFFFFF"/>
            <w:vAlign w:val="center"/>
          </w:tcPr>
          <w:p w14:paraId="22F11190">
            <w:pPr>
              <w:widowControl/>
              <w:jc w:val="center"/>
              <w:rPr>
                <w:rFonts w:ascii="宋体" w:hAnsi="宋体" w:cs="宋体"/>
                <w:sz w:val="24"/>
              </w:rPr>
            </w:pPr>
            <w:r>
              <w:rPr>
                <w:rFonts w:hint="eastAsia" w:ascii="宋体" w:hAnsi="宋体" w:cs="宋体"/>
                <w:sz w:val="24"/>
              </w:rPr>
              <w:t>018803</w:t>
            </w:r>
          </w:p>
        </w:tc>
      </w:tr>
      <w:tr w14:paraId="5858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9" w:hRule="atLeast"/>
          <w:jc w:val="center"/>
        </w:trPr>
        <w:tc>
          <w:tcPr>
            <w:tcW w:w="1074" w:type="dxa"/>
            <w:vMerge w:val="restart"/>
            <w:tcBorders>
              <w:tl2br w:val="nil"/>
              <w:tr2bl w:val="nil"/>
            </w:tcBorders>
            <w:shd w:val="clear" w:color="auto" w:fill="FFFFFF"/>
            <w:vAlign w:val="center"/>
          </w:tcPr>
          <w:p w14:paraId="1328DF4C">
            <w:pPr>
              <w:jc w:val="center"/>
              <w:rPr>
                <w:rFonts w:ascii="宋体" w:hAnsi="宋体" w:cs="宋体"/>
                <w:sz w:val="24"/>
              </w:rPr>
            </w:pPr>
            <w:r>
              <w:rPr>
                <w:rFonts w:hint="eastAsia" w:ascii="宋体" w:hAnsi="宋体" w:cs="宋体"/>
                <w:sz w:val="24"/>
              </w:rPr>
              <w:t>项目组成员</w:t>
            </w:r>
          </w:p>
        </w:tc>
        <w:tc>
          <w:tcPr>
            <w:tcW w:w="1237" w:type="dxa"/>
            <w:tcBorders>
              <w:tl2br w:val="nil"/>
              <w:tr2bl w:val="nil"/>
            </w:tcBorders>
            <w:shd w:val="clear" w:color="auto" w:fill="FFFFFF"/>
            <w:vAlign w:val="center"/>
          </w:tcPr>
          <w:p w14:paraId="5D29938C">
            <w:pPr>
              <w:jc w:val="center"/>
              <w:rPr>
                <w:rFonts w:ascii="宋体" w:hAnsi="宋体" w:cs="宋体"/>
                <w:sz w:val="24"/>
              </w:rPr>
            </w:pPr>
            <w:r>
              <w:rPr>
                <w:rFonts w:hint="eastAsia" w:ascii="宋体" w:hAnsi="宋体" w:cs="宋体"/>
                <w:sz w:val="24"/>
              </w:rPr>
              <w:t>乔贯德</w:t>
            </w:r>
          </w:p>
        </w:tc>
        <w:tc>
          <w:tcPr>
            <w:tcW w:w="4803" w:type="dxa"/>
            <w:tcBorders>
              <w:tl2br w:val="nil"/>
              <w:tr2bl w:val="nil"/>
            </w:tcBorders>
            <w:shd w:val="clear" w:color="auto" w:fill="FFFFFF"/>
            <w:vAlign w:val="center"/>
          </w:tcPr>
          <w:p w14:paraId="753CF800">
            <w:pPr>
              <w:jc w:val="center"/>
              <w:rPr>
                <w:rFonts w:ascii="宋体" w:hAnsi="宋体" w:cs="宋体"/>
                <w:sz w:val="24"/>
              </w:rPr>
            </w:pPr>
            <w:r>
              <w:rPr>
                <w:rFonts w:hint="eastAsia" w:ascii="宋体" w:hAnsi="宋体" w:cs="宋体"/>
                <w:sz w:val="24"/>
              </w:rPr>
              <w:t>1700000000300087</w:t>
            </w:r>
          </w:p>
        </w:tc>
        <w:tc>
          <w:tcPr>
            <w:tcW w:w="2115" w:type="dxa"/>
            <w:tcBorders>
              <w:tl2br w:val="nil"/>
              <w:tr2bl w:val="nil"/>
            </w:tcBorders>
            <w:shd w:val="clear" w:color="auto" w:fill="FFFFFF"/>
            <w:vAlign w:val="center"/>
          </w:tcPr>
          <w:p w14:paraId="3E47BBFC">
            <w:pPr>
              <w:jc w:val="center"/>
              <w:rPr>
                <w:rFonts w:ascii="宋体" w:hAnsi="宋体" w:cs="宋体"/>
                <w:sz w:val="24"/>
              </w:rPr>
            </w:pPr>
            <w:r>
              <w:rPr>
                <w:rFonts w:hint="eastAsia" w:ascii="宋体" w:hAnsi="宋体" w:cs="宋体"/>
                <w:sz w:val="24"/>
              </w:rPr>
              <w:t>030797</w:t>
            </w:r>
          </w:p>
        </w:tc>
      </w:tr>
      <w:tr w14:paraId="697D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4697C4C7">
            <w:pPr>
              <w:jc w:val="center"/>
              <w:rPr>
                <w:rFonts w:ascii="宋体" w:hAnsi="宋体" w:cs="宋体"/>
                <w:sz w:val="24"/>
              </w:rPr>
            </w:pPr>
          </w:p>
        </w:tc>
        <w:tc>
          <w:tcPr>
            <w:tcW w:w="1237" w:type="dxa"/>
            <w:tcBorders>
              <w:tl2br w:val="nil"/>
              <w:tr2bl w:val="nil"/>
            </w:tcBorders>
            <w:shd w:val="clear" w:color="auto" w:fill="FFFFFF"/>
            <w:vAlign w:val="center"/>
          </w:tcPr>
          <w:p w14:paraId="0042C7D6">
            <w:pPr>
              <w:jc w:val="center"/>
              <w:rPr>
                <w:rFonts w:ascii="宋体" w:hAnsi="宋体" w:cs="宋体"/>
                <w:sz w:val="24"/>
              </w:rPr>
            </w:pPr>
            <w:r>
              <w:rPr>
                <w:rFonts w:hint="eastAsia" w:ascii="宋体" w:hAnsi="Times New Roman"/>
                <w:sz w:val="24"/>
                <w:szCs w:val="20"/>
              </w:rPr>
              <w:t>张志辉</w:t>
            </w:r>
          </w:p>
        </w:tc>
        <w:tc>
          <w:tcPr>
            <w:tcW w:w="4803" w:type="dxa"/>
            <w:tcBorders>
              <w:tl2br w:val="nil"/>
              <w:tr2bl w:val="nil"/>
            </w:tcBorders>
            <w:shd w:val="clear" w:color="auto" w:fill="FFFFFF"/>
            <w:vAlign w:val="center"/>
          </w:tcPr>
          <w:p w14:paraId="093E1B88">
            <w:pPr>
              <w:jc w:val="center"/>
              <w:rPr>
                <w:rFonts w:ascii="宋体" w:hAnsi="宋体" w:cs="宋体"/>
                <w:sz w:val="24"/>
              </w:rPr>
            </w:pPr>
            <w:r>
              <w:rPr>
                <w:rFonts w:hint="eastAsia" w:ascii="宋体" w:hAnsi="Times New Roman"/>
                <w:sz w:val="24"/>
                <w:szCs w:val="20"/>
              </w:rPr>
              <w:t>S011011000110193000138</w:t>
            </w:r>
          </w:p>
        </w:tc>
        <w:tc>
          <w:tcPr>
            <w:tcW w:w="2115" w:type="dxa"/>
            <w:tcBorders>
              <w:tl2br w:val="nil"/>
              <w:tr2bl w:val="nil"/>
            </w:tcBorders>
            <w:shd w:val="clear" w:color="auto" w:fill="FFFFFF"/>
            <w:vAlign w:val="center"/>
          </w:tcPr>
          <w:p w14:paraId="4CC1C8F6">
            <w:pPr>
              <w:jc w:val="center"/>
              <w:rPr>
                <w:rFonts w:ascii="宋体" w:hAnsi="宋体" w:cs="宋体"/>
                <w:sz w:val="24"/>
              </w:rPr>
            </w:pPr>
            <w:r>
              <w:rPr>
                <w:rFonts w:hint="eastAsia" w:ascii="宋体" w:hAnsi="Times New Roman"/>
                <w:sz w:val="24"/>
                <w:szCs w:val="20"/>
              </w:rPr>
              <w:t>038124</w:t>
            </w:r>
          </w:p>
        </w:tc>
      </w:tr>
      <w:tr w14:paraId="05C2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527CD416">
            <w:pPr>
              <w:jc w:val="center"/>
              <w:rPr>
                <w:rFonts w:ascii="宋体" w:hAnsi="宋体" w:cs="宋体"/>
                <w:sz w:val="24"/>
              </w:rPr>
            </w:pPr>
          </w:p>
        </w:tc>
        <w:tc>
          <w:tcPr>
            <w:tcW w:w="1237" w:type="dxa"/>
            <w:tcBorders>
              <w:tl2br w:val="nil"/>
              <w:tr2bl w:val="nil"/>
            </w:tcBorders>
            <w:shd w:val="clear" w:color="auto" w:fill="FFFFFF"/>
            <w:vAlign w:val="center"/>
          </w:tcPr>
          <w:p w14:paraId="073861C6">
            <w:pPr>
              <w:jc w:val="center"/>
              <w:rPr>
                <w:rFonts w:ascii="宋体" w:hAnsi="Times New Roman"/>
                <w:sz w:val="24"/>
                <w:szCs w:val="20"/>
              </w:rPr>
            </w:pPr>
            <w:r>
              <w:rPr>
                <w:rFonts w:hint="eastAsia" w:ascii="宋体" w:hAnsi="Times New Roman"/>
                <w:sz w:val="24"/>
                <w:szCs w:val="20"/>
              </w:rPr>
              <w:t>赵云峰</w:t>
            </w:r>
          </w:p>
        </w:tc>
        <w:tc>
          <w:tcPr>
            <w:tcW w:w="4803" w:type="dxa"/>
            <w:tcBorders>
              <w:tl2br w:val="nil"/>
              <w:tr2bl w:val="nil"/>
            </w:tcBorders>
            <w:shd w:val="clear" w:color="auto" w:fill="FFFFFF"/>
            <w:vAlign w:val="center"/>
          </w:tcPr>
          <w:p w14:paraId="6DB44293">
            <w:pPr>
              <w:jc w:val="center"/>
              <w:rPr>
                <w:rFonts w:ascii="宋体" w:hAnsi="Times New Roman"/>
                <w:sz w:val="24"/>
                <w:szCs w:val="20"/>
              </w:rPr>
            </w:pPr>
            <w:r>
              <w:rPr>
                <w:rFonts w:ascii="宋体" w:hAnsi="Times New Roman"/>
                <w:sz w:val="24"/>
                <w:szCs w:val="20"/>
              </w:rPr>
              <w:t>S011037000110191000735</w:t>
            </w:r>
          </w:p>
        </w:tc>
        <w:tc>
          <w:tcPr>
            <w:tcW w:w="2115" w:type="dxa"/>
            <w:tcBorders>
              <w:tl2br w:val="nil"/>
              <w:tr2bl w:val="nil"/>
            </w:tcBorders>
            <w:shd w:val="clear" w:color="auto" w:fill="FFFFFF"/>
            <w:vAlign w:val="center"/>
          </w:tcPr>
          <w:p w14:paraId="23B6D1FA">
            <w:pPr>
              <w:jc w:val="center"/>
              <w:rPr>
                <w:rFonts w:ascii="宋体" w:hAnsi="Times New Roman"/>
                <w:sz w:val="24"/>
                <w:szCs w:val="20"/>
              </w:rPr>
            </w:pPr>
            <w:r>
              <w:rPr>
                <w:rFonts w:ascii="宋体" w:hAnsi="Times New Roman"/>
                <w:sz w:val="24"/>
                <w:szCs w:val="20"/>
              </w:rPr>
              <w:t>030095</w:t>
            </w:r>
          </w:p>
        </w:tc>
      </w:tr>
      <w:tr w14:paraId="4FE2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74414FE3">
            <w:pPr>
              <w:jc w:val="center"/>
              <w:rPr>
                <w:rFonts w:ascii="宋体" w:hAnsi="宋体" w:cs="宋体"/>
                <w:sz w:val="24"/>
              </w:rPr>
            </w:pPr>
          </w:p>
        </w:tc>
        <w:tc>
          <w:tcPr>
            <w:tcW w:w="1237" w:type="dxa"/>
            <w:tcBorders>
              <w:tl2br w:val="nil"/>
              <w:tr2bl w:val="nil"/>
            </w:tcBorders>
            <w:shd w:val="clear" w:color="auto" w:fill="FFFFFF"/>
            <w:vAlign w:val="center"/>
          </w:tcPr>
          <w:p w14:paraId="749DC900">
            <w:pPr>
              <w:jc w:val="center"/>
              <w:rPr>
                <w:rFonts w:ascii="宋体" w:hAnsi="Times New Roman"/>
                <w:sz w:val="24"/>
                <w:szCs w:val="20"/>
              </w:rPr>
            </w:pPr>
            <w:r>
              <w:rPr>
                <w:rFonts w:hint="eastAsia" w:ascii="宋体" w:hAnsi="Times New Roman"/>
                <w:sz w:val="24"/>
                <w:szCs w:val="20"/>
              </w:rPr>
              <w:t>刘二平</w:t>
            </w:r>
          </w:p>
        </w:tc>
        <w:tc>
          <w:tcPr>
            <w:tcW w:w="4803" w:type="dxa"/>
            <w:tcBorders>
              <w:tl2br w:val="nil"/>
              <w:tr2bl w:val="nil"/>
            </w:tcBorders>
            <w:shd w:val="clear" w:color="auto" w:fill="FFFFFF"/>
            <w:vAlign w:val="center"/>
          </w:tcPr>
          <w:p w14:paraId="37F8B72B">
            <w:pPr>
              <w:jc w:val="center"/>
              <w:rPr>
                <w:rFonts w:ascii="宋体" w:hAnsi="Times New Roman"/>
                <w:sz w:val="24"/>
                <w:szCs w:val="20"/>
              </w:rPr>
            </w:pPr>
            <w:r>
              <w:rPr>
                <w:rFonts w:hint="eastAsia" w:ascii="宋体" w:hAnsi="Times New Roman"/>
                <w:sz w:val="24"/>
                <w:szCs w:val="20"/>
              </w:rPr>
              <w:t>0</w:t>
            </w:r>
            <w:r>
              <w:rPr>
                <w:rFonts w:ascii="宋体" w:hAnsi="Times New Roman"/>
                <w:sz w:val="24"/>
                <w:szCs w:val="20"/>
              </w:rPr>
              <w:t>3320241036000000887</w:t>
            </w:r>
          </w:p>
        </w:tc>
        <w:tc>
          <w:tcPr>
            <w:tcW w:w="2115" w:type="dxa"/>
            <w:tcBorders>
              <w:tl2br w:val="nil"/>
              <w:tr2bl w:val="nil"/>
            </w:tcBorders>
            <w:shd w:val="clear" w:color="auto" w:fill="FFFFFF"/>
            <w:vAlign w:val="center"/>
          </w:tcPr>
          <w:p w14:paraId="6B24DF9D">
            <w:pPr>
              <w:jc w:val="center"/>
              <w:rPr>
                <w:rFonts w:ascii="宋体" w:hAnsi="Times New Roman"/>
                <w:sz w:val="24"/>
                <w:szCs w:val="20"/>
              </w:rPr>
            </w:pPr>
            <w:r>
              <w:rPr>
                <w:rFonts w:hint="eastAsia" w:ascii="宋体" w:hAnsi="Times New Roman"/>
                <w:sz w:val="24"/>
                <w:szCs w:val="20"/>
              </w:rPr>
              <w:t>3</w:t>
            </w:r>
            <w:r>
              <w:rPr>
                <w:rFonts w:ascii="宋体" w:hAnsi="Times New Roman"/>
                <w:sz w:val="24"/>
                <w:szCs w:val="20"/>
              </w:rPr>
              <w:t>7250438462</w:t>
            </w:r>
          </w:p>
        </w:tc>
      </w:tr>
      <w:tr w14:paraId="16A3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022D227C">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155" w:type="dxa"/>
            <w:gridSpan w:val="3"/>
            <w:tcBorders>
              <w:tl2br w:val="nil"/>
              <w:tr2bl w:val="nil"/>
            </w:tcBorders>
            <w:shd w:val="clear" w:color="auto" w:fill="FFFFFF"/>
            <w:vAlign w:val="center"/>
          </w:tcPr>
          <w:p w14:paraId="151DB015">
            <w:pPr>
              <w:jc w:val="center"/>
              <w:rPr>
                <w:rFonts w:ascii="宋体" w:hAnsi="宋体" w:cs="宋体"/>
                <w:sz w:val="24"/>
              </w:rPr>
            </w:pPr>
            <w:r>
              <w:rPr>
                <w:rFonts w:hint="eastAsia" w:ascii="宋体" w:hAnsi="宋体" w:cs="宋体"/>
                <w:sz w:val="24"/>
              </w:rPr>
              <w:t>/</w:t>
            </w:r>
          </w:p>
        </w:tc>
      </w:tr>
      <w:tr w14:paraId="3543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0" w:hRule="atLeast"/>
          <w:jc w:val="center"/>
        </w:trPr>
        <w:tc>
          <w:tcPr>
            <w:tcW w:w="1074" w:type="dxa"/>
            <w:tcBorders>
              <w:tl2br w:val="nil"/>
              <w:tr2bl w:val="nil"/>
            </w:tcBorders>
            <w:shd w:val="clear" w:color="auto" w:fill="FFFFFF"/>
            <w:vAlign w:val="center"/>
          </w:tcPr>
          <w:p w14:paraId="3C287821">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155" w:type="dxa"/>
            <w:gridSpan w:val="3"/>
            <w:tcBorders>
              <w:tl2br w:val="nil"/>
              <w:tr2bl w:val="nil"/>
            </w:tcBorders>
            <w:shd w:val="clear" w:color="auto" w:fill="FFFFFF"/>
            <w:vAlign w:val="center"/>
          </w:tcPr>
          <w:p w14:paraId="30A99D41">
            <w:pPr>
              <w:widowControl/>
              <w:spacing w:after="150"/>
              <w:jc w:val="center"/>
              <w:rPr>
                <w:rFonts w:ascii="Times New Roman" w:hAnsi="Times New Roman"/>
                <w:sz w:val="24"/>
              </w:rPr>
            </w:pPr>
            <w:r>
              <w:rPr>
                <w:rFonts w:hint="eastAsia" w:ascii="Times New Roman" w:hAnsi="Times New Roman"/>
                <w:sz w:val="24"/>
              </w:rPr>
              <w:t>徐顺星、</w:t>
            </w:r>
            <w:r>
              <w:rPr>
                <w:rFonts w:hint="eastAsia" w:ascii="宋体" w:hAnsi="宋体" w:cs="宋体"/>
                <w:sz w:val="24"/>
              </w:rPr>
              <w:t>乔贯德</w:t>
            </w:r>
            <w:r>
              <w:rPr>
                <w:rFonts w:hint="eastAsia"/>
                <w:sz w:val="24"/>
              </w:rPr>
              <w:t>202</w:t>
            </w:r>
            <w:r>
              <w:rPr>
                <w:sz w:val="24"/>
              </w:rPr>
              <w:t>6</w:t>
            </w:r>
            <w:r>
              <w:rPr>
                <w:rFonts w:hint="eastAsia"/>
                <w:sz w:val="24"/>
              </w:rPr>
              <w:t>.</w:t>
            </w:r>
            <w:r>
              <w:rPr>
                <w:sz w:val="24"/>
              </w:rPr>
              <w:t>1</w:t>
            </w:r>
            <w:r>
              <w:rPr>
                <w:rFonts w:hint="eastAsia"/>
                <w:sz w:val="24"/>
              </w:rPr>
              <w:t>.</w:t>
            </w:r>
            <w:r>
              <w:rPr>
                <w:sz w:val="24"/>
              </w:rPr>
              <w:t>15</w:t>
            </w:r>
          </w:p>
        </w:tc>
      </w:tr>
      <w:tr w14:paraId="3BE7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1" w:hRule="atLeast"/>
          <w:jc w:val="center"/>
        </w:trPr>
        <w:tc>
          <w:tcPr>
            <w:tcW w:w="1074" w:type="dxa"/>
            <w:tcBorders>
              <w:tl2br w:val="nil"/>
              <w:tr2bl w:val="nil"/>
            </w:tcBorders>
            <w:shd w:val="clear" w:color="auto" w:fill="FFFFFF"/>
            <w:vAlign w:val="center"/>
          </w:tcPr>
          <w:p w14:paraId="1690E94E">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155" w:type="dxa"/>
            <w:gridSpan w:val="3"/>
            <w:tcBorders>
              <w:tl2br w:val="nil"/>
              <w:tr2bl w:val="nil"/>
            </w:tcBorders>
            <w:shd w:val="clear" w:color="auto" w:fill="FFFFFF"/>
            <w:vAlign w:val="center"/>
          </w:tcPr>
          <w:p w14:paraId="1A837E78">
            <w:pPr>
              <w:widowControl/>
              <w:spacing w:after="150"/>
              <w:jc w:val="center"/>
              <w:rPr>
                <w:rFonts w:ascii="Times New Roman" w:hAnsi="Times New Roman"/>
                <w:color w:val="FF0000"/>
                <w:sz w:val="24"/>
              </w:rPr>
            </w:pPr>
            <w:r>
              <w:rPr>
                <w:rFonts w:hint="eastAsia" w:ascii="Times New Roman" w:hAnsi="Times New Roman"/>
                <w:sz w:val="24"/>
              </w:rPr>
              <w:t>徐顺星、</w:t>
            </w:r>
            <w:r>
              <w:rPr>
                <w:rFonts w:hint="eastAsia" w:ascii="宋体" w:hAnsi="宋体" w:cs="宋体"/>
                <w:sz w:val="24"/>
              </w:rPr>
              <w:t>乔贯德</w:t>
            </w:r>
            <w:r>
              <w:rPr>
                <w:rFonts w:hint="eastAsia"/>
                <w:sz w:val="24"/>
              </w:rPr>
              <w:t>202</w:t>
            </w:r>
            <w:r>
              <w:rPr>
                <w:sz w:val="24"/>
              </w:rPr>
              <w:t>6</w:t>
            </w:r>
            <w:r>
              <w:rPr>
                <w:rFonts w:hint="eastAsia"/>
                <w:sz w:val="24"/>
              </w:rPr>
              <w:t>.</w:t>
            </w:r>
            <w:r>
              <w:rPr>
                <w:sz w:val="24"/>
              </w:rPr>
              <w:t>4</w:t>
            </w:r>
            <w:r>
              <w:rPr>
                <w:rFonts w:hint="eastAsia"/>
                <w:sz w:val="24"/>
              </w:rPr>
              <w:t>.</w:t>
            </w:r>
            <w:r>
              <w:rPr>
                <w:sz w:val="24"/>
              </w:rPr>
              <w:t>20</w:t>
            </w:r>
          </w:p>
        </w:tc>
      </w:tr>
      <w:tr w14:paraId="6AD4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0E138E91">
            <w:pPr>
              <w:widowControl/>
              <w:spacing w:after="150"/>
              <w:jc w:val="center"/>
              <w:rPr>
                <w:rFonts w:ascii="宋体" w:hAnsi="宋体" w:cs="宋体"/>
                <w:sz w:val="24"/>
              </w:rPr>
            </w:pPr>
            <w:r>
              <w:rPr>
                <w:rFonts w:hint="eastAsia" w:ascii="宋体" w:hAnsi="宋体" w:cs="宋体"/>
                <w:kern w:val="0"/>
                <w:sz w:val="24"/>
                <w:shd w:val="clear" w:color="auto" w:fill="FFFFFF"/>
              </w:rPr>
              <w:t>项目简介</w:t>
            </w:r>
          </w:p>
        </w:tc>
        <w:tc>
          <w:tcPr>
            <w:tcW w:w="8155" w:type="dxa"/>
            <w:gridSpan w:val="3"/>
            <w:tcBorders>
              <w:tl2br w:val="nil"/>
              <w:tr2bl w:val="nil"/>
            </w:tcBorders>
            <w:shd w:val="clear" w:color="auto" w:fill="FFFFFF"/>
          </w:tcPr>
          <w:p w14:paraId="58D2662B">
            <w:pPr>
              <w:ind w:firstLine="420" w:firstLineChars="200"/>
            </w:pPr>
            <w:bookmarkStart w:id="0" w:name="_Hlk166193957"/>
            <w:r>
              <w:rPr>
                <w:rFonts w:hint="eastAsia"/>
              </w:rPr>
              <w:t>江西万华环保材料有限公司（以下简称“该企业”）成立于2016年10月08日，注册地位于江西省南昌市安义县工业园区东阳大道，法定代表人为张建强。经营范围包括建筑材料、化工产品及原料（危险化学品除外）、技术转让、技术服务；胶粘剂；涂料及建筑辅材 （危险化学品除外）生产、销售；金属材料、建筑装潢材料、运动器材、人造草坪、苗木、花卉销售；防水工程、防腐工程、保温工程、装饰工程、装修工程、体育场地设施工程、市政公用工程、地坪工程、绿化工程的施工；仓储服务；运输代理服务；物业管理服务；自有房产租赁；餐饮服务；自营和代理各类商品和技术的进出口业务，煤炭及制品销售。（危险化学品除外）（国家有专项规定的除外）（依法须经批准的项目，经相关部门批准后方可开展经营活动）。</w:t>
            </w:r>
          </w:p>
          <w:p w14:paraId="01397C09">
            <w:pPr>
              <w:ind w:firstLine="420" w:firstLineChars="200"/>
              <w:rPr>
                <w:snapToGrid w:val="0"/>
              </w:rPr>
            </w:pPr>
            <w:r>
              <w:rPr>
                <w:rFonts w:hint="eastAsia"/>
                <w:snapToGrid w:val="0"/>
              </w:rPr>
              <w:t>江西万华环保材料有限公司于安义县高新技术产业园区东阳大道77 号建设有万华产业园，园内建设有江西万道新材料有限公司年产10000吨水性防水涂料项目和江西省晶磊工程新技术开发有限公司年产3万吨低碳特种新型建筑材料中试线项目，其中江西万道新材料有限公司年产10000吨水性防水涂料项目于2</w:t>
            </w:r>
            <w:r>
              <w:rPr>
                <w:snapToGrid w:val="0"/>
              </w:rPr>
              <w:t>020</w:t>
            </w:r>
            <w:r>
              <w:rPr>
                <w:rFonts w:hint="eastAsia"/>
                <w:snapToGrid w:val="0"/>
              </w:rPr>
              <w:t>年9月完成了安全验收，江西省晶磊工程新技术开发有限公司年产3万吨低碳特种新型建筑材料中试线项目于2</w:t>
            </w:r>
            <w:r>
              <w:rPr>
                <w:snapToGrid w:val="0"/>
              </w:rPr>
              <w:t>023</w:t>
            </w:r>
            <w:r>
              <w:rPr>
                <w:rFonts w:hint="eastAsia"/>
                <w:snapToGrid w:val="0"/>
              </w:rPr>
              <w:t>年</w:t>
            </w:r>
            <w:r>
              <w:rPr>
                <w:snapToGrid w:val="0"/>
              </w:rPr>
              <w:t>2</w:t>
            </w:r>
            <w:r>
              <w:rPr>
                <w:rFonts w:hint="eastAsia"/>
                <w:snapToGrid w:val="0"/>
              </w:rPr>
              <w:t>月完成了安全设施设计，进行了试生产。</w:t>
            </w:r>
          </w:p>
          <w:p w14:paraId="254863C4">
            <w:pPr>
              <w:ind w:firstLine="420" w:firstLineChars="200"/>
              <w:rPr>
                <w:rFonts w:hint="eastAsia"/>
                <w:snapToGrid w:val="0"/>
              </w:rPr>
            </w:pPr>
            <w:r>
              <w:rPr>
                <w:rFonts w:hint="eastAsia"/>
                <w:snapToGrid w:val="0"/>
              </w:rPr>
              <w:t>根据园区发展要求，2024年江西万华环保材料有限公司对万华产业园内原有的江西万道新材料有限公司年产10000吨水性防水涂料项目和江西省晶磊工程新技术开发有限公司年产3万吨低碳特种新型建筑材料中试线项目进行整合重组并重新立项。</w:t>
            </w:r>
            <w:bookmarkEnd w:id="0"/>
            <w:r>
              <w:rPr>
                <w:rFonts w:hint="eastAsia"/>
                <w:snapToGrid w:val="0"/>
              </w:rPr>
              <w:t>于2024年07月26日经安义县科技和信息化局在江西省投资项目在线审批监管平台备案：江西万华年产3万吨特种新型建筑材料及1万吨水性防水涂料中试线项目（项目统一代码为：2407-360123-07-02-447884）。</w:t>
            </w:r>
          </w:p>
        </w:tc>
      </w:tr>
      <w:tr w14:paraId="343C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645FD6A4">
            <w:pPr>
              <w:widowControl/>
              <w:spacing w:after="150"/>
              <w:jc w:val="center"/>
            </w:pPr>
            <w:r>
              <w:rPr>
                <w:rFonts w:hint="eastAsia"/>
                <w:sz w:val="24"/>
              </w:rPr>
              <w:t>工艺流程</w:t>
            </w:r>
          </w:p>
        </w:tc>
        <w:tc>
          <w:tcPr>
            <w:tcW w:w="8155" w:type="dxa"/>
            <w:gridSpan w:val="3"/>
            <w:tcBorders>
              <w:tl2br w:val="nil"/>
              <w:tr2bl w:val="nil"/>
            </w:tcBorders>
            <w:shd w:val="clear" w:color="auto" w:fill="FFFFFF"/>
          </w:tcPr>
          <w:p w14:paraId="52A43C5D">
            <w:pPr>
              <w:ind w:firstLine="420" w:firstLineChars="200"/>
              <w:rPr>
                <w:snapToGrid w:val="0"/>
              </w:rPr>
            </w:pPr>
            <w:r>
              <w:rPr>
                <w:rFonts w:hint="eastAsia"/>
                <w:snapToGrid w:val="0"/>
              </w:rPr>
              <w:t>1、工艺流程说明</w:t>
            </w:r>
          </w:p>
          <w:p w14:paraId="65698F9B">
            <w:pPr>
              <w:ind w:firstLine="420" w:firstLineChars="200"/>
              <w:rPr>
                <w:snapToGrid w:val="0"/>
              </w:rPr>
            </w:pPr>
            <w:r>
              <w:rPr>
                <w:rFonts w:hint="eastAsia"/>
                <w:snapToGrid w:val="0"/>
              </w:rPr>
              <w:t>（1）80%丙烯酸水溶液配置</w:t>
            </w:r>
          </w:p>
          <w:p w14:paraId="3AAF4468">
            <w:pPr>
              <w:ind w:firstLine="420" w:firstLineChars="200"/>
              <w:rPr>
                <w:snapToGrid w:val="0"/>
              </w:rPr>
            </w:pPr>
            <w:r>
              <w:rPr>
                <w:rFonts w:hint="eastAsia"/>
                <w:snapToGrid w:val="0"/>
              </w:rPr>
              <w:t>向丙烯酸中间罐内加入一定量纯水，槽罐车做好防静电接地和卸车检查后，连接好卸车软管，打开丙烯酸装卸泵进行卸车，99%丙烯酸卸至纯水内，卸车完毕，继续往丙烯酸中间罐内加入定量的纯水，配置成80%丙烯酸水溶液储存备用（火灾危险类别为丙类）。丙烯酸中间罐设置了液位高限报警，高高限联锁停丙烯酸输送泵，设置了低限报警，低低限联锁停丙烯酸输送泵。</w:t>
            </w:r>
          </w:p>
          <w:p w14:paraId="7AB6281C">
            <w:pPr>
              <w:ind w:firstLine="420" w:firstLineChars="200"/>
              <w:rPr>
                <w:snapToGrid w:val="0"/>
              </w:rPr>
            </w:pPr>
            <w:r>
              <w:rPr>
                <w:rFonts w:hint="eastAsia"/>
                <w:snapToGrid w:val="0"/>
              </w:rPr>
              <w:t>（2）纯水制备：采用3t/h纯水机进行纯水制备，纯水制备后储存于纯水罐，用于后续生产。</w:t>
            </w:r>
          </w:p>
          <w:p w14:paraId="4DC3E7D7">
            <w:pPr>
              <w:ind w:firstLine="420" w:firstLineChars="200"/>
              <w:rPr>
                <w:snapToGrid w:val="0"/>
              </w:rPr>
            </w:pPr>
            <w:r>
              <w:rPr>
                <w:rFonts w:hint="eastAsia"/>
                <w:snapToGrid w:val="0"/>
              </w:rPr>
              <w:t>（3）A、B料预配</w:t>
            </w:r>
          </w:p>
          <w:p w14:paraId="3756B503">
            <w:pPr>
              <w:ind w:firstLine="420" w:firstLineChars="200"/>
              <w:rPr>
                <w:snapToGrid w:val="0"/>
              </w:rPr>
            </w:pPr>
            <w:r>
              <w:rPr>
                <w:rFonts w:hint="eastAsia"/>
                <w:snapToGrid w:val="0"/>
              </w:rPr>
              <w:t>A料预配：丙烯酸、丙烯酸羟乙酯、丙烯酸羟丙酯、2-丙烯酰胺基-2-甲基丙磺酸、功能单体192/191等小单体以及纯水分别从储罐泵送至A料预混釜，或者人工计量加入，密封缓慢搅拌至完全溶解，配置成A混合液。泵送至A滴加罐。</w:t>
            </w:r>
          </w:p>
          <w:p w14:paraId="6E551593">
            <w:pPr>
              <w:ind w:firstLine="420" w:firstLineChars="200"/>
              <w:rPr>
                <w:snapToGrid w:val="0"/>
              </w:rPr>
            </w:pPr>
            <w:r>
              <w:rPr>
                <w:rFonts w:hint="eastAsia"/>
                <w:snapToGrid w:val="0"/>
              </w:rPr>
              <w:t>B料预配：B料预混釜内依次添加水、维生素C，吊白块，或者亚硫酸氢钠等还原剂，以及巯基丙酸（巯基乙醇)、SMAS等链转移剂，配置成B混合液。配制好后，将溶液泵送至B滴加罐。</w:t>
            </w:r>
          </w:p>
          <w:p w14:paraId="671D0493">
            <w:pPr>
              <w:ind w:firstLine="420" w:firstLineChars="200"/>
              <w:rPr>
                <w:snapToGrid w:val="0"/>
              </w:rPr>
            </w:pPr>
            <w:r>
              <w:rPr>
                <w:rFonts w:hint="eastAsia"/>
                <w:snapToGrid w:val="0"/>
              </w:rPr>
              <w:t>C料预配：C料预混釜内一次添加一定量的纯水、片碱配置成碱液。配制好后，将溶液泵送至液碱计量罐备用。</w:t>
            </w:r>
          </w:p>
          <w:p w14:paraId="40BD2585">
            <w:pPr>
              <w:ind w:firstLine="420" w:firstLineChars="200"/>
              <w:rPr>
                <w:snapToGrid w:val="0"/>
              </w:rPr>
            </w:pPr>
            <w:r>
              <w:rPr>
                <w:rFonts w:hint="eastAsia"/>
                <w:snapToGrid w:val="0"/>
              </w:rPr>
              <w:t>（3）聚醚预配</w:t>
            </w:r>
          </w:p>
          <w:p w14:paraId="197DFA16">
            <w:pPr>
              <w:ind w:firstLine="420" w:firstLineChars="200"/>
              <w:rPr>
                <w:snapToGrid w:val="0"/>
              </w:rPr>
            </w:pPr>
            <w:r>
              <w:rPr>
                <w:rFonts w:hint="eastAsia"/>
                <w:snapToGrid w:val="0"/>
              </w:rPr>
              <w:t>聚醚预混釜中依次加入水、固体聚醚、片碱、次磷酸钠、丙烯酸和丙烯酸羟乙酯等小单体、过硫酸铵和双氧水等氧化剂、微量硫酸亚铁催化剂，并且密封缓慢搅拌，配置成釜底液。固体聚醚为片状固体，投料过程基本无粉尘产生，过硫酸铵投加时会有少量粉尘产生。配置好的溶液泵送至反应釜。</w:t>
            </w:r>
          </w:p>
          <w:p w14:paraId="6E86E78F">
            <w:pPr>
              <w:ind w:firstLine="420" w:firstLineChars="200"/>
              <w:rPr>
                <w:snapToGrid w:val="0"/>
              </w:rPr>
            </w:pPr>
            <w:r>
              <w:rPr>
                <w:rFonts w:hint="eastAsia"/>
                <w:snapToGrid w:val="0"/>
              </w:rPr>
              <w:t>（4）聚合</w:t>
            </w:r>
          </w:p>
          <w:p w14:paraId="0660C708">
            <w:pPr>
              <w:ind w:firstLine="420" w:firstLineChars="200"/>
              <w:rPr>
                <w:snapToGrid w:val="0"/>
              </w:rPr>
            </w:pPr>
            <w:r>
              <w:rPr>
                <w:rFonts w:hint="eastAsia"/>
                <w:snapToGrid w:val="0"/>
              </w:rPr>
              <w:t>配制好的釜底液体全部泵送至反应釜后，通过滴加罐向反应釜内（釜内常压、常温）滴加A混合液和B混合液，1h滴加完毕，反应过程中，反应釜、滴加罐、预混罐共同组成密闭系统，反应过程基本无废气产生，反应周期为1小时。</w:t>
            </w:r>
          </w:p>
          <w:p w14:paraId="6A3F9356">
            <w:pPr>
              <w:ind w:firstLine="420" w:firstLineChars="200"/>
              <w:rPr>
                <w:snapToGrid w:val="0"/>
              </w:rPr>
            </w:pPr>
            <w:r>
              <w:rPr>
                <w:rFonts w:hint="eastAsia"/>
                <w:snapToGrid w:val="0"/>
              </w:rPr>
              <w:t>（5）熟化：滴加完成后，在当前温度下继续保温反应1h，熟化，提高单体转化率。</w:t>
            </w:r>
          </w:p>
          <w:p w14:paraId="680F9922">
            <w:pPr>
              <w:ind w:firstLine="420" w:firstLineChars="200"/>
              <w:rPr>
                <w:snapToGrid w:val="0"/>
              </w:rPr>
            </w:pPr>
            <w:r>
              <w:rPr>
                <w:rFonts w:hint="eastAsia"/>
                <w:snapToGrid w:val="0"/>
              </w:rPr>
              <w:t>（6）母液检测：中和工序完成后，取小样进行母液检测。</w:t>
            </w:r>
          </w:p>
          <w:p w14:paraId="621B66D8">
            <w:pPr>
              <w:ind w:firstLine="420" w:firstLineChars="200"/>
              <w:rPr>
                <w:snapToGrid w:val="0"/>
              </w:rPr>
            </w:pPr>
            <w:r>
              <w:rPr>
                <w:rFonts w:hint="eastAsia"/>
                <w:snapToGrid w:val="0"/>
              </w:rPr>
              <w:t>（7）母液出料：检测合格品即可出料，转移至母液储罐罐均化储存，不合格产品直接返回工序继续进行反应。</w:t>
            </w:r>
          </w:p>
          <w:p w14:paraId="0A344223">
            <w:pPr>
              <w:rPr>
                <w:snapToGrid w:val="0"/>
              </w:rPr>
            </w:pPr>
          </w:p>
          <w:p w14:paraId="0ED59B0D">
            <w:pPr>
              <w:ind w:firstLine="420" w:firstLineChars="200"/>
              <w:rPr>
                <w:snapToGrid w:val="0"/>
              </w:rPr>
            </w:pPr>
          </w:p>
        </w:tc>
      </w:tr>
      <w:tr w14:paraId="75A8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4EA88559">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155" w:type="dxa"/>
            <w:gridSpan w:val="3"/>
            <w:tcBorders>
              <w:tl2br w:val="nil"/>
              <w:tr2bl w:val="nil"/>
            </w:tcBorders>
            <w:shd w:val="clear" w:color="auto" w:fill="FFFFFF"/>
            <w:vAlign w:val="center"/>
          </w:tcPr>
          <w:p w14:paraId="75C7EE86">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25856BBD">
      <w:r>
        <w:rPr>
          <w:rFonts w:hint="eastAsia"/>
        </w:rPr>
        <w:br w:type="page"/>
      </w:r>
    </w:p>
    <w:p w14:paraId="2F5D2DE9">
      <w:r>
        <w:drawing>
          <wp:inline distT="0" distB="0" distL="0" distR="0">
            <wp:extent cx="5351145" cy="4013200"/>
            <wp:effectExtent l="0" t="0" r="1905" b="6350"/>
            <wp:docPr id="1" name="图片 1" descr="D:\桌面\安义万华安全验收\万华-评审会\江西分公司-化工-江西万华年产3万吨特种新型建筑材料及1万吨水性防水涂料中试线项目安全验收评价报告-修改稿\出版法定报告需要有的资料\1、现场照片\2现场考察1，2026年1月15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桌面\安义万华安全验收\万华-评审会\江西分公司-化工-江西万华年产3万吨特种新型建筑材料及1万吨水性防水涂料中试线项目安全验收评价报告-修改稿\出版法定报告需要有的资料\1、现场照片\2现场考察1，2026年1月15日.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354409" cy="4015807"/>
                    </a:xfrm>
                    <a:prstGeom prst="rect">
                      <a:avLst/>
                    </a:prstGeom>
                    <a:noFill/>
                    <a:ln>
                      <a:noFill/>
                    </a:ln>
                  </pic:spPr>
                </pic:pic>
              </a:graphicData>
            </a:graphic>
          </wp:inline>
        </w:drawing>
      </w:r>
    </w:p>
    <w:p w14:paraId="1FA25250"/>
    <w:p w14:paraId="4F949BE8">
      <w:r>
        <w:drawing>
          <wp:inline distT="0" distB="0" distL="0" distR="0">
            <wp:extent cx="5308600" cy="3981450"/>
            <wp:effectExtent l="0" t="0" r="6350" b="0"/>
            <wp:docPr id="8" name="图片 8" descr="D:\桌面\安义万华安全验收\万华-评审会\江西分公司-化工-江西万华年产3万吨特种新型建筑材料及1万吨水性防水涂料中试线项目安全验收评价报告-修改稿\出版法定报告需要有的资料\1、现场照片\3现场检查3，2026年3月10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桌面\安义万华安全验收\万华-评审会\江西分公司-化工-江西万华年产3万吨特种新型建筑材料及1万吨水性防水涂料中试线项目安全验收评价报告-修改稿\出版法定报告需要有的资料\1、现场照片\3现场检查3，2026年3月10日.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311244" cy="3983433"/>
                    </a:xfrm>
                    <a:prstGeom prst="rect">
                      <a:avLst/>
                    </a:prstGeom>
                    <a:noFill/>
                    <a:ln>
                      <a:noFill/>
                    </a:ln>
                  </pic:spPr>
                </pic:pic>
              </a:graphicData>
            </a:graphic>
          </wp:inline>
        </w:drawing>
      </w:r>
    </w:p>
    <w:p w14:paraId="12E010C2"/>
    <w:p w14:paraId="1F14F75E"/>
    <w:p w14:paraId="218BED28"/>
    <w:p w14:paraId="5FB9BE21"/>
    <w:p w14:paraId="25838F09"/>
    <w:p w14:paraId="264A85CB"/>
    <w:p w14:paraId="5A6C0478">
      <w:r>
        <w:drawing>
          <wp:inline distT="0" distB="0" distL="0" distR="0">
            <wp:extent cx="5333365" cy="7476490"/>
            <wp:effectExtent l="0" t="0" r="635" b="10160"/>
            <wp:docPr id="2" name="图片 2" descr="E:\xwechat_files\pxb2003_5210\temp\InputTemp\ff06e9bb-af08-452f-a811-50afbc3134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xwechat_files\pxb2003_5210\temp\InputTemp\ff06e9bb-af08-452f-a811-50afbc31345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33365" cy="7476490"/>
                    </a:xfrm>
                    <a:prstGeom prst="rect">
                      <a:avLst/>
                    </a:prstGeom>
                    <a:noFill/>
                    <a:ln>
                      <a:noFill/>
                    </a:ln>
                  </pic:spPr>
                </pic:pic>
              </a:graphicData>
            </a:graphic>
          </wp:inline>
        </w:drawing>
      </w:r>
      <w:bookmarkStart w:id="1" w:name="_GoBack"/>
      <w:bookmarkEnd w:id="1"/>
    </w:p>
    <w:p w14:paraId="4E6E2507">
      <w:r>
        <w:drawing>
          <wp:inline distT="0" distB="0" distL="0" distR="0">
            <wp:extent cx="5295265" cy="7457440"/>
            <wp:effectExtent l="0" t="0" r="635" b="0"/>
            <wp:docPr id="12" name="图片 12" descr="E:\xwechat_files\pxb2003_5210\temp\InputTemp\db9f5c06-d74d-44ad-bdba-4d8787b4fd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xwechat_files\pxb2003_5210\temp\InputTemp\db9f5c06-d74d-44ad-bdba-4d8787b4fd8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95265" cy="7457440"/>
                    </a:xfrm>
                    <a:prstGeom prst="rect">
                      <a:avLst/>
                    </a:prstGeom>
                    <a:noFill/>
                    <a:ln>
                      <a:noFill/>
                    </a:ln>
                  </pic:spPr>
                </pic:pic>
              </a:graphicData>
            </a:graphic>
          </wp:inline>
        </w:drawing>
      </w:r>
    </w:p>
    <w:p w14:paraId="0656BC60"/>
    <w:p w14:paraId="01B3F21F"/>
    <w:p w14:paraId="6DA4A3DB"/>
    <w:p w14:paraId="48D444EC"/>
    <w:p w14:paraId="76D39B4E"/>
    <w:p w14:paraId="5018D136">
      <w:r>
        <w:drawing>
          <wp:inline distT="0" distB="0" distL="0" distR="0">
            <wp:extent cx="5314315" cy="7447915"/>
            <wp:effectExtent l="0" t="0" r="635" b="635"/>
            <wp:docPr id="9" name="图片 9" descr="E:\xwechat_files\pxb2003_5210\temp\InputTemp\52aa9b28-e371-4873-a57c-b3330ee711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xwechat_files\pxb2003_5210\temp\InputTemp\52aa9b28-e371-4873-a57c-b3330ee711e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14315" cy="7447915"/>
                    </a:xfrm>
                    <a:prstGeom prst="rect">
                      <a:avLst/>
                    </a:prstGeom>
                    <a:noFill/>
                    <a:ln>
                      <a:noFill/>
                    </a:ln>
                  </pic:spPr>
                </pic:pic>
              </a:graphicData>
            </a:graphic>
          </wp:inline>
        </w:drawing>
      </w:r>
    </w:p>
    <w:p w14:paraId="71A0CD2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679C0"/>
    <w:multiLevelType w:val="singleLevel"/>
    <w:tmpl w:val="850679C0"/>
    <w:lvl w:ilvl="0" w:tentative="0">
      <w:start w:val="1"/>
      <w:numFmt w:val="decimal"/>
      <w:pStyle w:val="47"/>
      <w:suff w:val="nothing"/>
      <w:lvlText w:val="%1）"/>
      <w:lvlJc w:val="left"/>
      <w:pPr>
        <w:tabs>
          <w:tab w:val="left" w:pos="312"/>
        </w:tabs>
      </w:pPr>
      <w:rPr>
        <w:rFonts w:hint="default" w:ascii="Times New Roman" w:hAnsi="Times New Roman" w:eastAsia="宋体" w:cs="Times New Roman"/>
        <w:sz w:val="24"/>
        <w:szCs w:val="24"/>
      </w:rPr>
    </w:lvl>
  </w:abstractNum>
  <w:abstractNum w:abstractNumId="1">
    <w:nsid w:val="5183855F"/>
    <w:multiLevelType w:val="singleLevel"/>
    <w:tmpl w:val="5183855F"/>
    <w:lvl w:ilvl="0" w:tentative="0">
      <w:start w:val="1"/>
      <w:numFmt w:val="chineseCounting"/>
      <w:pStyle w:val="42"/>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YmJhMTRkMGU2NWU2MjE0YWI5MWU2ODcxNDk2YTgifQ=="/>
    <w:docVar w:name="KSO_WPS_MARK_KEY" w:val="f0c94484-18bf-41d0-a894-232196517eb0"/>
  </w:docVars>
  <w:rsids>
    <w:rsidRoot w:val="00E3751A"/>
    <w:rsid w:val="00047227"/>
    <w:rsid w:val="000760E8"/>
    <w:rsid w:val="00194B7C"/>
    <w:rsid w:val="001E41EC"/>
    <w:rsid w:val="002012A2"/>
    <w:rsid w:val="00303C12"/>
    <w:rsid w:val="003A7C06"/>
    <w:rsid w:val="003E1EB7"/>
    <w:rsid w:val="004105EC"/>
    <w:rsid w:val="004340C8"/>
    <w:rsid w:val="00443349"/>
    <w:rsid w:val="004D1AF7"/>
    <w:rsid w:val="004D37C4"/>
    <w:rsid w:val="0050771F"/>
    <w:rsid w:val="005111A6"/>
    <w:rsid w:val="00560F50"/>
    <w:rsid w:val="005858BE"/>
    <w:rsid w:val="00727066"/>
    <w:rsid w:val="00756850"/>
    <w:rsid w:val="00787BD2"/>
    <w:rsid w:val="007A2261"/>
    <w:rsid w:val="007C3A9A"/>
    <w:rsid w:val="007F2069"/>
    <w:rsid w:val="00802085"/>
    <w:rsid w:val="00851016"/>
    <w:rsid w:val="0087702C"/>
    <w:rsid w:val="008F01AE"/>
    <w:rsid w:val="009570B9"/>
    <w:rsid w:val="009A19ED"/>
    <w:rsid w:val="00B201F2"/>
    <w:rsid w:val="00B456F1"/>
    <w:rsid w:val="00C251B3"/>
    <w:rsid w:val="00C27633"/>
    <w:rsid w:val="00C341C7"/>
    <w:rsid w:val="00C65B3D"/>
    <w:rsid w:val="00C75118"/>
    <w:rsid w:val="00C82162"/>
    <w:rsid w:val="00CA7067"/>
    <w:rsid w:val="00D40559"/>
    <w:rsid w:val="00D93BC0"/>
    <w:rsid w:val="00D950DC"/>
    <w:rsid w:val="00DD672A"/>
    <w:rsid w:val="00E3751A"/>
    <w:rsid w:val="00E95F3C"/>
    <w:rsid w:val="00F46A10"/>
    <w:rsid w:val="00F60933"/>
    <w:rsid w:val="00FF47EE"/>
    <w:rsid w:val="01381A2C"/>
    <w:rsid w:val="030516AD"/>
    <w:rsid w:val="03463A74"/>
    <w:rsid w:val="03A1635F"/>
    <w:rsid w:val="03C37305"/>
    <w:rsid w:val="04334FFF"/>
    <w:rsid w:val="04543719"/>
    <w:rsid w:val="045937F4"/>
    <w:rsid w:val="04664971"/>
    <w:rsid w:val="04714B20"/>
    <w:rsid w:val="04D11406"/>
    <w:rsid w:val="04E23328"/>
    <w:rsid w:val="050505ED"/>
    <w:rsid w:val="06007F0A"/>
    <w:rsid w:val="062E2CC9"/>
    <w:rsid w:val="06567547"/>
    <w:rsid w:val="06EF6353"/>
    <w:rsid w:val="07D32EB9"/>
    <w:rsid w:val="07E46E00"/>
    <w:rsid w:val="0814540D"/>
    <w:rsid w:val="08300409"/>
    <w:rsid w:val="08302FF8"/>
    <w:rsid w:val="0845254C"/>
    <w:rsid w:val="08E81855"/>
    <w:rsid w:val="08ED0200"/>
    <w:rsid w:val="0946657C"/>
    <w:rsid w:val="096769A3"/>
    <w:rsid w:val="096F1B10"/>
    <w:rsid w:val="09806C85"/>
    <w:rsid w:val="09A37E9F"/>
    <w:rsid w:val="0A0E1339"/>
    <w:rsid w:val="0A173A74"/>
    <w:rsid w:val="0A4F7A65"/>
    <w:rsid w:val="0BC750FD"/>
    <w:rsid w:val="0C370800"/>
    <w:rsid w:val="0D073DB5"/>
    <w:rsid w:val="0D081033"/>
    <w:rsid w:val="0E564C35"/>
    <w:rsid w:val="0EC817E1"/>
    <w:rsid w:val="0F1C6141"/>
    <w:rsid w:val="0FE07C54"/>
    <w:rsid w:val="0FFD1618"/>
    <w:rsid w:val="10806817"/>
    <w:rsid w:val="10A546BD"/>
    <w:rsid w:val="10AD0B5D"/>
    <w:rsid w:val="10AE1BD9"/>
    <w:rsid w:val="10D96D50"/>
    <w:rsid w:val="11BA5E99"/>
    <w:rsid w:val="13337B71"/>
    <w:rsid w:val="13FA1B12"/>
    <w:rsid w:val="141C622E"/>
    <w:rsid w:val="14732EA1"/>
    <w:rsid w:val="147F5532"/>
    <w:rsid w:val="14D001B2"/>
    <w:rsid w:val="156C314D"/>
    <w:rsid w:val="15CB68F5"/>
    <w:rsid w:val="16B10157"/>
    <w:rsid w:val="172B1294"/>
    <w:rsid w:val="17505468"/>
    <w:rsid w:val="1752433D"/>
    <w:rsid w:val="17550DB0"/>
    <w:rsid w:val="17810296"/>
    <w:rsid w:val="17C601C4"/>
    <w:rsid w:val="18301429"/>
    <w:rsid w:val="18351C95"/>
    <w:rsid w:val="188D103C"/>
    <w:rsid w:val="190E35A0"/>
    <w:rsid w:val="191A70DD"/>
    <w:rsid w:val="19992B53"/>
    <w:rsid w:val="19CE23A1"/>
    <w:rsid w:val="19D014C8"/>
    <w:rsid w:val="19F45335"/>
    <w:rsid w:val="1A330456"/>
    <w:rsid w:val="1A4E76A5"/>
    <w:rsid w:val="1ADA1B6B"/>
    <w:rsid w:val="1B63147C"/>
    <w:rsid w:val="1C3244B8"/>
    <w:rsid w:val="1C461987"/>
    <w:rsid w:val="1C4B6410"/>
    <w:rsid w:val="1C67088B"/>
    <w:rsid w:val="1C970306"/>
    <w:rsid w:val="1CD13F56"/>
    <w:rsid w:val="1CD14F1F"/>
    <w:rsid w:val="1CEA3399"/>
    <w:rsid w:val="1DA60EEB"/>
    <w:rsid w:val="1F0F5E71"/>
    <w:rsid w:val="1F142A61"/>
    <w:rsid w:val="1F373426"/>
    <w:rsid w:val="1F642D26"/>
    <w:rsid w:val="1FAC2BD1"/>
    <w:rsid w:val="1FF45CE7"/>
    <w:rsid w:val="2107263D"/>
    <w:rsid w:val="21313216"/>
    <w:rsid w:val="214C4107"/>
    <w:rsid w:val="21A13C43"/>
    <w:rsid w:val="222E1FA2"/>
    <w:rsid w:val="22366385"/>
    <w:rsid w:val="224031F6"/>
    <w:rsid w:val="2282270A"/>
    <w:rsid w:val="229735F9"/>
    <w:rsid w:val="22AD2D70"/>
    <w:rsid w:val="23532900"/>
    <w:rsid w:val="2359594A"/>
    <w:rsid w:val="237962D0"/>
    <w:rsid w:val="23B37411"/>
    <w:rsid w:val="242E50EF"/>
    <w:rsid w:val="244E33BB"/>
    <w:rsid w:val="24775815"/>
    <w:rsid w:val="24D12D46"/>
    <w:rsid w:val="24FD0CF7"/>
    <w:rsid w:val="25FB3FD9"/>
    <w:rsid w:val="260B2287"/>
    <w:rsid w:val="26134134"/>
    <w:rsid w:val="271635D9"/>
    <w:rsid w:val="27280E94"/>
    <w:rsid w:val="27F61196"/>
    <w:rsid w:val="28814447"/>
    <w:rsid w:val="29283150"/>
    <w:rsid w:val="297A3C20"/>
    <w:rsid w:val="298C1931"/>
    <w:rsid w:val="29925FE1"/>
    <w:rsid w:val="29C972C6"/>
    <w:rsid w:val="2BD9110B"/>
    <w:rsid w:val="2C9D3BC7"/>
    <w:rsid w:val="2CF2686E"/>
    <w:rsid w:val="2E9E272A"/>
    <w:rsid w:val="2EAE6403"/>
    <w:rsid w:val="2F5C124E"/>
    <w:rsid w:val="31055C5A"/>
    <w:rsid w:val="3256187C"/>
    <w:rsid w:val="3259568C"/>
    <w:rsid w:val="32A66941"/>
    <w:rsid w:val="334B2415"/>
    <w:rsid w:val="339918AA"/>
    <w:rsid w:val="33BD2F62"/>
    <w:rsid w:val="33C148CD"/>
    <w:rsid w:val="341F407D"/>
    <w:rsid w:val="34BD4A82"/>
    <w:rsid w:val="351530F3"/>
    <w:rsid w:val="35211925"/>
    <w:rsid w:val="35524794"/>
    <w:rsid w:val="36577381"/>
    <w:rsid w:val="366115C7"/>
    <w:rsid w:val="368F242B"/>
    <w:rsid w:val="37285AB1"/>
    <w:rsid w:val="375C6F30"/>
    <w:rsid w:val="3781684D"/>
    <w:rsid w:val="3823766B"/>
    <w:rsid w:val="396748BA"/>
    <w:rsid w:val="3A751F6D"/>
    <w:rsid w:val="3AB6680E"/>
    <w:rsid w:val="3AD61658"/>
    <w:rsid w:val="3ADD7367"/>
    <w:rsid w:val="3AF50232"/>
    <w:rsid w:val="3B251FB8"/>
    <w:rsid w:val="3B3712DA"/>
    <w:rsid w:val="3B622014"/>
    <w:rsid w:val="3BFC6477"/>
    <w:rsid w:val="3C7D28D5"/>
    <w:rsid w:val="3C9506A5"/>
    <w:rsid w:val="3CE43836"/>
    <w:rsid w:val="3D027FC2"/>
    <w:rsid w:val="3D3D4FC4"/>
    <w:rsid w:val="3D4729D1"/>
    <w:rsid w:val="3DEB4A20"/>
    <w:rsid w:val="3E2D53F7"/>
    <w:rsid w:val="3EB62D94"/>
    <w:rsid w:val="3EEC7F81"/>
    <w:rsid w:val="3F0E1560"/>
    <w:rsid w:val="3FA71C20"/>
    <w:rsid w:val="3FDA2F9E"/>
    <w:rsid w:val="40606FB3"/>
    <w:rsid w:val="408A0869"/>
    <w:rsid w:val="40995D81"/>
    <w:rsid w:val="40DC28F6"/>
    <w:rsid w:val="416C231C"/>
    <w:rsid w:val="41B906C9"/>
    <w:rsid w:val="41C84509"/>
    <w:rsid w:val="421E5E45"/>
    <w:rsid w:val="42305ED2"/>
    <w:rsid w:val="42355182"/>
    <w:rsid w:val="43120BD6"/>
    <w:rsid w:val="43B14016"/>
    <w:rsid w:val="43F50190"/>
    <w:rsid w:val="4432163F"/>
    <w:rsid w:val="44476729"/>
    <w:rsid w:val="4546743F"/>
    <w:rsid w:val="45A13141"/>
    <w:rsid w:val="46966FC2"/>
    <w:rsid w:val="46F56910"/>
    <w:rsid w:val="47EE36B2"/>
    <w:rsid w:val="485E76F8"/>
    <w:rsid w:val="487A531F"/>
    <w:rsid w:val="48AF6D87"/>
    <w:rsid w:val="49CE6C17"/>
    <w:rsid w:val="4A437992"/>
    <w:rsid w:val="4CDE060B"/>
    <w:rsid w:val="4E3D5914"/>
    <w:rsid w:val="4E461B89"/>
    <w:rsid w:val="4F4C1097"/>
    <w:rsid w:val="4F844CD5"/>
    <w:rsid w:val="4FF32FA8"/>
    <w:rsid w:val="50EA0B03"/>
    <w:rsid w:val="512A57AB"/>
    <w:rsid w:val="515A3854"/>
    <w:rsid w:val="5276471A"/>
    <w:rsid w:val="52B20F97"/>
    <w:rsid w:val="52CC47C0"/>
    <w:rsid w:val="52E07D49"/>
    <w:rsid w:val="5374510A"/>
    <w:rsid w:val="53F5005F"/>
    <w:rsid w:val="550C37A2"/>
    <w:rsid w:val="563D2137"/>
    <w:rsid w:val="56836AB2"/>
    <w:rsid w:val="56BC2DE3"/>
    <w:rsid w:val="56D42C4D"/>
    <w:rsid w:val="56EF512A"/>
    <w:rsid w:val="57301D47"/>
    <w:rsid w:val="57487036"/>
    <w:rsid w:val="575D6537"/>
    <w:rsid w:val="57800B40"/>
    <w:rsid w:val="57CD2DFE"/>
    <w:rsid w:val="58244FE5"/>
    <w:rsid w:val="584B13F6"/>
    <w:rsid w:val="59217B49"/>
    <w:rsid w:val="59656964"/>
    <w:rsid w:val="59D926D2"/>
    <w:rsid w:val="5A034680"/>
    <w:rsid w:val="5AA52A54"/>
    <w:rsid w:val="5BC05975"/>
    <w:rsid w:val="5BD743DE"/>
    <w:rsid w:val="5C3A1541"/>
    <w:rsid w:val="5CA15F65"/>
    <w:rsid w:val="5D63281F"/>
    <w:rsid w:val="5D706898"/>
    <w:rsid w:val="5D731EE5"/>
    <w:rsid w:val="5D7C7100"/>
    <w:rsid w:val="5D89238E"/>
    <w:rsid w:val="5D8C28DB"/>
    <w:rsid w:val="5DA30A1C"/>
    <w:rsid w:val="5E1A42E3"/>
    <w:rsid w:val="5E3F6556"/>
    <w:rsid w:val="5E4A7A0E"/>
    <w:rsid w:val="5E8C3C37"/>
    <w:rsid w:val="5EBC6D64"/>
    <w:rsid w:val="5ED03402"/>
    <w:rsid w:val="5F182B4A"/>
    <w:rsid w:val="5FD163AE"/>
    <w:rsid w:val="60057BEA"/>
    <w:rsid w:val="6098413C"/>
    <w:rsid w:val="60B44CEE"/>
    <w:rsid w:val="60B460AF"/>
    <w:rsid w:val="619747AF"/>
    <w:rsid w:val="621C336D"/>
    <w:rsid w:val="629E5C56"/>
    <w:rsid w:val="62A05F08"/>
    <w:rsid w:val="62EA5BC6"/>
    <w:rsid w:val="630737FB"/>
    <w:rsid w:val="63C25DAA"/>
    <w:rsid w:val="64126CC6"/>
    <w:rsid w:val="648F0582"/>
    <w:rsid w:val="64F540D9"/>
    <w:rsid w:val="6559245A"/>
    <w:rsid w:val="65622F6B"/>
    <w:rsid w:val="658C415A"/>
    <w:rsid w:val="65BD6D5B"/>
    <w:rsid w:val="66C53C4A"/>
    <w:rsid w:val="673B297E"/>
    <w:rsid w:val="678F323C"/>
    <w:rsid w:val="67F105D6"/>
    <w:rsid w:val="68233EA0"/>
    <w:rsid w:val="687B1852"/>
    <w:rsid w:val="68A30209"/>
    <w:rsid w:val="68C86C57"/>
    <w:rsid w:val="69C2222A"/>
    <w:rsid w:val="6AA57F27"/>
    <w:rsid w:val="6CC37EB5"/>
    <w:rsid w:val="6D1139EB"/>
    <w:rsid w:val="6D3457FF"/>
    <w:rsid w:val="6E0E1EE1"/>
    <w:rsid w:val="6E2A4841"/>
    <w:rsid w:val="6EEF19E2"/>
    <w:rsid w:val="6F156D63"/>
    <w:rsid w:val="6F3D1DEF"/>
    <w:rsid w:val="6F963F3C"/>
    <w:rsid w:val="6FB940CF"/>
    <w:rsid w:val="6FE54B28"/>
    <w:rsid w:val="71276AD1"/>
    <w:rsid w:val="7160445C"/>
    <w:rsid w:val="71697143"/>
    <w:rsid w:val="716C6A50"/>
    <w:rsid w:val="7207397B"/>
    <w:rsid w:val="729E3A33"/>
    <w:rsid w:val="72C43B37"/>
    <w:rsid w:val="73670AB5"/>
    <w:rsid w:val="737D1DEA"/>
    <w:rsid w:val="748B2EA1"/>
    <w:rsid w:val="74AE0F56"/>
    <w:rsid w:val="76391AC6"/>
    <w:rsid w:val="7672193D"/>
    <w:rsid w:val="770403EE"/>
    <w:rsid w:val="771C50B0"/>
    <w:rsid w:val="771E190D"/>
    <w:rsid w:val="77832F9B"/>
    <w:rsid w:val="77C519A6"/>
    <w:rsid w:val="78063C29"/>
    <w:rsid w:val="784004D1"/>
    <w:rsid w:val="78725E9B"/>
    <w:rsid w:val="7877129B"/>
    <w:rsid w:val="787B0173"/>
    <w:rsid w:val="79302291"/>
    <w:rsid w:val="797D7F1B"/>
    <w:rsid w:val="79F44E86"/>
    <w:rsid w:val="79FE7AE0"/>
    <w:rsid w:val="7A083C89"/>
    <w:rsid w:val="7AA15E8B"/>
    <w:rsid w:val="7B424553"/>
    <w:rsid w:val="7BB96559"/>
    <w:rsid w:val="7C304A31"/>
    <w:rsid w:val="7C6520EB"/>
    <w:rsid w:val="7C85225C"/>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4"/>
    <w:next w:val="1"/>
    <w:qFormat/>
    <w:uiPriority w:val="0"/>
    <w:pPr>
      <w:keepNext/>
      <w:keepLines/>
      <w:snapToGrid w:val="0"/>
      <w:spacing w:beforeLines="50" w:afterLines="50"/>
      <w:outlineLvl w:val="1"/>
    </w:pPr>
    <w:rPr>
      <w:rFonts w:eastAsia="楷体_GB2312" w:cs="MS Gothic"/>
      <w:snapToGrid w:val="0"/>
      <w:kern w:val="0"/>
      <w:sz w:val="32"/>
      <w:szCs w:val="28"/>
    </w:rPr>
  </w:style>
  <w:style w:type="paragraph" w:styleId="4">
    <w:name w:val="heading 3"/>
    <w:basedOn w:val="1"/>
    <w:next w:val="1"/>
    <w:unhideWhenUsed/>
    <w:qFormat/>
    <w:uiPriority w:val="0"/>
    <w:pPr>
      <w:outlineLvl w:val="2"/>
    </w:pPr>
    <w:rPr>
      <w:rFonts w:asciiTheme="majorHAnsi" w:hAnsiTheme="majorHAnsi" w:eastAsiaTheme="majorEastAsia" w:cstheme="majorBidi"/>
      <w:b/>
      <w:bCs/>
      <w:sz w:val="28"/>
      <w:szCs w:val="32"/>
    </w:rPr>
  </w:style>
  <w:style w:type="paragraph" w:styleId="5">
    <w:name w:val="heading 4"/>
    <w:basedOn w:val="1"/>
    <w:next w:val="1"/>
    <w:unhideWhenUsed/>
    <w:qFormat/>
    <w:uiPriority w:val="0"/>
    <w:pPr>
      <w:keepNext/>
      <w:keepLines/>
      <w:outlineLvl w:val="3"/>
    </w:pPr>
    <w:rPr>
      <w:b/>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7">
    <w:name w:val="Body Text"/>
    <w:basedOn w:val="1"/>
    <w:next w:val="1"/>
    <w:qFormat/>
    <w:uiPriority w:val="99"/>
    <w:rPr>
      <w:sz w:val="28"/>
      <w:szCs w:val="28"/>
    </w:rPr>
  </w:style>
  <w:style w:type="paragraph" w:styleId="8">
    <w:name w:val="Body Text Indent"/>
    <w:basedOn w:val="1"/>
    <w:next w:val="7"/>
    <w:unhideWhenUsed/>
    <w:qFormat/>
    <w:uiPriority w:val="99"/>
    <w:pPr>
      <w:spacing w:after="120"/>
      <w:ind w:left="420" w:leftChars="200"/>
    </w:pPr>
  </w:style>
  <w:style w:type="paragraph" w:styleId="9">
    <w:name w:val="toc 5"/>
    <w:basedOn w:val="1"/>
    <w:next w:val="1"/>
    <w:semiHidden/>
    <w:qFormat/>
    <w:uiPriority w:val="0"/>
    <w:pPr>
      <w:ind w:left="1120"/>
      <w:jc w:val="left"/>
    </w:pPr>
    <w:rPr>
      <w:sz w:val="18"/>
      <w:szCs w:val="18"/>
    </w:rPr>
  </w:style>
  <w:style w:type="paragraph" w:styleId="10">
    <w:name w:val="Plain Text"/>
    <w:basedOn w:val="1"/>
    <w:qFormat/>
    <w:uiPriority w:val="0"/>
    <w:rPr>
      <w:rFonts w:ascii="宋体" w:hAnsi="Courier New" w:cs="Courier New"/>
      <w:szCs w:val="21"/>
    </w:rPr>
  </w:style>
  <w:style w:type="paragraph" w:styleId="11">
    <w:name w:val="Date"/>
    <w:basedOn w:val="1"/>
    <w:next w:val="1"/>
    <w:link w:val="46"/>
    <w:qFormat/>
    <w:uiPriority w:val="0"/>
    <w:pPr>
      <w:ind w:left="100" w:leftChars="2500"/>
    </w:pPr>
    <w:rPr>
      <w:rFonts w:ascii="Times New Roman" w:hAnsi="Times New Roman"/>
      <w:b/>
      <w:bCs/>
      <w:sz w:val="28"/>
    </w:rPr>
  </w:style>
  <w:style w:type="paragraph" w:styleId="12">
    <w:name w:val="Body Text Indent 2"/>
    <w:basedOn w:val="1"/>
    <w:qFormat/>
    <w:uiPriority w:val="0"/>
    <w:pPr>
      <w:ind w:firstLine="538" w:firstLineChars="192"/>
    </w:pPr>
    <w:rPr>
      <w:rFonts w:ascii="宋体" w:hAnsi="宋体"/>
      <w:sz w:val="28"/>
    </w:rPr>
  </w:style>
  <w:style w:type="paragraph" w:styleId="13">
    <w:name w:val="Balloon Text"/>
    <w:basedOn w:val="1"/>
    <w:link w:val="32"/>
    <w:qFormat/>
    <w:uiPriority w:val="0"/>
    <w:rPr>
      <w:sz w:val="18"/>
      <w:szCs w:val="18"/>
    </w:rPr>
  </w:style>
  <w:style w:type="paragraph" w:styleId="14">
    <w:name w:val="footer"/>
    <w:basedOn w:val="1"/>
    <w:next w:val="15"/>
    <w:qFormat/>
    <w:uiPriority w:val="0"/>
    <w:pPr>
      <w:tabs>
        <w:tab w:val="center" w:pos="4153"/>
        <w:tab w:val="right" w:pos="8306"/>
      </w:tabs>
      <w:snapToGrid w:val="0"/>
    </w:pPr>
    <w:rPr>
      <w:sz w:val="18"/>
      <w:szCs w:val="18"/>
    </w:rPr>
  </w:style>
  <w:style w:type="paragraph" w:styleId="15">
    <w:name w:val="Normal (Web)"/>
    <w:basedOn w:val="1"/>
    <w:next w:val="16"/>
    <w:qFormat/>
    <w:uiPriority w:val="0"/>
    <w:pPr>
      <w:spacing w:before="100" w:beforeAutospacing="1" w:after="100" w:afterAutospacing="1"/>
      <w:jc w:val="left"/>
    </w:pPr>
    <w:rPr>
      <w:kern w:val="0"/>
      <w:sz w:val="24"/>
    </w:rPr>
  </w:style>
  <w:style w:type="paragraph" w:customStyle="1" w:styleId="16">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jc w:val="left"/>
    </w:pPr>
    <w:rPr>
      <w:rFonts w:ascii="宋体"/>
      <w:b/>
      <w:bCs/>
      <w:caps/>
      <w:sz w:val="20"/>
      <w:szCs w:val="20"/>
    </w:rPr>
  </w:style>
  <w:style w:type="paragraph" w:styleId="19">
    <w:name w:val="Body Text Indent 3"/>
    <w:basedOn w:val="1"/>
    <w:qFormat/>
    <w:uiPriority w:val="0"/>
    <w:pPr>
      <w:ind w:firstLine="630"/>
    </w:pPr>
    <w:rPr>
      <w:rFonts w:ascii="Times New Roman" w:hAnsi="Times New Roman" w:eastAsia="仿宋_GB2312"/>
      <w:sz w:val="28"/>
    </w:rPr>
  </w:style>
  <w:style w:type="paragraph" w:styleId="20">
    <w:name w:val="Body Text First Indent"/>
    <w:basedOn w:val="7"/>
    <w:next w:val="1"/>
    <w:qFormat/>
    <w:uiPriority w:val="0"/>
    <w:pPr>
      <w:spacing w:after="120"/>
      <w:ind w:firstLine="420" w:firstLineChars="100"/>
    </w:pPr>
  </w:style>
  <w:style w:type="paragraph" w:styleId="21">
    <w:name w:val="Body Text First Indent 2"/>
    <w:basedOn w:val="8"/>
    <w:next w:val="22"/>
    <w:unhideWhenUsed/>
    <w:qFormat/>
    <w:uiPriority w:val="99"/>
    <w:pPr>
      <w:ind w:firstLine="420" w:firstLineChars="200"/>
    </w:pPr>
  </w:style>
  <w:style w:type="paragraph" w:customStyle="1" w:styleId="22">
    <w:name w:val="正文2"/>
    <w:basedOn w:val="1"/>
    <w:qFormat/>
    <w:uiPriority w:val="0"/>
    <w:pPr>
      <w:spacing w:line="440" w:lineRule="atLeast"/>
      <w:ind w:firstLine="567"/>
    </w:pPr>
    <w:rPr>
      <w:sz w:val="24"/>
      <w:szCs w:val="20"/>
    </w:rPr>
  </w:style>
  <w:style w:type="paragraph" w:customStyle="1" w:styleId="25">
    <w:name w:val="样式 首行缩进:  2 字符"/>
    <w:basedOn w:val="1"/>
    <w:next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6">
    <w:name w:val="Default"/>
    <w:basedOn w:val="27"/>
    <w:next w:val="21"/>
    <w:qFormat/>
    <w:uiPriority w:val="0"/>
    <w:pPr>
      <w:autoSpaceDE w:val="0"/>
      <w:autoSpaceDN w:val="0"/>
    </w:pPr>
    <w:rPr>
      <w:rFonts w:hint="eastAsia" w:ascii="宋体"/>
      <w:sz w:val="24"/>
    </w:rPr>
  </w:style>
  <w:style w:type="paragraph" w:customStyle="1" w:styleId="2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8">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29">
    <w:name w:val="样式 标题 2"/>
    <w:basedOn w:val="3"/>
    <w:qFormat/>
    <w:uiPriority w:val="0"/>
    <w:pPr>
      <w:spacing w:beforeLines="0" w:afterLines="0"/>
    </w:pPr>
    <w:rPr>
      <w:rFonts w:ascii="Arial" w:hAnsi="Arial" w:eastAsia="宋体" w:cs="宋体"/>
      <w:snapToGrid/>
      <w:kern w:val="2"/>
      <w:szCs w:val="32"/>
      <w:lang w:val="zh-CN"/>
    </w:rPr>
  </w:style>
  <w:style w:type="paragraph" w:customStyle="1" w:styleId="30">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p0"/>
    <w:basedOn w:val="1"/>
    <w:qFormat/>
    <w:uiPriority w:val="0"/>
    <w:pPr>
      <w:widowControl/>
    </w:pPr>
    <w:rPr>
      <w:kern w:val="0"/>
      <w:szCs w:val="21"/>
    </w:rPr>
  </w:style>
  <w:style w:type="character" w:customStyle="1" w:styleId="32">
    <w:name w:val="批注框文本 字符"/>
    <w:basedOn w:val="24"/>
    <w:link w:val="13"/>
    <w:qFormat/>
    <w:uiPriority w:val="0"/>
    <w:rPr>
      <w:rFonts w:ascii="Calibri" w:hAnsi="Calibri"/>
      <w:kern w:val="2"/>
      <w:sz w:val="18"/>
      <w:szCs w:val="18"/>
    </w:rPr>
  </w:style>
  <w:style w:type="paragraph" w:customStyle="1" w:styleId="33">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4">
    <w:name w:val="表头 Char Char Char"/>
    <w:basedOn w:val="24"/>
    <w:qFormat/>
    <w:uiPriority w:val="0"/>
    <w:rPr>
      <w:rFonts w:ascii="宋体" w:hAnsi="Tahoma" w:eastAsia="宋体"/>
      <w:snapToGrid w:val="0"/>
      <w:spacing w:val="6"/>
      <w:kern w:val="10"/>
      <w:sz w:val="24"/>
    </w:rPr>
  </w:style>
  <w:style w:type="paragraph" w:customStyle="1" w:styleId="35">
    <w:name w:val="表格居中"/>
    <w:basedOn w:val="36"/>
    <w:qFormat/>
    <w:uiPriority w:val="0"/>
    <w:pPr>
      <w:jc w:val="center"/>
    </w:pPr>
  </w:style>
  <w:style w:type="paragraph" w:customStyle="1" w:styleId="36">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7">
    <w:name w:val="伟灿工贸-表格文字"/>
    <w:basedOn w:val="1"/>
    <w:qFormat/>
    <w:uiPriority w:val="0"/>
    <w:pPr>
      <w:jc w:val="center"/>
    </w:pPr>
    <w:rPr>
      <w:rFonts w:hint="eastAsia" w:ascii="宋体" w:hAnsi="宋体" w:cs="宋体"/>
      <w:szCs w:val="21"/>
    </w:rPr>
  </w:style>
  <w:style w:type="paragraph" w:customStyle="1" w:styleId="38">
    <w:name w:val="QQ表正文"/>
    <w:basedOn w:val="1"/>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39">
    <w:name w:val="表名、图名"/>
    <w:basedOn w:val="1"/>
    <w:next w:val="1"/>
    <w:qFormat/>
    <w:uiPriority w:val="0"/>
    <w:pPr>
      <w:jc w:val="center"/>
    </w:pPr>
    <w:rPr>
      <w:b/>
      <w:bCs/>
    </w:rPr>
  </w:style>
  <w:style w:type="paragraph" w:customStyle="1" w:styleId="40">
    <w:name w:val="标题 三"/>
    <w:basedOn w:val="1"/>
    <w:qFormat/>
    <w:uiPriority w:val="0"/>
    <w:pPr>
      <w:tabs>
        <w:tab w:val="left" w:pos="3544"/>
      </w:tabs>
      <w:snapToGrid w:val="0"/>
      <w:spacing w:line="360" w:lineRule="auto"/>
      <w:outlineLvl w:val="2"/>
    </w:pPr>
    <w:rPr>
      <w:rFonts w:ascii="宋体" w:hAnsi="宋体"/>
      <w:b/>
      <w:bCs/>
      <w:sz w:val="28"/>
      <w:szCs w:val="28"/>
    </w:rPr>
  </w:style>
  <w:style w:type="paragraph" w:customStyle="1" w:styleId="41">
    <w:name w:val="ENFI正文"/>
    <w:basedOn w:val="1"/>
    <w:qFormat/>
    <w:uiPriority w:val="0"/>
    <w:pPr>
      <w:adjustRightInd w:val="0"/>
      <w:snapToGrid w:val="0"/>
      <w:ind w:firstLine="567"/>
    </w:pPr>
    <w:rPr>
      <w:rFonts w:eastAsia="仿宋_GB2312"/>
      <w:snapToGrid w:val="0"/>
      <w:color w:val="000000"/>
      <w:kern w:val="0"/>
      <w:sz w:val="28"/>
    </w:rPr>
  </w:style>
  <w:style w:type="paragraph" w:customStyle="1" w:styleId="42">
    <w:name w:val="工艺序号"/>
    <w:basedOn w:val="1"/>
    <w:qFormat/>
    <w:uiPriority w:val="0"/>
    <w:pPr>
      <w:numPr>
        <w:ilvl w:val="0"/>
        <w:numId w:val="1"/>
      </w:numPr>
    </w:pPr>
    <w:rPr>
      <w:b/>
      <w:bCs/>
    </w:rPr>
  </w:style>
  <w:style w:type="paragraph" w:customStyle="1" w:styleId="43">
    <w:name w:val="伟灿-表格文字"/>
    <w:basedOn w:val="1"/>
    <w:qFormat/>
    <w:uiPriority w:val="0"/>
    <w:pPr>
      <w:jc w:val="center"/>
    </w:pPr>
    <w:rPr>
      <w:rFonts w:hint="eastAsia" w:ascii="宋体" w:hAnsi="宋体" w:cs="宋体"/>
      <w:szCs w:val="21"/>
    </w:rPr>
  </w:style>
  <w:style w:type="paragraph" w:styleId="44">
    <w:name w:val="List Paragraph"/>
    <w:basedOn w:val="1"/>
    <w:qFormat/>
    <w:uiPriority w:val="99"/>
    <w:pPr>
      <w:ind w:firstLine="420" w:firstLineChars="200"/>
    </w:pPr>
  </w:style>
  <w:style w:type="paragraph" w:customStyle="1" w:styleId="45">
    <w:name w:val="表格1（标题）"/>
    <w:basedOn w:val="1"/>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6">
    <w:name w:val="日期 字符"/>
    <w:basedOn w:val="24"/>
    <w:link w:val="11"/>
    <w:qFormat/>
    <w:uiPriority w:val="0"/>
    <w:rPr>
      <w:b/>
      <w:bCs/>
      <w:kern w:val="2"/>
      <w:sz w:val="28"/>
      <w:szCs w:val="24"/>
    </w:rPr>
  </w:style>
  <w:style w:type="paragraph" w:customStyle="1" w:styleId="47">
    <w:name w:val="k-正文序列"/>
    <w:basedOn w:val="1"/>
    <w:qFormat/>
    <w:uiPriority w:val="0"/>
    <w:pPr>
      <w:numPr>
        <w:ilvl w:val="0"/>
        <w:numId w:val="2"/>
      </w:numPr>
    </w:pPr>
    <w:rPr>
      <w:rFonts w:hint="eastAsia" w:ascii="Times New Roman" w:hAnsi="Times New Roman"/>
    </w:rPr>
  </w:style>
  <w:style w:type="paragraph" w:customStyle="1" w:styleId="48">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1712</Words>
  <Characters>1936</Characters>
  <Lines>14</Lines>
  <Paragraphs>4</Paragraphs>
  <TotalTime>0</TotalTime>
  <ScaleCrop>false</ScaleCrop>
  <LinksUpToDate>false</LinksUpToDate>
  <CharactersWithSpaces>1938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2026-08-27T03:31:10Z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CF4A7C9B14FA44EBAF6ABBFE76CFD9FE_13</vt:lpwstr>
  </property>
  <property fmtid="{D5CDD505-2E9C-101B-9397-08002B2CF9AE}" pid="4" name="KSOTemplateDocerSaveRecord">
    <vt:lpwstr>eyJoZGlkIjoiNDgzMjdiZTZhYWEwMDUyMzMwMzdhZWM2ZmNjMGMzMDkiLCJ1c2VySWQiOiI1NzcyNjAwMzgifQ==</vt:lpwstr>
  </property>
</Properties>
</file>