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8E64BA">
      <w:pPr>
        <w:jc w:val="center"/>
        <w:rPr>
          <w:rFonts w:ascii="Times New Roman" w:hAnsi="Times New Roman"/>
          <w:sz w:val="28"/>
          <w:szCs w:val="28"/>
        </w:rPr>
      </w:pPr>
      <w:r>
        <w:rPr>
          <w:rFonts w:hint="eastAsia" w:ascii="Times New Roman" w:hAnsi="Times New Roman"/>
          <w:kern w:val="0"/>
          <w:sz w:val="28"/>
          <w:szCs w:val="28"/>
          <w:shd w:val="clear" w:color="auto" w:fill="FFFFFF"/>
        </w:rPr>
        <w:t>安全评价报告</w:t>
      </w:r>
      <w:r>
        <w:rPr>
          <w:rFonts w:ascii="Times New Roman" w:hAnsi="Times New Roman"/>
          <w:kern w:val="0"/>
          <w:sz w:val="28"/>
          <w:szCs w:val="28"/>
          <w:shd w:val="clear" w:color="auto" w:fill="FFFFFF"/>
        </w:rPr>
        <w:t>公开信息表</w:t>
      </w:r>
    </w:p>
    <w:tbl>
      <w:tblPr>
        <w:tblStyle w:val="24"/>
        <w:tblW w:w="9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1074"/>
        <w:gridCol w:w="1237"/>
        <w:gridCol w:w="4803"/>
        <w:gridCol w:w="2115"/>
      </w:tblGrid>
      <w:tr w14:paraId="2BAB0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4" w:type="dxa"/>
            <w:tcBorders>
              <w:tl2br w:val="nil"/>
              <w:tr2bl w:val="nil"/>
            </w:tcBorders>
            <w:shd w:val="clear" w:color="auto" w:fill="FFFFFF"/>
            <w:vAlign w:val="center"/>
          </w:tcPr>
          <w:p w14:paraId="1FAF31B7">
            <w:pPr>
              <w:widowControl/>
              <w:spacing w:after="150"/>
              <w:jc w:val="center"/>
              <w:rPr>
                <w:rFonts w:ascii="宋体" w:hAnsi="宋体" w:cs="宋体"/>
                <w:sz w:val="24"/>
              </w:rPr>
            </w:pPr>
            <w:r>
              <w:rPr>
                <w:rFonts w:hint="eastAsia" w:ascii="宋体" w:hAnsi="宋体" w:cs="宋体"/>
                <w:kern w:val="0"/>
                <w:sz w:val="24"/>
                <w:shd w:val="clear" w:color="auto" w:fill="FFFFFF"/>
              </w:rPr>
              <w:t>项目名称</w:t>
            </w:r>
          </w:p>
        </w:tc>
        <w:tc>
          <w:tcPr>
            <w:tcW w:w="8155" w:type="dxa"/>
            <w:gridSpan w:val="3"/>
            <w:tcBorders>
              <w:tl2br w:val="nil"/>
              <w:tr2bl w:val="nil"/>
            </w:tcBorders>
            <w:shd w:val="clear" w:color="auto" w:fill="FFFFFF"/>
            <w:vAlign w:val="center"/>
          </w:tcPr>
          <w:p w14:paraId="6AAF078E">
            <w:pPr>
              <w:widowControl/>
              <w:spacing w:after="150"/>
              <w:jc w:val="center"/>
              <w:rPr>
                <w:rFonts w:hint="eastAsia" w:ascii="宋体" w:hAnsi="宋体" w:eastAsia="宋体" w:cs="宋体"/>
                <w:sz w:val="24"/>
                <w:lang w:eastAsia="zh-CN"/>
              </w:rPr>
            </w:pPr>
            <w:bookmarkStart w:id="0" w:name="OLE_LINK17"/>
            <w:bookmarkStart w:id="1" w:name="_Hlk149577233"/>
            <w:bookmarkStart w:id="2" w:name="OLE_LINK2"/>
            <w:bookmarkStart w:id="3" w:name="_Hlk149577234"/>
            <w:bookmarkStart w:id="4" w:name="_Hlk149577236"/>
            <w:bookmarkStart w:id="5" w:name="_Hlk149577235"/>
            <w:bookmarkStart w:id="6" w:name="OLE_LINK123"/>
            <w:r>
              <w:rPr>
                <w:rFonts w:hint="eastAsia" w:ascii="宋体" w:hAnsi="宋体" w:eastAsia="宋体" w:cs="宋体"/>
                <w:sz w:val="24"/>
                <w:lang w:eastAsia="zh-CN"/>
              </w:rPr>
              <w:t>越凯(江西)新材料有限公司</w:t>
            </w:r>
            <w:bookmarkEnd w:id="0"/>
            <w:r>
              <w:rPr>
                <w:rFonts w:hint="eastAsia" w:ascii="宋体" w:hAnsi="宋体" w:eastAsia="宋体" w:cs="宋体"/>
                <w:sz w:val="24"/>
                <w:lang w:eastAsia="zh-CN"/>
              </w:rPr>
              <w:t>越凯江西新材料有限公司电子化学品及化工原料生产项目安全条件评价报告</w:t>
            </w:r>
            <w:bookmarkEnd w:id="1"/>
            <w:bookmarkEnd w:id="2"/>
            <w:bookmarkEnd w:id="3"/>
            <w:bookmarkEnd w:id="4"/>
            <w:bookmarkEnd w:id="5"/>
            <w:bookmarkEnd w:id="6"/>
          </w:p>
        </w:tc>
      </w:tr>
      <w:tr w14:paraId="04AF1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4" w:type="dxa"/>
            <w:tcBorders>
              <w:tl2br w:val="nil"/>
              <w:tr2bl w:val="nil"/>
            </w:tcBorders>
            <w:shd w:val="clear" w:color="auto" w:fill="FFFFFF"/>
            <w:vAlign w:val="center"/>
          </w:tcPr>
          <w:p w14:paraId="22DDF148">
            <w:pPr>
              <w:widowControl/>
              <w:spacing w:after="150"/>
              <w:jc w:val="center"/>
              <w:rPr>
                <w:rFonts w:ascii="宋体" w:hAnsi="宋体" w:cs="宋体"/>
                <w:sz w:val="24"/>
              </w:rPr>
            </w:pPr>
            <w:r>
              <w:rPr>
                <w:rFonts w:hint="eastAsia" w:ascii="宋体" w:hAnsi="宋体" w:cs="宋体"/>
                <w:kern w:val="0"/>
                <w:sz w:val="24"/>
                <w:shd w:val="clear" w:color="auto" w:fill="FFFFFF"/>
              </w:rPr>
              <w:t>完成时间</w:t>
            </w:r>
          </w:p>
        </w:tc>
        <w:tc>
          <w:tcPr>
            <w:tcW w:w="8155" w:type="dxa"/>
            <w:gridSpan w:val="3"/>
            <w:tcBorders>
              <w:tl2br w:val="nil"/>
              <w:tr2bl w:val="nil"/>
            </w:tcBorders>
            <w:shd w:val="clear" w:color="auto" w:fill="FFFFFF"/>
            <w:vAlign w:val="center"/>
          </w:tcPr>
          <w:p w14:paraId="2F4C4CCD">
            <w:pPr>
              <w:widowControl/>
              <w:spacing w:after="150"/>
              <w:jc w:val="center"/>
              <w:rPr>
                <w:rFonts w:ascii="宋体" w:hAnsi="宋体" w:cs="宋体"/>
                <w:sz w:val="24"/>
              </w:rPr>
            </w:pPr>
            <w:r>
              <w:rPr>
                <w:rFonts w:hint="eastAsia" w:ascii="宋体" w:hAnsi="宋体" w:cs="宋体"/>
                <w:sz w:val="24"/>
                <w:lang w:val="en-US" w:eastAsia="zh-CN"/>
              </w:rPr>
              <w:t>2026</w:t>
            </w:r>
            <w:r>
              <w:rPr>
                <w:rFonts w:hint="eastAsia" w:ascii="宋体" w:hAnsi="宋体" w:cs="宋体"/>
                <w:sz w:val="24"/>
              </w:rPr>
              <w:t>年</w:t>
            </w:r>
            <w:r>
              <w:rPr>
                <w:rFonts w:hint="eastAsia" w:ascii="宋体" w:hAnsi="宋体" w:cs="宋体"/>
                <w:sz w:val="24"/>
                <w:lang w:val="en-US" w:eastAsia="zh-CN"/>
              </w:rPr>
              <w:t>6</w:t>
            </w:r>
            <w:r>
              <w:rPr>
                <w:rFonts w:hint="eastAsia" w:ascii="宋体" w:hAnsi="宋体" w:cs="宋体"/>
                <w:sz w:val="24"/>
              </w:rPr>
              <w:t>月</w:t>
            </w:r>
          </w:p>
        </w:tc>
      </w:tr>
      <w:tr w14:paraId="2EFF2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229" w:type="dxa"/>
            <w:gridSpan w:val="4"/>
            <w:tcBorders>
              <w:tl2br w:val="nil"/>
              <w:tr2bl w:val="nil"/>
            </w:tcBorders>
            <w:shd w:val="clear" w:color="auto" w:fill="FFFFFF"/>
            <w:vAlign w:val="center"/>
          </w:tcPr>
          <w:p w14:paraId="09C8A51D">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评价人员</w:t>
            </w:r>
          </w:p>
        </w:tc>
      </w:tr>
      <w:tr w14:paraId="5190A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4" w:type="dxa"/>
            <w:tcBorders>
              <w:tl2br w:val="nil"/>
              <w:tr2bl w:val="nil"/>
            </w:tcBorders>
            <w:shd w:val="clear" w:color="auto" w:fill="FFFFFF"/>
            <w:vAlign w:val="center"/>
          </w:tcPr>
          <w:p w14:paraId="307511B6">
            <w:pPr>
              <w:jc w:val="center"/>
              <w:rPr>
                <w:rFonts w:ascii="宋体" w:hAnsi="宋体" w:cs="宋体"/>
                <w:sz w:val="24"/>
              </w:rPr>
            </w:pPr>
          </w:p>
        </w:tc>
        <w:tc>
          <w:tcPr>
            <w:tcW w:w="1237" w:type="dxa"/>
            <w:tcBorders>
              <w:tl2br w:val="nil"/>
              <w:tr2bl w:val="nil"/>
            </w:tcBorders>
            <w:shd w:val="clear" w:color="auto" w:fill="FFFFFF"/>
            <w:vAlign w:val="center"/>
          </w:tcPr>
          <w:p w14:paraId="2B027815">
            <w:pPr>
              <w:widowControl/>
              <w:spacing w:after="150"/>
              <w:jc w:val="center"/>
              <w:rPr>
                <w:rFonts w:ascii="宋体" w:hAnsi="宋体" w:cs="宋体"/>
                <w:sz w:val="24"/>
              </w:rPr>
            </w:pPr>
            <w:r>
              <w:rPr>
                <w:rFonts w:hint="eastAsia" w:ascii="宋体" w:hAnsi="宋体" w:cs="宋体"/>
                <w:kern w:val="0"/>
                <w:sz w:val="24"/>
                <w:shd w:val="clear" w:color="auto" w:fill="FFFFFF"/>
              </w:rPr>
              <w:t>姓名</w:t>
            </w:r>
          </w:p>
        </w:tc>
        <w:tc>
          <w:tcPr>
            <w:tcW w:w="4803" w:type="dxa"/>
            <w:tcBorders>
              <w:tl2br w:val="nil"/>
              <w:tr2bl w:val="nil"/>
            </w:tcBorders>
            <w:shd w:val="clear" w:color="auto" w:fill="FFFFFF"/>
            <w:vAlign w:val="center"/>
          </w:tcPr>
          <w:p w14:paraId="656D549A">
            <w:pPr>
              <w:widowControl/>
              <w:spacing w:after="150"/>
              <w:jc w:val="center"/>
              <w:rPr>
                <w:rFonts w:ascii="宋体" w:hAnsi="宋体" w:cs="宋体"/>
                <w:sz w:val="24"/>
              </w:rPr>
            </w:pPr>
            <w:r>
              <w:rPr>
                <w:rFonts w:hint="eastAsia" w:ascii="宋体" w:hAnsi="宋体" w:cs="宋体"/>
                <w:kern w:val="0"/>
                <w:sz w:val="24"/>
                <w:shd w:val="clear" w:color="auto" w:fill="FFFFFF"/>
              </w:rPr>
              <w:t>资格证书号</w:t>
            </w:r>
          </w:p>
        </w:tc>
        <w:tc>
          <w:tcPr>
            <w:tcW w:w="2115" w:type="dxa"/>
            <w:tcBorders>
              <w:tl2br w:val="nil"/>
              <w:tr2bl w:val="nil"/>
            </w:tcBorders>
            <w:shd w:val="clear" w:color="auto" w:fill="FFFFFF"/>
            <w:vAlign w:val="center"/>
          </w:tcPr>
          <w:p w14:paraId="57404C5E">
            <w:pPr>
              <w:widowControl/>
              <w:spacing w:after="150"/>
              <w:jc w:val="center"/>
              <w:rPr>
                <w:rFonts w:ascii="宋体" w:hAnsi="宋体" w:cs="宋体"/>
                <w:sz w:val="24"/>
              </w:rPr>
            </w:pPr>
            <w:r>
              <w:rPr>
                <w:rFonts w:hint="eastAsia" w:ascii="宋体" w:hAnsi="宋体" w:cs="宋体"/>
                <w:kern w:val="0"/>
                <w:sz w:val="24"/>
                <w:shd w:val="clear" w:color="auto" w:fill="FFFFFF"/>
              </w:rPr>
              <w:t>从业号</w:t>
            </w:r>
          </w:p>
        </w:tc>
      </w:tr>
      <w:tr w14:paraId="3FC45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2" w:hRule="atLeast"/>
          <w:jc w:val="center"/>
        </w:trPr>
        <w:tc>
          <w:tcPr>
            <w:tcW w:w="1074" w:type="dxa"/>
            <w:tcBorders>
              <w:tl2br w:val="nil"/>
              <w:tr2bl w:val="nil"/>
            </w:tcBorders>
            <w:shd w:val="clear" w:color="auto" w:fill="FFFFFF"/>
            <w:vAlign w:val="center"/>
          </w:tcPr>
          <w:p w14:paraId="78B56D90">
            <w:pPr>
              <w:jc w:val="center"/>
              <w:rPr>
                <w:rFonts w:ascii="宋体" w:hAnsi="宋体" w:cs="宋体"/>
                <w:sz w:val="24"/>
              </w:rPr>
            </w:pPr>
            <w:r>
              <w:rPr>
                <w:rFonts w:hint="eastAsia" w:ascii="宋体" w:hAnsi="宋体" w:cs="宋体"/>
                <w:sz w:val="24"/>
              </w:rPr>
              <w:t>项目负责人</w:t>
            </w:r>
          </w:p>
        </w:tc>
        <w:tc>
          <w:tcPr>
            <w:tcW w:w="1237" w:type="dxa"/>
            <w:tcBorders>
              <w:tl2br w:val="nil"/>
              <w:tr2bl w:val="nil"/>
            </w:tcBorders>
            <w:shd w:val="clear" w:color="auto" w:fill="FFFFFF"/>
            <w:vAlign w:val="center"/>
          </w:tcPr>
          <w:p w14:paraId="15D66A6B">
            <w:pPr>
              <w:jc w:val="center"/>
              <w:rPr>
                <w:rFonts w:hint="eastAsia" w:ascii="宋体" w:hAnsi="宋体" w:eastAsia="宋体" w:cs="宋体"/>
                <w:sz w:val="24"/>
                <w:lang w:eastAsia="zh-CN"/>
              </w:rPr>
            </w:pPr>
            <w:r>
              <w:rPr>
                <w:rFonts w:hint="eastAsia" w:ascii="宋体" w:hAnsi="宋体" w:cs="宋体"/>
                <w:sz w:val="24"/>
                <w:lang w:val="en-US" w:eastAsia="zh-CN"/>
              </w:rPr>
              <w:t>熊克书</w:t>
            </w:r>
          </w:p>
        </w:tc>
        <w:tc>
          <w:tcPr>
            <w:tcW w:w="4803" w:type="dxa"/>
            <w:tcBorders>
              <w:tl2br w:val="nil"/>
              <w:tr2bl w:val="nil"/>
            </w:tcBorders>
            <w:shd w:val="clear" w:color="auto" w:fill="FFFFFF"/>
            <w:vAlign w:val="center"/>
          </w:tcPr>
          <w:p w14:paraId="2E3657AA">
            <w:pPr>
              <w:jc w:val="center"/>
              <w:rPr>
                <w:rFonts w:ascii="宋体" w:hAnsi="宋体" w:cs="宋体"/>
                <w:sz w:val="24"/>
              </w:rPr>
            </w:pPr>
            <w:r>
              <w:rPr>
                <w:rFonts w:hint="eastAsia" w:ascii="宋体" w:hAnsi="宋体" w:cs="宋体"/>
                <w:sz w:val="24"/>
              </w:rPr>
              <w:t>S011035000110192001546</w:t>
            </w:r>
          </w:p>
        </w:tc>
        <w:tc>
          <w:tcPr>
            <w:tcW w:w="2115" w:type="dxa"/>
            <w:tcBorders>
              <w:tl2br w:val="nil"/>
              <w:tr2bl w:val="nil"/>
            </w:tcBorders>
            <w:shd w:val="clear" w:color="auto" w:fill="FFFFFF"/>
            <w:vAlign w:val="center"/>
          </w:tcPr>
          <w:p w14:paraId="1D907D16">
            <w:pPr>
              <w:widowControl/>
              <w:jc w:val="center"/>
              <w:rPr>
                <w:rFonts w:ascii="宋体" w:hAnsi="宋体" w:cs="宋体"/>
                <w:sz w:val="24"/>
              </w:rPr>
            </w:pPr>
            <w:r>
              <w:rPr>
                <w:rFonts w:hint="eastAsia" w:ascii="宋体" w:hAnsi="宋体" w:cs="宋体"/>
                <w:sz w:val="24"/>
              </w:rPr>
              <w:t>027024</w:t>
            </w:r>
          </w:p>
        </w:tc>
      </w:tr>
      <w:tr w14:paraId="6D474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2" w:hRule="atLeast"/>
          <w:jc w:val="center"/>
        </w:trPr>
        <w:tc>
          <w:tcPr>
            <w:tcW w:w="1074" w:type="dxa"/>
            <w:vMerge w:val="restart"/>
            <w:tcBorders>
              <w:tl2br w:val="nil"/>
              <w:tr2bl w:val="nil"/>
            </w:tcBorders>
            <w:shd w:val="clear" w:color="auto" w:fill="FFFFFF"/>
            <w:vAlign w:val="center"/>
          </w:tcPr>
          <w:p w14:paraId="6811B0B8">
            <w:pPr>
              <w:jc w:val="center"/>
              <w:rPr>
                <w:rFonts w:ascii="宋体" w:hAnsi="宋体" w:cs="宋体"/>
                <w:sz w:val="24"/>
              </w:rPr>
            </w:pPr>
            <w:r>
              <w:rPr>
                <w:rFonts w:hint="eastAsia" w:ascii="宋体" w:hAnsi="宋体" w:cs="宋体"/>
                <w:sz w:val="24"/>
              </w:rPr>
              <w:t>项目组成员</w:t>
            </w:r>
          </w:p>
        </w:tc>
        <w:tc>
          <w:tcPr>
            <w:tcW w:w="1237" w:type="dxa"/>
            <w:tcBorders>
              <w:tl2br w:val="nil"/>
              <w:tr2bl w:val="nil"/>
            </w:tcBorders>
            <w:shd w:val="clear" w:color="auto" w:fill="FFFFFF"/>
            <w:vAlign w:val="center"/>
          </w:tcPr>
          <w:p w14:paraId="29AAE57A">
            <w:pPr>
              <w:keepNext w:val="0"/>
              <w:keepLines w:val="0"/>
              <w:pageBreakBefore w:val="0"/>
              <w:widowControl w:val="0"/>
              <w:kinsoku/>
              <w:wordWrap/>
              <w:overflowPunct/>
              <w:topLinePunct w:val="0"/>
              <w:autoSpaceDE/>
              <w:autoSpaceDN/>
              <w:bidi w:val="0"/>
              <w:adjustRightInd/>
              <w:snapToGrid/>
              <w:spacing w:before="190" w:beforeLines="50" w:after="190" w:afterLines="50" w:line="400" w:lineRule="exact"/>
              <w:ind w:firstLine="0" w:firstLineChars="0"/>
              <w:jc w:val="center"/>
              <w:textAlignment w:val="auto"/>
              <w:rPr>
                <w:rFonts w:hint="eastAsia" w:ascii="宋体" w:hAnsi="宋体" w:cs="宋体"/>
                <w:sz w:val="24"/>
                <w:lang w:val="en-US" w:eastAsia="zh-CN"/>
              </w:rPr>
            </w:pPr>
            <w:r>
              <w:rPr>
                <w:rFonts w:hint="eastAsia" w:ascii="Times New Roman" w:hAnsi="Times New Roman" w:eastAsia="宋体" w:cs="Times New Roman"/>
                <w:color w:val="auto"/>
                <w:kern w:val="2"/>
                <w:sz w:val="24"/>
                <w:szCs w:val="24"/>
                <w:lang w:val="en-US" w:eastAsia="zh-CN" w:bidi="ar-SA"/>
              </w:rPr>
              <w:t>谢雨飞</w:t>
            </w:r>
          </w:p>
        </w:tc>
        <w:tc>
          <w:tcPr>
            <w:tcW w:w="4803" w:type="dxa"/>
            <w:tcBorders>
              <w:tl2br w:val="nil"/>
              <w:tr2bl w:val="nil"/>
            </w:tcBorders>
            <w:shd w:val="clear" w:color="auto" w:fill="FFFFFF"/>
            <w:vAlign w:val="center"/>
          </w:tcPr>
          <w:p w14:paraId="261BC060">
            <w:pPr>
              <w:keepNext w:val="0"/>
              <w:keepLines w:val="0"/>
              <w:pageBreakBefore w:val="0"/>
              <w:widowControl w:val="0"/>
              <w:kinsoku/>
              <w:wordWrap/>
              <w:overflowPunct/>
              <w:topLinePunct w:val="0"/>
              <w:autoSpaceDE/>
              <w:autoSpaceDN/>
              <w:bidi w:val="0"/>
              <w:adjustRightInd/>
              <w:snapToGrid/>
              <w:spacing w:before="190" w:beforeLines="50" w:after="190" w:afterLines="50" w:line="400" w:lineRule="exact"/>
              <w:ind w:firstLine="0" w:firstLineChars="0"/>
              <w:jc w:val="center"/>
              <w:textAlignment w:val="auto"/>
              <w:rPr>
                <w:rFonts w:hint="eastAsia" w:ascii="宋体" w:hAnsi="宋体" w:cs="宋体"/>
                <w:color w:val="000000"/>
                <w:sz w:val="24"/>
                <w:szCs w:val="24"/>
                <w:lang w:val="en-US" w:eastAsia="zh-CN"/>
              </w:rPr>
            </w:pPr>
            <w:r>
              <w:rPr>
                <w:rFonts w:hint="eastAsia" w:ascii="Times New Roman" w:hAnsi="Times New Roman" w:eastAsia="宋体" w:cs="Times New Roman"/>
                <w:color w:val="auto"/>
                <w:kern w:val="2"/>
                <w:sz w:val="24"/>
                <w:szCs w:val="24"/>
                <w:lang w:val="en-US" w:eastAsia="zh-CN" w:bidi="ar-SA"/>
              </w:rPr>
              <w:t>20211004636000000716</w:t>
            </w:r>
          </w:p>
        </w:tc>
        <w:tc>
          <w:tcPr>
            <w:tcW w:w="2115" w:type="dxa"/>
            <w:tcBorders>
              <w:tl2br w:val="nil"/>
              <w:tr2bl w:val="nil"/>
            </w:tcBorders>
            <w:shd w:val="clear" w:color="auto" w:fill="FFFFFF"/>
            <w:vAlign w:val="center"/>
          </w:tcPr>
          <w:p w14:paraId="615A440E">
            <w:pPr>
              <w:keepNext w:val="0"/>
              <w:keepLines w:val="0"/>
              <w:pageBreakBefore w:val="0"/>
              <w:widowControl w:val="0"/>
              <w:kinsoku/>
              <w:wordWrap/>
              <w:overflowPunct/>
              <w:topLinePunct w:val="0"/>
              <w:autoSpaceDE/>
              <w:autoSpaceDN/>
              <w:bidi w:val="0"/>
              <w:adjustRightInd/>
              <w:snapToGrid/>
              <w:spacing w:before="190" w:beforeLines="50" w:after="190" w:afterLines="50" w:line="400" w:lineRule="exact"/>
              <w:ind w:firstLine="0" w:firstLineChars="0"/>
              <w:jc w:val="center"/>
              <w:textAlignment w:val="auto"/>
              <w:rPr>
                <w:rFonts w:hint="eastAsia" w:ascii="宋体" w:hAnsi="宋体" w:cs="宋体"/>
                <w:color w:val="000000"/>
                <w:sz w:val="24"/>
                <w:szCs w:val="24"/>
                <w:lang w:val="en-US" w:eastAsia="zh-CN"/>
              </w:rPr>
            </w:pPr>
            <w:r>
              <w:rPr>
                <w:rFonts w:hint="eastAsia" w:ascii="Times New Roman" w:hAnsi="Times New Roman" w:eastAsia="宋体" w:cs="Times New Roman"/>
                <w:color w:val="auto"/>
                <w:kern w:val="2"/>
                <w:sz w:val="24"/>
                <w:szCs w:val="24"/>
                <w:lang w:val="en-US" w:eastAsia="zh-CN" w:bidi="ar-SA"/>
              </w:rPr>
              <w:t>36230354334</w:t>
            </w:r>
          </w:p>
        </w:tc>
      </w:tr>
      <w:tr w14:paraId="7B1D5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9" w:hRule="atLeast"/>
          <w:jc w:val="center"/>
        </w:trPr>
        <w:tc>
          <w:tcPr>
            <w:tcW w:w="1074" w:type="dxa"/>
            <w:vMerge w:val="continue"/>
            <w:tcBorders>
              <w:tl2br w:val="nil"/>
              <w:tr2bl w:val="nil"/>
            </w:tcBorders>
            <w:shd w:val="clear" w:color="auto" w:fill="FFFFFF"/>
            <w:vAlign w:val="center"/>
          </w:tcPr>
          <w:p w14:paraId="12B64AF0">
            <w:pPr>
              <w:jc w:val="center"/>
              <w:rPr>
                <w:rFonts w:hint="eastAsia" w:ascii="宋体" w:hAnsi="宋体" w:cs="宋体"/>
                <w:sz w:val="24"/>
              </w:rPr>
            </w:pPr>
          </w:p>
        </w:tc>
        <w:tc>
          <w:tcPr>
            <w:tcW w:w="1237" w:type="dxa"/>
            <w:tcBorders>
              <w:tl2br w:val="nil"/>
              <w:tr2bl w:val="nil"/>
            </w:tcBorders>
            <w:shd w:val="clear" w:color="auto" w:fill="FFFFFF"/>
            <w:vAlign w:val="center"/>
          </w:tcPr>
          <w:p w14:paraId="4D3CA70C">
            <w:pPr>
              <w:keepNext w:val="0"/>
              <w:keepLines w:val="0"/>
              <w:pageBreakBefore w:val="0"/>
              <w:widowControl w:val="0"/>
              <w:kinsoku/>
              <w:wordWrap/>
              <w:overflowPunct/>
              <w:topLinePunct w:val="0"/>
              <w:autoSpaceDE/>
              <w:autoSpaceDN/>
              <w:bidi w:val="0"/>
              <w:adjustRightInd/>
              <w:snapToGrid/>
              <w:spacing w:before="190" w:beforeLines="50" w:after="190" w:afterLines="50" w:line="400" w:lineRule="exact"/>
              <w:ind w:firstLine="0" w:firstLineChars="0"/>
              <w:jc w:val="center"/>
              <w:textAlignment w:val="auto"/>
              <w:rPr>
                <w:rFonts w:hint="eastAsia" w:ascii="宋体" w:hAnsi="宋体" w:cs="宋体"/>
                <w:sz w:val="24"/>
                <w:lang w:val="en-US" w:eastAsia="zh-CN"/>
              </w:rPr>
            </w:pPr>
            <w:r>
              <w:rPr>
                <w:rFonts w:hint="eastAsia" w:ascii="Times New Roman" w:hAnsi="Times New Roman" w:eastAsia="宋体" w:cs="Times New Roman"/>
                <w:color w:val="auto"/>
                <w:kern w:val="2"/>
                <w:sz w:val="24"/>
                <w:szCs w:val="24"/>
                <w:lang w:val="en-US" w:eastAsia="zh-CN" w:bidi="ar-SA"/>
              </w:rPr>
              <w:t>程冬红</w:t>
            </w:r>
          </w:p>
        </w:tc>
        <w:tc>
          <w:tcPr>
            <w:tcW w:w="4803" w:type="dxa"/>
            <w:tcBorders>
              <w:tl2br w:val="nil"/>
              <w:tr2bl w:val="nil"/>
            </w:tcBorders>
            <w:shd w:val="clear" w:color="auto" w:fill="FFFFFF"/>
            <w:vAlign w:val="center"/>
          </w:tcPr>
          <w:p w14:paraId="4971E7B0">
            <w:pPr>
              <w:keepNext w:val="0"/>
              <w:keepLines w:val="0"/>
              <w:pageBreakBefore w:val="0"/>
              <w:widowControl w:val="0"/>
              <w:kinsoku/>
              <w:wordWrap/>
              <w:overflowPunct/>
              <w:topLinePunct w:val="0"/>
              <w:autoSpaceDE/>
              <w:autoSpaceDN/>
              <w:bidi w:val="0"/>
              <w:adjustRightInd/>
              <w:snapToGrid/>
              <w:spacing w:before="190" w:beforeLines="50" w:after="190" w:afterLines="50" w:line="400" w:lineRule="exact"/>
              <w:ind w:firstLine="0" w:firstLineChars="0"/>
              <w:jc w:val="center"/>
              <w:textAlignment w:val="auto"/>
              <w:rPr>
                <w:rFonts w:hint="eastAsia" w:ascii="宋体" w:hAnsi="宋体" w:cs="宋体"/>
                <w:color w:val="000000"/>
                <w:sz w:val="24"/>
                <w:szCs w:val="24"/>
                <w:lang w:val="en-US" w:eastAsia="zh-CN"/>
              </w:rPr>
            </w:pPr>
            <w:r>
              <w:rPr>
                <w:rFonts w:hint="eastAsia" w:ascii="Times New Roman" w:hAnsi="Times New Roman" w:eastAsia="宋体" w:cs="Times New Roman"/>
                <w:color w:val="auto"/>
                <w:kern w:val="2"/>
                <w:sz w:val="24"/>
                <w:szCs w:val="24"/>
                <w:lang w:val="en-US" w:eastAsia="zh-CN" w:bidi="ar-SA"/>
              </w:rPr>
              <w:t>1500000000301714</w:t>
            </w:r>
          </w:p>
        </w:tc>
        <w:tc>
          <w:tcPr>
            <w:tcW w:w="2115" w:type="dxa"/>
            <w:tcBorders>
              <w:tl2br w:val="nil"/>
              <w:tr2bl w:val="nil"/>
            </w:tcBorders>
            <w:shd w:val="clear" w:color="auto" w:fill="FFFFFF"/>
            <w:vAlign w:val="center"/>
          </w:tcPr>
          <w:p w14:paraId="4558A5C7">
            <w:pPr>
              <w:keepNext w:val="0"/>
              <w:keepLines w:val="0"/>
              <w:pageBreakBefore w:val="0"/>
              <w:widowControl w:val="0"/>
              <w:kinsoku/>
              <w:wordWrap/>
              <w:overflowPunct/>
              <w:topLinePunct w:val="0"/>
              <w:autoSpaceDE/>
              <w:autoSpaceDN/>
              <w:bidi w:val="0"/>
              <w:adjustRightInd/>
              <w:snapToGrid/>
              <w:spacing w:before="190" w:beforeLines="50" w:after="190" w:afterLines="50" w:line="400" w:lineRule="exact"/>
              <w:ind w:firstLine="0" w:firstLineChars="0"/>
              <w:jc w:val="center"/>
              <w:textAlignment w:val="auto"/>
              <w:rPr>
                <w:rFonts w:hint="eastAsia" w:ascii="宋体" w:hAnsi="宋体" w:cs="宋体"/>
                <w:color w:val="000000"/>
                <w:sz w:val="24"/>
                <w:szCs w:val="24"/>
                <w:lang w:val="en-US" w:eastAsia="zh-CN"/>
              </w:rPr>
            </w:pPr>
            <w:r>
              <w:rPr>
                <w:rFonts w:hint="eastAsia" w:ascii="Times New Roman" w:hAnsi="Times New Roman" w:eastAsia="宋体" w:cs="Times New Roman"/>
                <w:color w:val="auto"/>
                <w:kern w:val="2"/>
                <w:sz w:val="24"/>
                <w:szCs w:val="24"/>
                <w:lang w:val="en-US" w:eastAsia="zh-CN" w:bidi="ar-SA"/>
              </w:rPr>
              <w:t>026812</w:t>
            </w:r>
          </w:p>
        </w:tc>
      </w:tr>
      <w:tr w14:paraId="01A4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9" w:hRule="atLeast"/>
          <w:jc w:val="center"/>
        </w:trPr>
        <w:tc>
          <w:tcPr>
            <w:tcW w:w="1074" w:type="dxa"/>
            <w:vMerge w:val="continue"/>
            <w:tcBorders>
              <w:tl2br w:val="nil"/>
              <w:tr2bl w:val="nil"/>
            </w:tcBorders>
            <w:shd w:val="clear" w:color="auto" w:fill="FFFFFF"/>
            <w:vAlign w:val="center"/>
          </w:tcPr>
          <w:p w14:paraId="2F69E342">
            <w:pPr>
              <w:jc w:val="center"/>
              <w:rPr>
                <w:rFonts w:ascii="宋体" w:hAnsi="宋体" w:cs="宋体"/>
                <w:sz w:val="24"/>
              </w:rPr>
            </w:pPr>
          </w:p>
        </w:tc>
        <w:tc>
          <w:tcPr>
            <w:tcW w:w="1237" w:type="dxa"/>
            <w:tcBorders>
              <w:tl2br w:val="nil"/>
              <w:tr2bl w:val="nil"/>
            </w:tcBorders>
            <w:shd w:val="clear" w:color="auto" w:fill="FFFFFF"/>
            <w:vAlign w:val="center"/>
          </w:tcPr>
          <w:p w14:paraId="1E222049">
            <w:pPr>
              <w:keepNext w:val="0"/>
              <w:keepLines w:val="0"/>
              <w:pageBreakBefore w:val="0"/>
              <w:widowControl w:val="0"/>
              <w:kinsoku/>
              <w:wordWrap/>
              <w:overflowPunct/>
              <w:topLinePunct w:val="0"/>
              <w:autoSpaceDE/>
              <w:autoSpaceDN/>
              <w:bidi w:val="0"/>
              <w:adjustRightInd/>
              <w:snapToGrid/>
              <w:spacing w:before="190" w:beforeLines="50" w:after="190" w:afterLines="50" w:line="400" w:lineRule="exact"/>
              <w:ind w:firstLine="0" w:firstLineChars="0"/>
              <w:jc w:val="center"/>
              <w:textAlignment w:val="auto"/>
              <w:rPr>
                <w:rFonts w:hint="default" w:ascii="宋体" w:hAnsi="宋体" w:cs="宋体"/>
                <w:sz w:val="24"/>
                <w:lang w:val="en-US"/>
              </w:rPr>
            </w:pPr>
            <w:r>
              <w:rPr>
                <w:rFonts w:hint="eastAsia" w:ascii="Times New Roman" w:hAnsi="Times New Roman" w:eastAsia="宋体" w:cs="Times New Roman"/>
                <w:color w:val="auto"/>
                <w:kern w:val="2"/>
                <w:sz w:val="24"/>
                <w:szCs w:val="24"/>
                <w:lang w:val="en-US" w:eastAsia="zh-CN" w:bidi="ar-SA"/>
              </w:rPr>
              <w:t>曾淑慧</w:t>
            </w:r>
          </w:p>
        </w:tc>
        <w:tc>
          <w:tcPr>
            <w:tcW w:w="4803" w:type="dxa"/>
            <w:tcBorders>
              <w:tl2br w:val="nil"/>
              <w:tr2bl w:val="nil"/>
            </w:tcBorders>
            <w:shd w:val="clear" w:color="auto" w:fill="FFFFFF"/>
            <w:vAlign w:val="center"/>
          </w:tcPr>
          <w:p w14:paraId="2AF7BD6E">
            <w:pPr>
              <w:keepNext w:val="0"/>
              <w:keepLines w:val="0"/>
              <w:pageBreakBefore w:val="0"/>
              <w:widowControl w:val="0"/>
              <w:kinsoku/>
              <w:wordWrap/>
              <w:overflowPunct/>
              <w:topLinePunct w:val="0"/>
              <w:autoSpaceDE/>
              <w:autoSpaceDN/>
              <w:bidi w:val="0"/>
              <w:adjustRightInd/>
              <w:snapToGrid/>
              <w:spacing w:before="190" w:beforeLines="50" w:after="190" w:afterLines="50" w:line="400" w:lineRule="exact"/>
              <w:ind w:firstLine="0" w:firstLineChars="0"/>
              <w:jc w:val="center"/>
              <w:textAlignment w:val="auto"/>
              <w:rPr>
                <w:rFonts w:hint="default" w:ascii="宋体" w:hAnsi="宋体" w:eastAsia="宋体" w:cs="宋体"/>
                <w:sz w:val="24"/>
                <w:lang w:val="en-US" w:eastAsia="zh-CN"/>
              </w:rPr>
            </w:pPr>
            <w:r>
              <w:rPr>
                <w:rFonts w:hint="eastAsia" w:ascii="Times New Roman" w:hAnsi="Times New Roman" w:eastAsia="宋体" w:cs="Times New Roman"/>
                <w:color w:val="auto"/>
                <w:kern w:val="2"/>
                <w:sz w:val="24"/>
                <w:szCs w:val="24"/>
                <w:lang w:val="en-US" w:eastAsia="zh-CN" w:bidi="ar-SA"/>
              </w:rPr>
              <w:t>03320241036000001117</w:t>
            </w:r>
          </w:p>
        </w:tc>
        <w:tc>
          <w:tcPr>
            <w:tcW w:w="2115" w:type="dxa"/>
            <w:tcBorders>
              <w:tl2br w:val="nil"/>
              <w:tr2bl w:val="nil"/>
            </w:tcBorders>
            <w:shd w:val="clear" w:color="auto" w:fill="FFFFFF"/>
            <w:vAlign w:val="center"/>
          </w:tcPr>
          <w:p w14:paraId="135FF85F">
            <w:pPr>
              <w:keepNext w:val="0"/>
              <w:keepLines w:val="0"/>
              <w:pageBreakBefore w:val="0"/>
              <w:widowControl w:val="0"/>
              <w:kinsoku/>
              <w:wordWrap/>
              <w:overflowPunct/>
              <w:topLinePunct w:val="0"/>
              <w:autoSpaceDE/>
              <w:autoSpaceDN/>
              <w:bidi w:val="0"/>
              <w:adjustRightInd/>
              <w:snapToGrid/>
              <w:spacing w:before="190" w:beforeLines="50" w:after="190" w:afterLines="50" w:line="400" w:lineRule="exact"/>
              <w:ind w:firstLine="0" w:firstLineChars="0"/>
              <w:jc w:val="center"/>
              <w:textAlignment w:val="auto"/>
              <w:rPr>
                <w:rFonts w:hint="default" w:ascii="宋体" w:hAnsi="宋体" w:eastAsia="宋体" w:cs="宋体"/>
                <w:sz w:val="24"/>
                <w:lang w:val="en-US" w:eastAsia="zh-CN"/>
              </w:rPr>
            </w:pPr>
            <w:r>
              <w:rPr>
                <w:rFonts w:hint="eastAsia" w:ascii="Times New Roman" w:hAnsi="Times New Roman" w:eastAsia="宋体" w:cs="Times New Roman"/>
                <w:color w:val="auto"/>
                <w:kern w:val="2"/>
                <w:sz w:val="24"/>
                <w:szCs w:val="24"/>
                <w:lang w:val="en-US" w:eastAsia="zh-CN" w:bidi="ar-SA"/>
              </w:rPr>
              <w:t>36250437078</w:t>
            </w:r>
          </w:p>
        </w:tc>
      </w:tr>
      <w:tr w14:paraId="0F2BA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4" w:type="dxa"/>
            <w:vMerge w:val="continue"/>
            <w:tcBorders>
              <w:tl2br w:val="nil"/>
              <w:tr2bl w:val="nil"/>
            </w:tcBorders>
            <w:shd w:val="clear" w:color="auto" w:fill="FFFFFF"/>
            <w:vAlign w:val="center"/>
          </w:tcPr>
          <w:p w14:paraId="7E6D1793">
            <w:pPr>
              <w:jc w:val="center"/>
              <w:rPr>
                <w:rFonts w:ascii="宋体" w:hAnsi="宋体" w:cs="宋体"/>
                <w:sz w:val="24"/>
              </w:rPr>
            </w:pPr>
          </w:p>
        </w:tc>
        <w:tc>
          <w:tcPr>
            <w:tcW w:w="1237" w:type="dxa"/>
            <w:tcBorders>
              <w:tl2br w:val="nil"/>
              <w:tr2bl w:val="nil"/>
            </w:tcBorders>
            <w:shd w:val="clear" w:color="auto" w:fill="FFFFFF"/>
            <w:vAlign w:val="center"/>
          </w:tcPr>
          <w:p w14:paraId="3731B40C">
            <w:pPr>
              <w:keepNext w:val="0"/>
              <w:keepLines w:val="0"/>
              <w:pageBreakBefore w:val="0"/>
              <w:widowControl w:val="0"/>
              <w:kinsoku/>
              <w:wordWrap/>
              <w:overflowPunct/>
              <w:topLinePunct w:val="0"/>
              <w:autoSpaceDE/>
              <w:autoSpaceDN/>
              <w:bidi w:val="0"/>
              <w:adjustRightInd/>
              <w:snapToGrid/>
              <w:spacing w:before="190" w:beforeLines="50" w:after="190" w:afterLines="50" w:line="400" w:lineRule="exact"/>
              <w:ind w:firstLine="0" w:firstLineChars="0"/>
              <w:jc w:val="center"/>
              <w:textAlignment w:val="auto"/>
              <w:rPr>
                <w:rFonts w:hint="default" w:ascii="宋体" w:hAnsi="宋体" w:eastAsia="宋体" w:cs="宋体"/>
                <w:sz w:val="24"/>
                <w:lang w:val="en-US"/>
              </w:rPr>
            </w:pPr>
            <w:r>
              <w:rPr>
                <w:rFonts w:hint="eastAsia" w:ascii="Times New Roman" w:hAnsi="Times New Roman" w:eastAsia="宋体" w:cs="Times New Roman"/>
                <w:color w:val="auto"/>
                <w:kern w:val="2"/>
                <w:sz w:val="24"/>
                <w:szCs w:val="24"/>
                <w:lang w:val="en-US" w:eastAsia="zh-CN" w:bidi="ar-SA"/>
              </w:rPr>
              <w:t>于志勇</w:t>
            </w:r>
          </w:p>
        </w:tc>
        <w:tc>
          <w:tcPr>
            <w:tcW w:w="4803" w:type="dxa"/>
            <w:tcBorders>
              <w:tl2br w:val="nil"/>
              <w:tr2bl w:val="nil"/>
            </w:tcBorders>
            <w:shd w:val="clear" w:color="auto" w:fill="FFFFFF"/>
            <w:vAlign w:val="center"/>
          </w:tcPr>
          <w:p w14:paraId="5E54EC41">
            <w:pPr>
              <w:keepNext w:val="0"/>
              <w:keepLines w:val="0"/>
              <w:pageBreakBefore w:val="0"/>
              <w:widowControl w:val="0"/>
              <w:kinsoku/>
              <w:wordWrap/>
              <w:overflowPunct/>
              <w:topLinePunct w:val="0"/>
              <w:autoSpaceDE/>
              <w:autoSpaceDN/>
              <w:bidi w:val="0"/>
              <w:adjustRightInd/>
              <w:snapToGrid/>
              <w:spacing w:before="190" w:beforeLines="50" w:after="190" w:afterLines="50" w:line="400" w:lineRule="exact"/>
              <w:ind w:firstLine="0" w:firstLineChars="0"/>
              <w:jc w:val="center"/>
              <w:textAlignment w:val="auto"/>
              <w:rPr>
                <w:rFonts w:hint="default" w:ascii="宋体" w:hAnsi="宋体" w:eastAsia="宋体" w:cs="宋体"/>
                <w:sz w:val="24"/>
                <w:lang w:val="en-US" w:eastAsia="zh-CN"/>
              </w:rPr>
            </w:pPr>
            <w:r>
              <w:rPr>
                <w:rFonts w:hint="eastAsia" w:ascii="Times New Roman" w:hAnsi="Times New Roman" w:eastAsia="宋体" w:cs="Times New Roman"/>
                <w:color w:val="auto"/>
                <w:kern w:val="2"/>
                <w:sz w:val="24"/>
                <w:szCs w:val="24"/>
                <w:lang w:val="en-US" w:eastAsia="zh-CN" w:bidi="ar-SA"/>
              </w:rPr>
              <w:t>2014033230330000003310230030</w:t>
            </w:r>
          </w:p>
        </w:tc>
        <w:tc>
          <w:tcPr>
            <w:tcW w:w="2115" w:type="dxa"/>
            <w:tcBorders>
              <w:tl2br w:val="nil"/>
              <w:tr2bl w:val="nil"/>
            </w:tcBorders>
            <w:shd w:val="clear" w:color="auto" w:fill="FFFFFF"/>
            <w:vAlign w:val="center"/>
          </w:tcPr>
          <w:p w14:paraId="0EA3FFA0">
            <w:pPr>
              <w:keepNext w:val="0"/>
              <w:keepLines w:val="0"/>
              <w:pageBreakBefore w:val="0"/>
              <w:widowControl w:val="0"/>
              <w:kinsoku/>
              <w:wordWrap/>
              <w:overflowPunct/>
              <w:topLinePunct w:val="0"/>
              <w:autoSpaceDE/>
              <w:autoSpaceDN/>
              <w:bidi w:val="0"/>
              <w:adjustRightInd/>
              <w:snapToGrid/>
              <w:spacing w:before="190" w:beforeLines="50" w:after="190" w:afterLines="50" w:line="400" w:lineRule="exact"/>
              <w:ind w:firstLine="0" w:firstLineChars="0"/>
              <w:jc w:val="center"/>
              <w:textAlignment w:val="auto"/>
              <w:rPr>
                <w:rFonts w:hint="default" w:ascii="宋体" w:hAnsi="宋体" w:eastAsia="宋体" w:cs="宋体"/>
                <w:sz w:val="24"/>
                <w:lang w:val="en-US" w:eastAsia="zh-CN"/>
              </w:rPr>
            </w:pPr>
            <w:r>
              <w:rPr>
                <w:rFonts w:hint="eastAsia" w:ascii="Times New Roman" w:hAnsi="Times New Roman" w:eastAsia="宋体" w:cs="Times New Roman"/>
                <w:color w:val="auto"/>
                <w:kern w:val="2"/>
                <w:sz w:val="24"/>
                <w:szCs w:val="24"/>
                <w:lang w:val="en-US" w:eastAsia="zh-CN" w:bidi="ar-SA"/>
              </w:rPr>
              <w:t>51190209624</w:t>
            </w:r>
          </w:p>
        </w:tc>
      </w:tr>
      <w:tr w14:paraId="011B0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4" w:type="dxa"/>
            <w:vMerge w:val="continue"/>
            <w:tcBorders>
              <w:tl2br w:val="nil"/>
              <w:tr2bl w:val="nil"/>
            </w:tcBorders>
            <w:shd w:val="clear" w:color="auto" w:fill="FFFFFF"/>
            <w:vAlign w:val="center"/>
          </w:tcPr>
          <w:p w14:paraId="75AB04B7">
            <w:pPr>
              <w:jc w:val="center"/>
              <w:rPr>
                <w:rFonts w:ascii="宋体" w:hAnsi="宋体" w:cs="宋体"/>
                <w:sz w:val="24"/>
              </w:rPr>
            </w:pPr>
          </w:p>
        </w:tc>
        <w:tc>
          <w:tcPr>
            <w:tcW w:w="1237" w:type="dxa"/>
            <w:tcBorders>
              <w:tl2br w:val="nil"/>
              <w:tr2bl w:val="nil"/>
            </w:tcBorders>
            <w:shd w:val="clear" w:color="auto" w:fill="FFFFFF"/>
            <w:vAlign w:val="center"/>
          </w:tcPr>
          <w:p w14:paraId="4F508235">
            <w:pPr>
              <w:keepNext w:val="0"/>
              <w:keepLines w:val="0"/>
              <w:pageBreakBefore w:val="0"/>
              <w:widowControl w:val="0"/>
              <w:kinsoku/>
              <w:wordWrap/>
              <w:overflowPunct/>
              <w:topLinePunct w:val="0"/>
              <w:autoSpaceDE/>
              <w:autoSpaceDN/>
              <w:bidi w:val="0"/>
              <w:adjustRightInd/>
              <w:snapToGrid/>
              <w:spacing w:before="190" w:beforeLines="50" w:after="190" w:afterLines="50" w:line="400" w:lineRule="exact"/>
              <w:ind w:firstLine="0" w:firstLineChars="0"/>
              <w:jc w:val="center"/>
              <w:textAlignment w:val="auto"/>
              <w:rPr>
                <w:rFonts w:hint="default" w:ascii="宋体" w:hAnsi="宋体" w:eastAsia="宋体" w:cs="宋体"/>
                <w:sz w:val="24"/>
                <w:lang w:val="en-US" w:eastAsia="zh-CN"/>
              </w:rPr>
            </w:pPr>
            <w:r>
              <w:rPr>
                <w:rFonts w:hint="eastAsia" w:ascii="Times New Roman" w:hAnsi="Times New Roman" w:eastAsia="宋体" w:cs="Times New Roman"/>
                <w:color w:val="auto"/>
                <w:kern w:val="2"/>
                <w:sz w:val="24"/>
                <w:szCs w:val="24"/>
                <w:lang w:val="en-US" w:eastAsia="zh-CN" w:bidi="ar-SA"/>
              </w:rPr>
              <w:t>刘二平</w:t>
            </w:r>
          </w:p>
        </w:tc>
        <w:tc>
          <w:tcPr>
            <w:tcW w:w="4803" w:type="dxa"/>
            <w:tcBorders>
              <w:tl2br w:val="nil"/>
              <w:tr2bl w:val="nil"/>
            </w:tcBorders>
            <w:shd w:val="clear" w:color="auto" w:fill="FFFFFF"/>
            <w:vAlign w:val="center"/>
          </w:tcPr>
          <w:p w14:paraId="0E1A6948">
            <w:pPr>
              <w:keepNext w:val="0"/>
              <w:keepLines w:val="0"/>
              <w:pageBreakBefore w:val="0"/>
              <w:widowControl w:val="0"/>
              <w:kinsoku/>
              <w:wordWrap/>
              <w:overflowPunct/>
              <w:topLinePunct w:val="0"/>
              <w:autoSpaceDE/>
              <w:autoSpaceDN/>
              <w:bidi w:val="0"/>
              <w:adjustRightInd/>
              <w:snapToGrid/>
              <w:spacing w:before="190" w:beforeLines="50" w:after="190" w:afterLines="50" w:line="400" w:lineRule="exact"/>
              <w:ind w:firstLine="0" w:firstLineChars="0"/>
              <w:jc w:val="center"/>
              <w:textAlignment w:val="auto"/>
              <w:rPr>
                <w:rFonts w:hint="default" w:ascii="宋体" w:hAnsi="宋体" w:eastAsia="宋体" w:cs="宋体"/>
                <w:sz w:val="24"/>
                <w:lang w:val="en-US" w:eastAsia="zh-CN"/>
              </w:rPr>
            </w:pPr>
            <w:r>
              <w:rPr>
                <w:rFonts w:hint="eastAsia" w:ascii="Times New Roman" w:hAnsi="Times New Roman" w:eastAsia="宋体" w:cs="Times New Roman"/>
                <w:color w:val="auto"/>
                <w:kern w:val="2"/>
                <w:sz w:val="24"/>
                <w:szCs w:val="24"/>
                <w:lang w:val="en-US" w:eastAsia="zh-CN" w:bidi="ar-SA"/>
              </w:rPr>
              <w:t>03320241036000000887</w:t>
            </w:r>
          </w:p>
        </w:tc>
        <w:tc>
          <w:tcPr>
            <w:tcW w:w="2115" w:type="dxa"/>
            <w:tcBorders>
              <w:tl2br w:val="nil"/>
              <w:tr2bl w:val="nil"/>
            </w:tcBorders>
            <w:shd w:val="clear" w:color="auto" w:fill="FFFFFF"/>
            <w:vAlign w:val="center"/>
          </w:tcPr>
          <w:p w14:paraId="34039BB0">
            <w:pPr>
              <w:keepNext w:val="0"/>
              <w:keepLines w:val="0"/>
              <w:pageBreakBefore w:val="0"/>
              <w:widowControl w:val="0"/>
              <w:kinsoku/>
              <w:wordWrap/>
              <w:overflowPunct/>
              <w:topLinePunct w:val="0"/>
              <w:autoSpaceDE/>
              <w:autoSpaceDN/>
              <w:bidi w:val="0"/>
              <w:adjustRightInd/>
              <w:snapToGrid/>
              <w:spacing w:before="190" w:beforeLines="50" w:after="190" w:afterLines="50" w:line="400" w:lineRule="exact"/>
              <w:ind w:firstLine="0" w:firstLineChars="0"/>
              <w:jc w:val="center"/>
              <w:textAlignment w:val="auto"/>
              <w:rPr>
                <w:rFonts w:hint="default" w:ascii="宋体" w:hAnsi="宋体" w:eastAsia="宋体" w:cs="宋体"/>
                <w:sz w:val="24"/>
                <w:lang w:val="en-US" w:eastAsia="zh-CN"/>
              </w:rPr>
            </w:pPr>
            <w:r>
              <w:rPr>
                <w:rFonts w:hint="eastAsia" w:ascii="Times New Roman" w:hAnsi="Times New Roman" w:eastAsia="宋体" w:cs="Times New Roman"/>
                <w:color w:val="auto"/>
                <w:kern w:val="2"/>
                <w:sz w:val="24"/>
                <w:szCs w:val="24"/>
                <w:lang w:val="en-US" w:eastAsia="zh-CN" w:bidi="ar-SA"/>
              </w:rPr>
              <w:t>37250438462</w:t>
            </w:r>
          </w:p>
        </w:tc>
      </w:tr>
      <w:tr w14:paraId="0664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4" w:type="dxa"/>
            <w:tcBorders>
              <w:tl2br w:val="nil"/>
              <w:tr2bl w:val="nil"/>
            </w:tcBorders>
            <w:shd w:val="clear" w:color="auto" w:fill="FFFFFF"/>
            <w:vAlign w:val="center"/>
          </w:tcPr>
          <w:p w14:paraId="45419EC2">
            <w:pPr>
              <w:widowControl/>
              <w:spacing w:after="150"/>
              <w:jc w:val="center"/>
              <w:rPr>
                <w:rFonts w:ascii="宋体" w:hAnsi="宋体" w:cs="宋体"/>
                <w:sz w:val="24"/>
              </w:rPr>
            </w:pPr>
            <w:r>
              <w:rPr>
                <w:rFonts w:hint="eastAsia" w:ascii="宋体" w:hAnsi="宋体" w:cs="宋体"/>
                <w:kern w:val="0"/>
                <w:sz w:val="24"/>
                <w:shd w:val="clear" w:color="auto" w:fill="FFFFFF"/>
              </w:rPr>
              <w:t>技术专家</w:t>
            </w:r>
          </w:p>
        </w:tc>
        <w:tc>
          <w:tcPr>
            <w:tcW w:w="8155" w:type="dxa"/>
            <w:gridSpan w:val="3"/>
            <w:tcBorders>
              <w:tl2br w:val="nil"/>
              <w:tr2bl w:val="nil"/>
            </w:tcBorders>
            <w:shd w:val="clear" w:color="auto" w:fill="FFFFFF"/>
            <w:vAlign w:val="center"/>
          </w:tcPr>
          <w:p w14:paraId="63155A62">
            <w:pPr>
              <w:jc w:val="center"/>
              <w:rPr>
                <w:rFonts w:ascii="宋体" w:hAnsi="宋体" w:cs="宋体"/>
                <w:sz w:val="24"/>
              </w:rPr>
            </w:pPr>
            <w:r>
              <w:rPr>
                <w:rFonts w:hint="eastAsia" w:ascii="宋体" w:hAnsi="宋体" w:cs="宋体"/>
                <w:sz w:val="24"/>
              </w:rPr>
              <w:t>/</w:t>
            </w:r>
          </w:p>
        </w:tc>
      </w:tr>
      <w:tr w14:paraId="7701F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0" w:hRule="atLeast"/>
          <w:jc w:val="center"/>
        </w:trPr>
        <w:tc>
          <w:tcPr>
            <w:tcW w:w="1074" w:type="dxa"/>
            <w:tcBorders>
              <w:tl2br w:val="nil"/>
              <w:tr2bl w:val="nil"/>
            </w:tcBorders>
            <w:shd w:val="clear" w:color="auto" w:fill="FFFFFF"/>
            <w:vAlign w:val="center"/>
          </w:tcPr>
          <w:p w14:paraId="5781712E">
            <w:pPr>
              <w:widowControl/>
              <w:spacing w:after="150"/>
              <w:jc w:val="center"/>
              <w:rPr>
                <w:rFonts w:ascii="宋体" w:hAnsi="宋体" w:cs="宋体"/>
                <w:sz w:val="24"/>
              </w:rPr>
            </w:pPr>
            <w:r>
              <w:rPr>
                <w:rFonts w:hint="eastAsia" w:ascii="宋体" w:hAnsi="宋体" w:cs="宋体"/>
                <w:kern w:val="0"/>
                <w:sz w:val="24"/>
                <w:shd w:val="clear" w:color="auto" w:fill="FFFFFF"/>
              </w:rPr>
              <w:t>现场勘察人员及时间</w:t>
            </w:r>
          </w:p>
        </w:tc>
        <w:tc>
          <w:tcPr>
            <w:tcW w:w="8155" w:type="dxa"/>
            <w:gridSpan w:val="3"/>
            <w:tcBorders>
              <w:tl2br w:val="nil"/>
              <w:tr2bl w:val="nil"/>
            </w:tcBorders>
            <w:shd w:val="clear" w:color="auto" w:fill="FFFFFF"/>
            <w:vAlign w:val="center"/>
          </w:tcPr>
          <w:p w14:paraId="38ED1CB2">
            <w:pPr>
              <w:widowControl/>
              <w:spacing w:after="150"/>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熊克书2026年3月13日</w:t>
            </w:r>
          </w:p>
          <w:p w14:paraId="7D32E16F">
            <w:pPr>
              <w:widowControl/>
              <w:spacing w:after="150"/>
              <w:jc w:val="center"/>
              <w:rPr>
                <w:rFonts w:hint="default"/>
                <w:sz w:val="24"/>
                <w:lang w:val="en-US" w:eastAsia="zh-CN"/>
              </w:rPr>
            </w:pPr>
            <w:r>
              <w:rPr>
                <w:rFonts w:hint="eastAsia" w:ascii="Times New Roman" w:hAnsi="Times New Roman"/>
                <w:sz w:val="24"/>
                <w:szCs w:val="24"/>
                <w:lang w:val="en-US" w:eastAsia="zh-CN"/>
              </w:rPr>
              <w:t>谢雨飞</w:t>
            </w:r>
            <w:r>
              <w:rPr>
                <w:rFonts w:hint="eastAsia"/>
                <w:color w:val="auto"/>
                <w:sz w:val="24"/>
                <w:szCs w:val="24"/>
              </w:rPr>
              <w:t>202</w:t>
            </w:r>
            <w:r>
              <w:rPr>
                <w:rFonts w:hint="eastAsia"/>
                <w:color w:val="auto"/>
                <w:sz w:val="24"/>
                <w:szCs w:val="24"/>
                <w:lang w:val="en-US" w:eastAsia="zh-CN"/>
              </w:rPr>
              <w:t>6</w:t>
            </w:r>
            <w:r>
              <w:rPr>
                <w:rFonts w:hint="eastAsia"/>
                <w:color w:val="auto"/>
                <w:sz w:val="24"/>
                <w:szCs w:val="24"/>
              </w:rPr>
              <w:t>年</w:t>
            </w:r>
            <w:r>
              <w:rPr>
                <w:rFonts w:hint="eastAsia"/>
                <w:color w:val="auto"/>
                <w:sz w:val="24"/>
                <w:szCs w:val="24"/>
                <w:lang w:val="en-US" w:eastAsia="zh-CN"/>
              </w:rPr>
              <w:t>3</w:t>
            </w:r>
            <w:r>
              <w:rPr>
                <w:rFonts w:hint="eastAsia"/>
                <w:color w:val="auto"/>
                <w:sz w:val="24"/>
                <w:szCs w:val="24"/>
              </w:rPr>
              <w:t>月</w:t>
            </w:r>
            <w:r>
              <w:rPr>
                <w:rFonts w:hint="eastAsia"/>
                <w:color w:val="auto"/>
                <w:sz w:val="24"/>
                <w:szCs w:val="24"/>
                <w:lang w:val="en-US" w:eastAsia="zh-CN"/>
              </w:rPr>
              <w:t>13</w:t>
            </w:r>
            <w:r>
              <w:rPr>
                <w:rFonts w:hint="eastAsia"/>
                <w:color w:val="auto"/>
                <w:sz w:val="24"/>
                <w:szCs w:val="24"/>
              </w:rPr>
              <w:t>日</w:t>
            </w:r>
          </w:p>
        </w:tc>
      </w:tr>
      <w:tr w14:paraId="699DF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1" w:hRule="atLeast"/>
          <w:jc w:val="center"/>
        </w:trPr>
        <w:tc>
          <w:tcPr>
            <w:tcW w:w="1074" w:type="dxa"/>
            <w:tcBorders>
              <w:tl2br w:val="nil"/>
              <w:tr2bl w:val="nil"/>
            </w:tcBorders>
            <w:shd w:val="clear" w:color="auto" w:fill="FFFFFF"/>
            <w:vAlign w:val="center"/>
          </w:tcPr>
          <w:p w14:paraId="00480C70">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现场核查的人员和时间</w:t>
            </w:r>
          </w:p>
        </w:tc>
        <w:tc>
          <w:tcPr>
            <w:tcW w:w="8155" w:type="dxa"/>
            <w:gridSpan w:val="3"/>
            <w:tcBorders>
              <w:tl2br w:val="nil"/>
              <w:tr2bl w:val="nil"/>
            </w:tcBorders>
            <w:shd w:val="clear" w:color="auto" w:fill="FFFFFF"/>
            <w:vAlign w:val="center"/>
          </w:tcPr>
          <w:p w14:paraId="76100CE6">
            <w:pPr>
              <w:widowControl/>
              <w:spacing w:after="150"/>
              <w:jc w:val="center"/>
              <w:rPr>
                <w:rFonts w:hint="default" w:ascii="Times New Roman" w:hAnsi="Times New Roman" w:eastAsia="宋体"/>
                <w:color w:val="FF0000"/>
                <w:sz w:val="24"/>
                <w:lang w:val="en-US" w:eastAsia="zh-CN"/>
              </w:rPr>
            </w:pPr>
            <w:r>
              <w:rPr>
                <w:rFonts w:hint="eastAsia" w:ascii="Times New Roman" w:hAnsi="Times New Roman"/>
                <w:color w:val="auto"/>
                <w:sz w:val="24"/>
                <w:lang w:val="en-US" w:eastAsia="zh-CN"/>
              </w:rPr>
              <w:t>/</w:t>
            </w:r>
          </w:p>
        </w:tc>
      </w:tr>
      <w:tr w14:paraId="47F8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1074" w:type="dxa"/>
            <w:tcBorders>
              <w:tl2br w:val="nil"/>
              <w:tr2bl w:val="nil"/>
            </w:tcBorders>
            <w:shd w:val="clear" w:color="auto" w:fill="FFFFFF"/>
            <w:vAlign w:val="center"/>
          </w:tcPr>
          <w:p w14:paraId="2F28975A">
            <w:pPr>
              <w:widowControl/>
              <w:spacing w:after="150"/>
              <w:jc w:val="center"/>
              <w:rPr>
                <w:rFonts w:ascii="宋体" w:hAnsi="宋体" w:cs="宋体"/>
                <w:sz w:val="24"/>
              </w:rPr>
            </w:pPr>
            <w:r>
              <w:rPr>
                <w:rFonts w:hint="eastAsia" w:ascii="宋体" w:hAnsi="宋体" w:cs="宋体"/>
                <w:kern w:val="0"/>
                <w:sz w:val="24"/>
                <w:shd w:val="clear" w:color="auto" w:fill="FFFFFF"/>
              </w:rPr>
              <w:t>项目简介</w:t>
            </w:r>
          </w:p>
        </w:tc>
        <w:tc>
          <w:tcPr>
            <w:tcW w:w="8155" w:type="dxa"/>
            <w:gridSpan w:val="3"/>
            <w:tcBorders>
              <w:tl2br w:val="nil"/>
              <w:tr2bl w:val="nil"/>
            </w:tcBorders>
            <w:shd w:val="clear" w:color="auto" w:fill="FFFFFF"/>
          </w:tcPr>
          <w:p w14:paraId="60F798F9">
            <w:pPr>
              <w:ind w:firstLine="560"/>
              <w:rPr>
                <w:color w:val="auto"/>
              </w:rPr>
            </w:pPr>
            <w:r>
              <w:rPr>
                <w:rFonts w:hint="eastAsia"/>
                <w:color w:val="auto"/>
              </w:rPr>
              <w:t>越凯（江西）新材料有限公司2025年12月15日取得吉水县发展和改革委员会颁发的《江西省企业投资项目备案通知书》，备案项目名称为：越凯江西新材料有限公司电子化学品及化工原料生产项目。项目统一代码为：2505-360822-04-05-753978。本项目属于危险化学品仓储〔G5942</w:t>
            </w:r>
            <w:bookmarkStart w:id="7" w:name="OLE_LINK82"/>
            <w:r>
              <w:rPr>
                <w:rFonts w:hint="eastAsia"/>
                <w:color w:val="auto"/>
              </w:rPr>
              <w:t>〕</w:t>
            </w:r>
            <w:bookmarkEnd w:id="7"/>
            <w:r>
              <w:rPr>
                <w:rFonts w:hint="eastAsia"/>
                <w:color w:val="auto"/>
              </w:rPr>
              <w:t>行业和〔C2619〕化学原料和化学制品制造业。</w:t>
            </w:r>
          </w:p>
          <w:p w14:paraId="5AEF2964">
            <w:pPr>
              <w:ind w:firstLine="560"/>
              <w:rPr>
                <w:color w:val="auto"/>
              </w:rPr>
            </w:pPr>
            <w:r>
              <w:rPr>
                <w:rFonts w:hint="eastAsia" w:ascii="宋体" w:hAnsi="宋体" w:eastAsia="宋体" w:cs="宋体"/>
                <w:sz w:val="24"/>
                <w:lang w:eastAsia="zh-CN"/>
              </w:rPr>
              <w:t>越凯(江西)新材料有限公司越凯江西新材料有限公司电子化学品及化工原料生产项目</w:t>
            </w:r>
            <w:r>
              <w:rPr>
                <w:rFonts w:hint="eastAsia" w:asciiTheme="minorEastAsia" w:hAnsiTheme="minorEastAsia" w:eastAsiaTheme="minorEastAsia" w:cstheme="minorEastAsia"/>
                <w:spacing w:val="-2"/>
                <w:sz w:val="21"/>
                <w:szCs w:val="21"/>
                <w:lang w:eastAsia="zh-CN"/>
              </w:rPr>
              <w:t>主体工程包含</w:t>
            </w:r>
            <w:r>
              <w:rPr>
                <w:rFonts w:hint="eastAsia" w:asciiTheme="minorEastAsia" w:hAnsiTheme="minorEastAsia" w:eastAsiaTheme="minorEastAsia" w:cstheme="minorEastAsia"/>
                <w:spacing w:val="-2"/>
                <w:sz w:val="21"/>
                <w:szCs w:val="21"/>
                <w:lang w:val="en-US" w:eastAsia="zh-CN"/>
              </w:rPr>
              <w:t>生产车间：</w:t>
            </w:r>
            <w:r>
              <w:rPr>
                <w:rFonts w:hint="eastAsia"/>
                <w:color w:val="auto"/>
              </w:rPr>
              <w:t>101甲类车间（甲类）、102丙类车间（丙类）。</w:t>
            </w:r>
          </w:p>
          <w:p w14:paraId="43A842DE">
            <w:pPr>
              <w:rPr>
                <w:color w:val="auto"/>
              </w:rPr>
            </w:pPr>
            <w:r>
              <w:rPr>
                <w:rFonts w:hint="eastAsia"/>
                <w:color w:val="auto"/>
              </w:rPr>
              <w:t>储存及装卸设施：201甲类仓库（甲类）、 202丙类仓库（丙类）、203-1甲类罐组（甲类）、203-2丁类罐组（丁类）、仓库装卸区、槽车装卸区。辅助生产设施：401综合楼（民建）、402门卫（民建）、301初期雨水池（有效容积450m³）、302事故应急池（有效容积960m³）、303消防设施区（有效容积864m³）、304废水处理区、305空压、制氮及变配电区及管架等。公用工程设施：供水、供电、供气、消防、制氮等公用工程辅助设施。</w:t>
            </w:r>
          </w:p>
          <w:p w14:paraId="3C8BED5E">
            <w:pPr>
              <w:spacing w:line="240" w:lineRule="auto"/>
              <w:ind w:firstLine="412" w:firstLineChars="200"/>
              <w:rPr>
                <w:rFonts w:hint="eastAsia" w:asciiTheme="minorEastAsia" w:hAnsiTheme="minorEastAsia" w:eastAsiaTheme="minorEastAsia" w:cstheme="minorEastAsia"/>
                <w:spacing w:val="-2"/>
                <w:sz w:val="21"/>
                <w:szCs w:val="21"/>
                <w:lang w:val="en-US" w:eastAsia="zh-CN"/>
              </w:rPr>
            </w:pPr>
            <w:r>
              <w:rPr>
                <w:rFonts w:hint="eastAsia" w:asciiTheme="minorEastAsia" w:hAnsiTheme="minorEastAsia" w:eastAsiaTheme="minorEastAsia" w:cstheme="minorEastAsia"/>
                <w:spacing w:val="-2"/>
                <w:sz w:val="21"/>
                <w:szCs w:val="21"/>
                <w:lang w:val="en-US" w:eastAsia="zh-CN"/>
              </w:rPr>
              <w:t>产品规模为：项目涉及产品有车用尿素溶液2000t/a、车用电池液/蓄电池电解液500t/a、车用冷却液200t/a、多用途清洁剂200t/a、除垢剂100t/a、半导体清洗剂300t/a、酸性蚀刻液B 2000t/a、碱性蚀刻液1000t/a、酸性蚀刻液A 500t/a、PCB粗化液A500t/a、PCB黑化液A500t/a以及水处理剂系列产品、稀释调配化工原料等，项目产品的方案和规模详见报告2.4.3 .1章节；</w:t>
            </w:r>
          </w:p>
          <w:p w14:paraId="525F5AFD">
            <w:pPr>
              <w:spacing w:line="240" w:lineRule="auto"/>
              <w:ind w:firstLine="412" w:firstLineChars="200"/>
              <w:rPr>
                <w:rFonts w:hint="eastAsia"/>
                <w:snapToGrid w:val="0"/>
              </w:rPr>
            </w:pPr>
            <w:r>
              <w:rPr>
                <w:rFonts w:hint="eastAsia" w:asciiTheme="minorEastAsia" w:hAnsiTheme="minorEastAsia" w:eastAsiaTheme="minorEastAsia" w:cstheme="minorEastAsia"/>
                <w:spacing w:val="-2"/>
                <w:sz w:val="21"/>
                <w:szCs w:val="21"/>
                <w:lang w:val="en-US" w:eastAsia="zh-CN"/>
              </w:rPr>
              <w:t>此外本项目还涉及储存经营并需要进行分装作业的危险化学品（具体的方案和规模详见报告2.4.3.2章节）和项目储存经营（不拆包分装）的化学品（具体的方案和规模详见报告2.4.3.3章节）</w:t>
            </w:r>
          </w:p>
        </w:tc>
      </w:tr>
      <w:tr w14:paraId="56586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74" w:type="dxa"/>
            <w:tcBorders>
              <w:tl2br w:val="nil"/>
              <w:tr2bl w:val="nil"/>
            </w:tcBorders>
            <w:shd w:val="clear" w:color="auto" w:fill="FFFFFF"/>
            <w:vAlign w:val="center"/>
          </w:tcPr>
          <w:p w14:paraId="60BC4E94">
            <w:pPr>
              <w:widowControl/>
              <w:spacing w:after="150"/>
              <w:jc w:val="center"/>
            </w:pPr>
            <w:r>
              <w:rPr>
                <w:rFonts w:hint="eastAsia"/>
                <w:sz w:val="24"/>
              </w:rPr>
              <w:t>工艺流程</w:t>
            </w:r>
          </w:p>
        </w:tc>
        <w:tc>
          <w:tcPr>
            <w:tcW w:w="8155" w:type="dxa"/>
            <w:gridSpan w:val="3"/>
            <w:tcBorders>
              <w:tl2br w:val="nil"/>
              <w:tr2bl w:val="nil"/>
            </w:tcBorders>
            <w:shd w:val="clear" w:color="auto" w:fill="FFFFFF"/>
          </w:tcPr>
          <w:p w14:paraId="24BED707">
            <w:pPr>
              <w:keepNext w:val="0"/>
              <w:keepLines w:val="0"/>
              <w:widowControl/>
              <w:suppressLineNumbers w:val="0"/>
              <w:jc w:val="left"/>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5170805" cy="838200"/>
                  <wp:effectExtent l="0" t="0" r="10795" b="0"/>
                  <wp:docPr id="12" name="图片 12" descr="fa3d4aa8ad45dbe9228c35d2e72dc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a3d4aa8ad45dbe9228c35d2e72dce40"/>
                          <pic:cNvPicPr>
                            <a:picLocks noChangeAspect="1"/>
                          </pic:cNvPicPr>
                        </pic:nvPicPr>
                        <pic:blipFill>
                          <a:blip r:embed="rId4"/>
                          <a:stretch>
                            <a:fillRect/>
                          </a:stretch>
                        </pic:blipFill>
                        <pic:spPr>
                          <a:xfrm>
                            <a:off x="0" y="0"/>
                            <a:ext cx="5170805" cy="838200"/>
                          </a:xfrm>
                          <a:prstGeom prst="rect">
                            <a:avLst/>
                          </a:prstGeom>
                        </pic:spPr>
                      </pic:pic>
                    </a:graphicData>
                  </a:graphic>
                </wp:inline>
              </w:drawing>
            </w:r>
          </w:p>
          <w:p w14:paraId="7CFABCC0">
            <w:pPr>
              <w:pStyle w:val="22"/>
              <w:ind w:left="0" w:leftChars="0" w:firstLine="0" w:firstLineChars="0"/>
            </w:pPr>
          </w:p>
        </w:tc>
      </w:tr>
      <w:tr w14:paraId="2BDE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74" w:type="dxa"/>
            <w:tcBorders>
              <w:tl2br w:val="nil"/>
              <w:tr2bl w:val="nil"/>
            </w:tcBorders>
            <w:shd w:val="clear" w:color="auto" w:fill="FFFFFF"/>
            <w:vAlign w:val="center"/>
          </w:tcPr>
          <w:p w14:paraId="4A954F8A">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被评价单位信息反馈情况</w:t>
            </w:r>
          </w:p>
        </w:tc>
        <w:tc>
          <w:tcPr>
            <w:tcW w:w="8155" w:type="dxa"/>
            <w:gridSpan w:val="3"/>
            <w:tcBorders>
              <w:tl2br w:val="nil"/>
              <w:tr2bl w:val="nil"/>
            </w:tcBorders>
            <w:shd w:val="clear" w:color="auto" w:fill="FFFFFF"/>
            <w:vAlign w:val="center"/>
          </w:tcPr>
          <w:p w14:paraId="44A8D792">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满意</w:t>
            </w:r>
          </w:p>
        </w:tc>
      </w:tr>
    </w:tbl>
    <w:p w14:paraId="59419F03">
      <w:pPr>
        <w:rPr>
          <w:rFonts w:hint="eastAsia"/>
          <w:lang w:eastAsia="zh-CN"/>
        </w:rPr>
      </w:pPr>
      <w:r>
        <w:rPr>
          <w:rFonts w:hint="eastAsia"/>
          <w:lang w:eastAsia="zh-CN"/>
        </w:rPr>
        <w:br w:type="page"/>
      </w:r>
    </w:p>
    <w:p w14:paraId="6EFEDB2F">
      <w:pPr>
        <w:pStyle w:val="22"/>
        <w:ind w:left="0" w:leftChars="0" w:firstLine="0" w:firstLineChars="0"/>
        <w:jc w:val="center"/>
        <w:rPr>
          <w:rFonts w:hint="eastAsia" w:eastAsia="宋体"/>
          <w:lang w:eastAsia="zh-CN"/>
        </w:rPr>
      </w:pPr>
      <w:bookmarkStart w:id="8" w:name="_GoBack"/>
      <w:r>
        <w:rPr>
          <w:rFonts w:hint="eastAsia" w:eastAsia="宋体"/>
          <w:lang w:eastAsia="zh-CN"/>
        </w:rPr>
        <w:drawing>
          <wp:anchor distT="0" distB="0" distL="114300" distR="114300" simplePos="0" relativeHeight="251661312" behindDoc="0" locked="0" layoutInCell="1" allowOverlap="1">
            <wp:simplePos x="0" y="0"/>
            <wp:positionH relativeFrom="column">
              <wp:posOffset>-9525</wp:posOffset>
            </wp:positionH>
            <wp:positionV relativeFrom="paragraph">
              <wp:posOffset>4234180</wp:posOffset>
            </wp:positionV>
            <wp:extent cx="5261610" cy="3945890"/>
            <wp:effectExtent l="0" t="0" r="15240" b="16510"/>
            <wp:wrapNone/>
            <wp:docPr id="1" name="图片 1" descr="评价师现场合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评价师现场合影"/>
                    <pic:cNvPicPr>
                      <a:picLocks noChangeAspect="1"/>
                    </pic:cNvPicPr>
                  </pic:nvPicPr>
                  <pic:blipFill>
                    <a:blip r:embed="rId5"/>
                    <a:stretch>
                      <a:fillRect/>
                    </a:stretch>
                  </pic:blipFill>
                  <pic:spPr>
                    <a:xfrm>
                      <a:off x="0" y="0"/>
                      <a:ext cx="5261610" cy="3945890"/>
                    </a:xfrm>
                    <a:prstGeom prst="rect">
                      <a:avLst/>
                    </a:prstGeom>
                  </pic:spPr>
                </pic:pic>
              </a:graphicData>
            </a:graphic>
          </wp:anchor>
        </w:drawing>
      </w:r>
      <w:bookmarkEnd w:id="8"/>
      <w:r>
        <w:rPr>
          <w:rFonts w:hint="eastAsia" w:hAnsi="宋体" w:cs="宋体"/>
          <w:b/>
          <w:bCs/>
          <w:color w:val="auto"/>
        </w:rPr>
        <w:drawing>
          <wp:anchor distT="0" distB="0" distL="114300" distR="114300" simplePos="0" relativeHeight="251659264" behindDoc="0" locked="0" layoutInCell="1" allowOverlap="1">
            <wp:simplePos x="0" y="0"/>
            <wp:positionH relativeFrom="column">
              <wp:posOffset>13970</wp:posOffset>
            </wp:positionH>
            <wp:positionV relativeFrom="paragraph">
              <wp:posOffset>118745</wp:posOffset>
            </wp:positionV>
            <wp:extent cx="5262880" cy="3947160"/>
            <wp:effectExtent l="0" t="0" r="13970" b="15240"/>
            <wp:wrapSquare wrapText="bothSides"/>
            <wp:docPr id="194" name="图片 194" descr="bcd432b3df6f98f2c0dfab39ba4340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descr="bcd432b3df6f98f2c0dfab39ba4340f0"/>
                    <pic:cNvPicPr>
                      <a:picLocks noChangeAspect="1"/>
                    </pic:cNvPicPr>
                  </pic:nvPicPr>
                  <pic:blipFill>
                    <a:blip r:embed="rId6"/>
                    <a:stretch>
                      <a:fillRect/>
                    </a:stretch>
                  </pic:blipFill>
                  <pic:spPr>
                    <a:xfrm>
                      <a:off x="0" y="0"/>
                      <a:ext cx="5262880" cy="3947160"/>
                    </a:xfrm>
                    <a:prstGeom prst="rect">
                      <a:avLst/>
                    </a:prstGeom>
                  </pic:spPr>
                </pic:pic>
              </a:graphicData>
            </a:graphic>
          </wp:anchor>
        </w:drawing>
      </w:r>
    </w:p>
    <w:p w14:paraId="2B1DFF98">
      <w:pPr>
        <w:pStyle w:val="22"/>
        <w:ind w:left="0" w:leftChars="0" w:firstLine="0" w:firstLineChars="0"/>
        <w:jc w:val="center"/>
        <w:rPr>
          <w:rFonts w:hint="eastAsia" w:eastAsia="宋体"/>
          <w:lang w:eastAsia="zh-CN"/>
        </w:rPr>
      </w:pPr>
    </w:p>
    <w:p w14:paraId="0FA4C77D">
      <w:pPr>
        <w:pStyle w:val="23"/>
        <w:ind w:left="0" w:leftChars="0" w:firstLine="0" w:firstLineChars="0"/>
        <w:rPr>
          <w:rFonts w:hint="eastAsia" w:eastAsia="宋体"/>
          <w:lang w:eastAsia="zh-CN"/>
        </w:rPr>
      </w:pPr>
    </w:p>
    <w:p w14:paraId="482348B4">
      <w:pPr>
        <w:tabs>
          <w:tab w:val="left" w:pos="1674"/>
        </w:tabs>
        <w:bidi w:val="0"/>
        <w:jc w:val="left"/>
        <w:rPr>
          <w:rFonts w:hint="eastAsia"/>
          <w:lang w:val="en-US" w:eastAsia="zh-CN"/>
        </w:rPr>
      </w:pPr>
      <w:r>
        <w:rPr>
          <w:rFonts w:hint="eastAsia"/>
          <w:lang w:val="en-US" w:eastAsia="zh-CN"/>
        </w:rPr>
        <w:tab/>
      </w:r>
      <w:r>
        <w:rPr>
          <w:rFonts w:hint="eastAsia" w:eastAsia="宋体"/>
          <w:lang w:eastAsia="zh-CN"/>
        </w:rPr>
        <w:drawing>
          <wp:inline distT="0" distB="0" distL="114300" distR="114300">
            <wp:extent cx="5866130" cy="8302625"/>
            <wp:effectExtent l="0" t="0" r="1270" b="3175"/>
            <wp:docPr id="5" name="图片 5" descr="提取自2.正文【终稿】越凯江西新材料有限公司电子化学品及化工原料生产项目安全条件评价报告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提取自2.正文【终稿】越凯江西新材料有限公司电子化学品及化工原料生产项目安全条件评价报告_00"/>
                    <pic:cNvPicPr>
                      <a:picLocks noChangeAspect="1"/>
                    </pic:cNvPicPr>
                  </pic:nvPicPr>
                  <pic:blipFill>
                    <a:blip r:embed="rId7"/>
                    <a:stretch>
                      <a:fillRect/>
                    </a:stretch>
                  </pic:blipFill>
                  <pic:spPr>
                    <a:xfrm>
                      <a:off x="0" y="0"/>
                      <a:ext cx="5866130" cy="8302625"/>
                    </a:xfrm>
                    <a:prstGeom prst="rect">
                      <a:avLst/>
                    </a:prstGeom>
                  </pic:spPr>
                </pic:pic>
              </a:graphicData>
            </a:graphic>
          </wp:inline>
        </w:drawing>
      </w:r>
    </w:p>
    <w:p w14:paraId="19D13508">
      <w:pPr>
        <w:pStyle w:val="2"/>
        <w:rPr>
          <w:rFonts w:hint="eastAsia"/>
          <w:lang w:val="en-US" w:eastAsia="zh-CN"/>
        </w:rPr>
      </w:pPr>
    </w:p>
    <w:p w14:paraId="1BF5CFAE">
      <w:pPr>
        <w:pStyle w:val="4"/>
        <w:rPr>
          <w:rFonts w:hint="eastAsia"/>
          <w:lang w:val="en-US" w:eastAsia="zh-CN"/>
        </w:rPr>
      </w:pPr>
    </w:p>
    <w:p w14:paraId="626B39E6">
      <w:pPr>
        <w:rPr>
          <w:rFonts w:hint="eastAsia"/>
          <w:lang w:val="en-US" w:eastAsia="zh-CN"/>
        </w:rPr>
      </w:pPr>
    </w:p>
    <w:p w14:paraId="431D3B98">
      <w:pPr>
        <w:pStyle w:val="2"/>
        <w:rPr>
          <w:rFonts w:hint="eastAsia"/>
          <w:lang w:val="en-US" w:eastAsia="zh-CN"/>
        </w:rPr>
      </w:pPr>
    </w:p>
    <w:p w14:paraId="30A0B6B7">
      <w:pPr>
        <w:pStyle w:val="4"/>
        <w:rPr>
          <w:rFonts w:hint="eastAsia"/>
          <w:lang w:val="en-US" w:eastAsia="zh-CN"/>
        </w:rPr>
      </w:pPr>
    </w:p>
    <w:p w14:paraId="5E5610C6">
      <w:pPr>
        <w:rPr>
          <w:rFonts w:hint="eastAsia"/>
          <w:lang w:val="en-US" w:eastAsia="zh-CN"/>
        </w:rPr>
      </w:pPr>
    </w:p>
    <w:p w14:paraId="0A2C1F04">
      <w:pPr>
        <w:pStyle w:val="2"/>
        <w:rPr>
          <w:rFonts w:hint="eastAsia"/>
          <w:lang w:val="en-US" w:eastAsia="zh-CN"/>
        </w:rPr>
      </w:pPr>
    </w:p>
    <w:p w14:paraId="33DAD68C">
      <w:pPr>
        <w:pStyle w:val="4"/>
        <w:rPr>
          <w:rFonts w:hint="eastAsia"/>
          <w:lang w:val="en-US" w:eastAsia="zh-CN"/>
        </w:rPr>
      </w:pPr>
    </w:p>
    <w:p w14:paraId="0A1BC659">
      <w:pPr>
        <w:rPr>
          <w:rFonts w:hint="eastAsia"/>
          <w:lang w:val="en-US" w:eastAsia="zh-CN"/>
        </w:rPr>
      </w:pPr>
      <w:r>
        <w:rPr>
          <w:rFonts w:hint="eastAsia" w:eastAsia="宋体"/>
          <w:lang w:eastAsia="zh-CN"/>
        </w:rPr>
        <w:drawing>
          <wp:inline distT="0" distB="0" distL="114300" distR="114300">
            <wp:extent cx="5273675" cy="7463790"/>
            <wp:effectExtent l="0" t="0" r="3175" b="3810"/>
            <wp:docPr id="7" name="图片 7" descr="提取自2.正文【终稿】越凯江西新材料有限公司电子化学品及化工原料生产项目安全条件评价报告(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提取自2.正文【终稿】越凯江西新材料有限公司电子化学品及化工原料生产项目安全条件评价报告(1)_00"/>
                    <pic:cNvPicPr>
                      <a:picLocks noChangeAspect="1"/>
                    </pic:cNvPicPr>
                  </pic:nvPicPr>
                  <pic:blipFill>
                    <a:blip r:embed="rId8"/>
                    <a:stretch>
                      <a:fillRect/>
                    </a:stretch>
                  </pic:blipFill>
                  <pic:spPr>
                    <a:xfrm>
                      <a:off x="0" y="0"/>
                      <a:ext cx="5273675" cy="7463790"/>
                    </a:xfrm>
                    <a:prstGeom prst="rect">
                      <a:avLst/>
                    </a:prstGeom>
                  </pic:spPr>
                </pic:pic>
              </a:graphicData>
            </a:graphic>
          </wp:inline>
        </w:drawing>
      </w:r>
    </w:p>
    <w:p w14:paraId="72490E55">
      <w:pPr>
        <w:pStyle w:val="2"/>
        <w:rPr>
          <w:rFonts w:hint="eastAsia"/>
          <w:lang w:val="en-US" w:eastAsia="zh-CN"/>
        </w:rPr>
      </w:pPr>
    </w:p>
    <w:p w14:paraId="2ACBD2CB">
      <w:pPr>
        <w:pStyle w:val="4"/>
        <w:rPr>
          <w:rFonts w:hint="eastAsia"/>
          <w:lang w:val="en-US" w:eastAsia="zh-CN"/>
        </w:rPr>
      </w:pPr>
    </w:p>
    <w:p w14:paraId="0A8A560E">
      <w:pPr>
        <w:rPr>
          <w:rFonts w:hint="eastAsia"/>
          <w:lang w:val="en-US" w:eastAsia="zh-CN"/>
        </w:rPr>
      </w:pPr>
    </w:p>
    <w:p w14:paraId="2E5271DE">
      <w:pPr>
        <w:pStyle w:val="2"/>
        <w:rPr>
          <w:rFonts w:hint="eastAsia"/>
          <w:lang w:val="en-US" w:eastAsia="zh-CN"/>
        </w:rPr>
      </w:pPr>
    </w:p>
    <w:p w14:paraId="5E2500BC">
      <w:pPr>
        <w:pStyle w:val="4"/>
        <w:rPr>
          <w:rFonts w:hint="eastAsia"/>
          <w:lang w:val="en-US" w:eastAsia="zh-CN"/>
        </w:rPr>
      </w:pPr>
      <w:r>
        <w:rPr>
          <w:rFonts w:hint="eastAsia" w:eastAsia="宋体"/>
          <w:lang w:eastAsia="zh-CN"/>
        </w:rPr>
        <w:drawing>
          <wp:anchor distT="0" distB="0" distL="114300" distR="114300" simplePos="0" relativeHeight="251660288" behindDoc="0" locked="0" layoutInCell="1" allowOverlap="1">
            <wp:simplePos x="0" y="0"/>
            <wp:positionH relativeFrom="column">
              <wp:posOffset>-248285</wp:posOffset>
            </wp:positionH>
            <wp:positionV relativeFrom="paragraph">
              <wp:posOffset>16510</wp:posOffset>
            </wp:positionV>
            <wp:extent cx="5572760" cy="7887970"/>
            <wp:effectExtent l="0" t="0" r="8890" b="17780"/>
            <wp:wrapNone/>
            <wp:docPr id="6" name="图片 6" descr="提取自2.正文【终稿】越凯江西新材料有限公司电子化学品及化工原料生产项目安全条件评价报告(2)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提取自2.正文【终稿】越凯江西新材料有限公司电子化学品及化工原料生产项目安全条件评价报告(2)_00"/>
                    <pic:cNvPicPr>
                      <a:picLocks noChangeAspect="1"/>
                    </pic:cNvPicPr>
                  </pic:nvPicPr>
                  <pic:blipFill>
                    <a:blip r:embed="rId9"/>
                    <a:stretch>
                      <a:fillRect/>
                    </a:stretch>
                  </pic:blipFill>
                  <pic:spPr>
                    <a:xfrm>
                      <a:off x="0" y="0"/>
                      <a:ext cx="5572760" cy="7887970"/>
                    </a:xfrm>
                    <a:prstGeom prst="rect">
                      <a:avLst/>
                    </a:prstGeom>
                  </pic:spPr>
                </pic:pic>
              </a:graphicData>
            </a:graphic>
          </wp:anchor>
        </w:drawing>
      </w:r>
    </w:p>
    <w:p w14:paraId="7072BC0F">
      <w:pPr>
        <w:rPr>
          <w:rFonts w:hint="eastAsia"/>
          <w:lang w:val="en-US" w:eastAsia="zh-CN"/>
        </w:rPr>
      </w:pPr>
    </w:p>
    <w:p w14:paraId="058BC8B4">
      <w:pPr>
        <w:pStyle w:val="4"/>
        <w:rPr>
          <w:rFonts w:hint="eastAsia"/>
          <w:lang w:val="en-US" w:eastAsia="zh-CN"/>
        </w:rPr>
      </w:pPr>
    </w:p>
    <w:p w14:paraId="3182A23D">
      <w:pPr>
        <w:rPr>
          <w:rFonts w:hint="eastAsia"/>
          <w:lang w:val="en-US" w:eastAsia="zh-CN"/>
        </w:rPr>
      </w:pPr>
    </w:p>
    <w:p w14:paraId="7A85B62B">
      <w:pPr>
        <w:pStyle w:val="2"/>
        <w:rPr>
          <w:rFonts w:hint="eastAsia"/>
          <w:lang w:val="en-US" w:eastAsia="zh-CN"/>
        </w:rPr>
      </w:pPr>
    </w:p>
    <w:p w14:paraId="017B6AED">
      <w:pPr>
        <w:pStyle w:val="4"/>
        <w:rPr>
          <w:rFonts w:hint="eastAsia"/>
          <w:lang w:val="en-US" w:eastAsia="zh-CN"/>
        </w:rPr>
      </w:pPr>
    </w:p>
    <w:p w14:paraId="58C57E39">
      <w:pPr>
        <w:rPr>
          <w:rFonts w:hint="eastAsia"/>
          <w:lang w:val="en-US" w:eastAsia="zh-CN"/>
        </w:rPr>
      </w:pPr>
    </w:p>
    <w:p w14:paraId="23A6C47E">
      <w:pPr>
        <w:pStyle w:val="2"/>
        <w:rPr>
          <w:rFonts w:hint="eastAsia"/>
          <w:lang w:val="en-US" w:eastAsia="zh-CN"/>
        </w:rPr>
      </w:pPr>
    </w:p>
    <w:p w14:paraId="0D636440">
      <w:pPr>
        <w:pStyle w:val="4"/>
        <w:rPr>
          <w:rFonts w:hint="eastAsia"/>
          <w:lang w:val="en-US" w:eastAsia="zh-CN"/>
        </w:rPr>
      </w:pPr>
    </w:p>
    <w:p w14:paraId="1E0FC86A">
      <w:pPr>
        <w:rPr>
          <w:rFonts w:hint="eastAsia"/>
          <w:lang w:val="en-US" w:eastAsia="zh-CN"/>
        </w:rPr>
      </w:pPr>
    </w:p>
    <w:p w14:paraId="082C0B57">
      <w:pPr>
        <w:pStyle w:val="2"/>
        <w:rPr>
          <w:rFonts w:hint="eastAsia"/>
          <w:lang w:val="en-US" w:eastAsia="zh-CN"/>
        </w:rPr>
      </w:pPr>
    </w:p>
    <w:p w14:paraId="24FA91ED">
      <w:pPr>
        <w:pStyle w:val="4"/>
        <w:rPr>
          <w:rFonts w:hint="eastAsia"/>
          <w:lang w:val="en-US" w:eastAsia="zh-CN"/>
        </w:rPr>
      </w:pPr>
    </w:p>
    <w:p w14:paraId="08F839A5">
      <w:pPr>
        <w:rPr>
          <w:rFonts w:hint="eastAsia"/>
          <w:lang w:val="en-US" w:eastAsia="zh-CN"/>
        </w:rPr>
      </w:pPr>
    </w:p>
    <w:p w14:paraId="15BC9569">
      <w:pPr>
        <w:pStyle w:val="2"/>
        <w:rPr>
          <w:rFonts w:hint="eastAsia"/>
          <w:lang w:val="en-US" w:eastAsia="zh-CN"/>
        </w:rPr>
      </w:pPr>
    </w:p>
    <w:p w14:paraId="6B65307E">
      <w:pPr>
        <w:pStyle w:val="4"/>
        <w:rPr>
          <w:rFonts w:hint="eastAsia"/>
          <w:lang w:val="en-US" w:eastAsia="zh-CN"/>
        </w:rPr>
      </w:pPr>
    </w:p>
    <w:p w14:paraId="55114E26">
      <w:pPr>
        <w:rPr>
          <w:rFonts w:hint="eastAsia"/>
          <w:lang w:val="en-US" w:eastAsia="zh-CN"/>
        </w:rPr>
      </w:pPr>
    </w:p>
    <w:p w14:paraId="1589A21A">
      <w:pPr>
        <w:pStyle w:val="2"/>
        <w:rPr>
          <w:rFonts w:hint="eastAsia"/>
          <w:lang w:val="en-US" w:eastAsia="zh-CN"/>
        </w:rPr>
      </w:pPr>
    </w:p>
    <w:p w14:paraId="3187FD15">
      <w:pPr>
        <w:pStyle w:val="4"/>
        <w:rPr>
          <w:rFonts w:hint="eastAsia"/>
          <w:lang w:val="en-US" w:eastAsia="zh-CN"/>
        </w:rPr>
      </w:pPr>
    </w:p>
    <w:p w14:paraId="73CFC56C">
      <w:pPr>
        <w:rPr>
          <w:rFonts w:hint="eastAsia"/>
          <w:lang w:val="en-US" w:eastAsia="zh-CN"/>
        </w:rPr>
      </w:pPr>
    </w:p>
    <w:p w14:paraId="08EC4398">
      <w:pPr>
        <w:pStyle w:val="2"/>
        <w:rPr>
          <w:rFonts w:hint="eastAsia"/>
          <w:lang w:val="en-US" w:eastAsia="zh-CN"/>
        </w:rPr>
      </w:pPr>
    </w:p>
    <w:p w14:paraId="24066A35">
      <w:pPr>
        <w:pStyle w:val="4"/>
        <w:rPr>
          <w:rFonts w:hint="eastAsia"/>
          <w:lang w:val="en-US" w:eastAsia="zh-CN"/>
        </w:rPr>
      </w:pPr>
    </w:p>
    <w:p w14:paraId="1F7B7002">
      <w:pPr>
        <w:rPr>
          <w:rFonts w:hint="eastAsia"/>
          <w:lang w:val="en-US" w:eastAsia="zh-CN"/>
        </w:rPr>
      </w:pPr>
    </w:p>
    <w:p w14:paraId="767AE013">
      <w:pPr>
        <w:pStyle w:val="2"/>
        <w:rPr>
          <w:rFonts w:hint="eastAsia"/>
          <w:lang w:val="en-US" w:eastAsia="zh-CN"/>
        </w:rPr>
      </w:pPr>
    </w:p>
    <w:p w14:paraId="63D89D3F">
      <w:pPr>
        <w:pStyle w:val="4"/>
        <w:rPr>
          <w:rFonts w:hint="eastAsia"/>
          <w:lang w:val="en-US" w:eastAsia="zh-CN"/>
        </w:rPr>
      </w:pPr>
    </w:p>
    <w:p w14:paraId="0D5589FA">
      <w:pPr>
        <w:rPr>
          <w:rFonts w:hint="eastAsia"/>
          <w:lang w:val="en-US" w:eastAsia="zh-CN"/>
        </w:rPr>
      </w:pPr>
    </w:p>
    <w:p w14:paraId="46D542F6">
      <w:pPr>
        <w:pStyle w:val="2"/>
        <w:rPr>
          <w:rFonts w:hint="eastAsia"/>
          <w:lang w:val="en-US" w:eastAsia="zh-CN"/>
        </w:rPr>
      </w:pPr>
    </w:p>
    <w:p w14:paraId="664D8EC2">
      <w:pPr>
        <w:pStyle w:val="4"/>
        <w:rPr>
          <w:rFonts w:hint="eastAsia"/>
          <w:lang w:val="en-US" w:eastAsia="zh-CN"/>
        </w:rPr>
      </w:pPr>
    </w:p>
    <w:p w14:paraId="3FECAD10">
      <w:pPr>
        <w:rPr>
          <w:rFonts w:hint="eastAsia"/>
          <w:lang w:val="en-US" w:eastAsia="zh-CN"/>
        </w:rPr>
      </w:pPr>
    </w:p>
    <w:p w14:paraId="14517ED1">
      <w:pPr>
        <w:pStyle w:val="2"/>
        <w:rPr>
          <w:rFonts w:hint="eastAsia"/>
          <w:lang w:val="en-US" w:eastAsia="zh-CN"/>
        </w:rPr>
      </w:pPr>
    </w:p>
    <w:p w14:paraId="7764EF5F">
      <w:pPr>
        <w:pStyle w:val="4"/>
        <w:rPr>
          <w:rFonts w:hint="eastAsia"/>
          <w:lang w:val="en-US" w:eastAsia="zh-CN"/>
        </w:rPr>
      </w:pPr>
    </w:p>
    <w:p w14:paraId="074CB2FE">
      <w:pPr>
        <w:rPr>
          <w:rFonts w:hint="eastAsia"/>
          <w:lang w:val="en-US" w:eastAsia="zh-CN"/>
        </w:rPr>
      </w:pPr>
    </w:p>
    <w:p w14:paraId="2FFAAEB5">
      <w:pPr>
        <w:pStyle w:val="2"/>
        <w:rPr>
          <w:rFonts w:hint="eastAsia"/>
          <w:lang w:val="en-US" w:eastAsia="zh-CN"/>
        </w:rPr>
      </w:pPr>
    </w:p>
    <w:p w14:paraId="1068121C">
      <w:pPr>
        <w:pStyle w:val="4"/>
        <w:rPr>
          <w:rFonts w:hint="eastAsia"/>
          <w:lang w:val="en-US" w:eastAsia="zh-CN"/>
        </w:rPr>
      </w:pPr>
    </w:p>
    <w:p w14:paraId="7E3647E0">
      <w:pPr>
        <w:rPr>
          <w:rFonts w:hint="eastAsia"/>
          <w:lang w:val="en-US" w:eastAsia="zh-CN"/>
        </w:rPr>
      </w:pPr>
    </w:p>
    <w:p w14:paraId="4C807C09">
      <w:pPr>
        <w:pStyle w:val="2"/>
        <w:rPr>
          <w:rFonts w:hint="eastAsia"/>
          <w:lang w:val="en-US" w:eastAsia="zh-CN"/>
        </w:rPr>
      </w:pPr>
    </w:p>
    <w:p w14:paraId="104469D9">
      <w:pPr>
        <w:pStyle w:val="4"/>
        <w:rPr>
          <w:rFonts w:hint="eastAsia"/>
          <w:lang w:val="en-US" w:eastAsia="zh-CN"/>
        </w:rPr>
      </w:pPr>
    </w:p>
    <w:p w14:paraId="5CE7DC16">
      <w:pPr>
        <w:rPr>
          <w:rFonts w:hint="eastAsia"/>
          <w:lang w:val="en-US" w:eastAsia="zh-CN"/>
        </w:rPr>
      </w:pPr>
    </w:p>
    <w:p w14:paraId="37EE0CC2">
      <w:pPr>
        <w:pStyle w:val="2"/>
        <w:rPr>
          <w:rFonts w:hint="eastAsia"/>
          <w:lang w:val="en-US" w:eastAsia="zh-CN"/>
        </w:rPr>
      </w:pPr>
    </w:p>
    <w:p w14:paraId="17A05917">
      <w:pPr>
        <w:pStyle w:val="4"/>
        <w:rPr>
          <w:rFonts w:hint="eastAsia"/>
          <w:lang w:val="en-US" w:eastAsia="zh-CN"/>
        </w:rPr>
      </w:pPr>
    </w:p>
    <w:p w14:paraId="4ABCECBB">
      <w:pPr>
        <w:rPr>
          <w:rFonts w:hint="eastAsia"/>
          <w:lang w:val="en-US" w:eastAsia="zh-CN"/>
        </w:rPr>
      </w:pPr>
    </w:p>
    <w:p w14:paraId="0CFCC503">
      <w:pPr>
        <w:pStyle w:val="2"/>
        <w:rPr>
          <w:rFonts w:hint="eastAsia"/>
          <w:lang w:val="en-US" w:eastAsia="zh-CN"/>
        </w:rPr>
      </w:pPr>
    </w:p>
    <w:p w14:paraId="73E6430E">
      <w:pPr>
        <w:pStyle w:val="4"/>
        <w:rPr>
          <w:rFonts w:hint="eastAsia"/>
          <w:lang w:val="en-US" w:eastAsia="zh-CN"/>
        </w:rPr>
      </w:pPr>
      <w:r>
        <w:rPr>
          <w:rFonts w:hint="eastAsia"/>
          <w:lang w:eastAsia="zh-CN"/>
        </w:rPr>
        <w:drawing>
          <wp:inline distT="0" distB="0" distL="114300" distR="114300">
            <wp:extent cx="5273675" cy="7463790"/>
            <wp:effectExtent l="0" t="0" r="3175" b="3810"/>
            <wp:docPr id="4" name="图片 4" descr="新安达合同）越凯(江西)新材料有限公司越凯江西新材料有限公司电子化学品生产及化工原料经营项目安全条件评价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新安达合同）越凯(江西)新材料有限公司越凯江西新材料有限公司电子化学品生产及化工原料经营项目安全条件评价_00"/>
                    <pic:cNvPicPr>
                      <a:picLocks noChangeAspect="1"/>
                    </pic:cNvPicPr>
                  </pic:nvPicPr>
                  <pic:blipFill>
                    <a:blip r:embed="rId10"/>
                    <a:stretch>
                      <a:fillRect/>
                    </a:stretch>
                  </pic:blipFill>
                  <pic:spPr>
                    <a:xfrm>
                      <a:off x="0" y="0"/>
                      <a:ext cx="5273675" cy="7463790"/>
                    </a:xfrm>
                    <a:prstGeom prst="rect">
                      <a:avLst/>
                    </a:prstGeom>
                  </pic:spPr>
                </pic:pic>
              </a:graphicData>
            </a:graphic>
          </wp:inline>
        </w:drawing>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swiss"/>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0679C0"/>
    <w:multiLevelType w:val="singleLevel"/>
    <w:tmpl w:val="850679C0"/>
    <w:lvl w:ilvl="0" w:tentative="0">
      <w:start w:val="1"/>
      <w:numFmt w:val="decimal"/>
      <w:pStyle w:val="47"/>
      <w:suff w:val="nothing"/>
      <w:lvlText w:val="%1）"/>
      <w:lvlJc w:val="left"/>
      <w:pPr>
        <w:tabs>
          <w:tab w:val="left" w:pos="312"/>
        </w:tabs>
      </w:pPr>
      <w:rPr>
        <w:rFonts w:hint="default" w:ascii="Times New Roman" w:hAnsi="Times New Roman" w:eastAsia="宋体" w:cs="Times New Roman"/>
        <w:sz w:val="24"/>
        <w:szCs w:val="24"/>
      </w:rPr>
    </w:lvl>
  </w:abstractNum>
  <w:abstractNum w:abstractNumId="1">
    <w:nsid w:val="5183855F"/>
    <w:multiLevelType w:val="singleLevel"/>
    <w:tmpl w:val="5183855F"/>
    <w:lvl w:ilvl="0" w:tentative="0">
      <w:start w:val="1"/>
      <w:numFmt w:val="chineseCounting"/>
      <w:pStyle w:val="42"/>
      <w:suff w:val="nothing"/>
      <w:lvlText w:val="%1、"/>
      <w:lvlJc w:val="left"/>
      <w:pPr>
        <w:ind w:left="0" w:firstLine="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0MzMzYTgyMzhiYzZmMDBlZWYzZjg5ZGY4MGFiN2MifQ=="/>
    <w:docVar w:name="KSO_WPS_MARK_KEY" w:val="f0c94484-18bf-41d0-a894-232196517eb0"/>
  </w:docVars>
  <w:rsids>
    <w:rsidRoot w:val="00E3751A"/>
    <w:rsid w:val="00047227"/>
    <w:rsid w:val="00194B7C"/>
    <w:rsid w:val="002012A2"/>
    <w:rsid w:val="00303C12"/>
    <w:rsid w:val="003A7C06"/>
    <w:rsid w:val="004340C8"/>
    <w:rsid w:val="00443349"/>
    <w:rsid w:val="004D1AF7"/>
    <w:rsid w:val="005858BE"/>
    <w:rsid w:val="00727066"/>
    <w:rsid w:val="00756850"/>
    <w:rsid w:val="00787BD2"/>
    <w:rsid w:val="007A2261"/>
    <w:rsid w:val="007C3A9A"/>
    <w:rsid w:val="00802085"/>
    <w:rsid w:val="008F01AE"/>
    <w:rsid w:val="009570B9"/>
    <w:rsid w:val="009A19ED"/>
    <w:rsid w:val="00C341C7"/>
    <w:rsid w:val="00C65B3D"/>
    <w:rsid w:val="00C75118"/>
    <w:rsid w:val="00C82162"/>
    <w:rsid w:val="00D40559"/>
    <w:rsid w:val="00D93BC0"/>
    <w:rsid w:val="00E3751A"/>
    <w:rsid w:val="00E95F3C"/>
    <w:rsid w:val="00F46A10"/>
    <w:rsid w:val="00F60933"/>
    <w:rsid w:val="00FF028C"/>
    <w:rsid w:val="00FF47EE"/>
    <w:rsid w:val="011503BF"/>
    <w:rsid w:val="01381A2C"/>
    <w:rsid w:val="01E43C17"/>
    <w:rsid w:val="030516AD"/>
    <w:rsid w:val="03463A74"/>
    <w:rsid w:val="03A1635F"/>
    <w:rsid w:val="03C37305"/>
    <w:rsid w:val="04334FFF"/>
    <w:rsid w:val="04543719"/>
    <w:rsid w:val="045937F4"/>
    <w:rsid w:val="04664971"/>
    <w:rsid w:val="04714B20"/>
    <w:rsid w:val="04D11406"/>
    <w:rsid w:val="04E23328"/>
    <w:rsid w:val="050505ED"/>
    <w:rsid w:val="054F4E8B"/>
    <w:rsid w:val="06007F0A"/>
    <w:rsid w:val="062E2CC9"/>
    <w:rsid w:val="06567547"/>
    <w:rsid w:val="06EF6353"/>
    <w:rsid w:val="07D32EB9"/>
    <w:rsid w:val="07E46E00"/>
    <w:rsid w:val="0814540D"/>
    <w:rsid w:val="08300409"/>
    <w:rsid w:val="08302FF8"/>
    <w:rsid w:val="0845254C"/>
    <w:rsid w:val="08E81855"/>
    <w:rsid w:val="08ED0200"/>
    <w:rsid w:val="08FD6983"/>
    <w:rsid w:val="0946657C"/>
    <w:rsid w:val="096769A3"/>
    <w:rsid w:val="096F1B10"/>
    <w:rsid w:val="09806C85"/>
    <w:rsid w:val="09A37E9F"/>
    <w:rsid w:val="0A0E1339"/>
    <w:rsid w:val="0A173A74"/>
    <w:rsid w:val="0A4F7A65"/>
    <w:rsid w:val="0BC750FD"/>
    <w:rsid w:val="0C370800"/>
    <w:rsid w:val="0D0227BA"/>
    <w:rsid w:val="0D073DB5"/>
    <w:rsid w:val="0D081033"/>
    <w:rsid w:val="0E564C35"/>
    <w:rsid w:val="0EC817E1"/>
    <w:rsid w:val="0F1C6141"/>
    <w:rsid w:val="0F423341"/>
    <w:rsid w:val="0FE07C54"/>
    <w:rsid w:val="0FFD1618"/>
    <w:rsid w:val="10806817"/>
    <w:rsid w:val="10A546BD"/>
    <w:rsid w:val="10AD0B5D"/>
    <w:rsid w:val="10AE1BD9"/>
    <w:rsid w:val="10D96D50"/>
    <w:rsid w:val="117D68B3"/>
    <w:rsid w:val="11BA5E99"/>
    <w:rsid w:val="13337B71"/>
    <w:rsid w:val="13FA1B12"/>
    <w:rsid w:val="141C622E"/>
    <w:rsid w:val="14732EA1"/>
    <w:rsid w:val="147F5532"/>
    <w:rsid w:val="14D001B2"/>
    <w:rsid w:val="156C314D"/>
    <w:rsid w:val="15CB68F5"/>
    <w:rsid w:val="16B10157"/>
    <w:rsid w:val="172B1294"/>
    <w:rsid w:val="17505468"/>
    <w:rsid w:val="1752433D"/>
    <w:rsid w:val="17550DB0"/>
    <w:rsid w:val="17810296"/>
    <w:rsid w:val="179337C8"/>
    <w:rsid w:val="17C601C4"/>
    <w:rsid w:val="182061EA"/>
    <w:rsid w:val="18301429"/>
    <w:rsid w:val="18351C95"/>
    <w:rsid w:val="188D103C"/>
    <w:rsid w:val="190E35A0"/>
    <w:rsid w:val="191A70DD"/>
    <w:rsid w:val="19992B53"/>
    <w:rsid w:val="19CE23A1"/>
    <w:rsid w:val="19D014C8"/>
    <w:rsid w:val="19F45335"/>
    <w:rsid w:val="1A330456"/>
    <w:rsid w:val="1A4E76A5"/>
    <w:rsid w:val="1A907FA2"/>
    <w:rsid w:val="1ADA1B6B"/>
    <w:rsid w:val="1AF71484"/>
    <w:rsid w:val="1B63147C"/>
    <w:rsid w:val="1C2F6387"/>
    <w:rsid w:val="1C3244B8"/>
    <w:rsid w:val="1C3E4E60"/>
    <w:rsid w:val="1C461987"/>
    <w:rsid w:val="1C4B6410"/>
    <w:rsid w:val="1C67088B"/>
    <w:rsid w:val="1C8515D0"/>
    <w:rsid w:val="1C970306"/>
    <w:rsid w:val="1CD13F56"/>
    <w:rsid w:val="1CD14F1F"/>
    <w:rsid w:val="1CEA3399"/>
    <w:rsid w:val="1DA60EEB"/>
    <w:rsid w:val="1F0F5E71"/>
    <w:rsid w:val="1F142A61"/>
    <w:rsid w:val="1F373426"/>
    <w:rsid w:val="1F642D26"/>
    <w:rsid w:val="1FAC2BD1"/>
    <w:rsid w:val="1FC658C9"/>
    <w:rsid w:val="1FF45CE7"/>
    <w:rsid w:val="20176124"/>
    <w:rsid w:val="20B750A8"/>
    <w:rsid w:val="2107263D"/>
    <w:rsid w:val="21313216"/>
    <w:rsid w:val="214C4107"/>
    <w:rsid w:val="21A13C43"/>
    <w:rsid w:val="222E1FA2"/>
    <w:rsid w:val="22366385"/>
    <w:rsid w:val="224031F6"/>
    <w:rsid w:val="2282270A"/>
    <w:rsid w:val="229735F9"/>
    <w:rsid w:val="22AD2D70"/>
    <w:rsid w:val="23532900"/>
    <w:rsid w:val="2359594A"/>
    <w:rsid w:val="237962D0"/>
    <w:rsid w:val="23B37411"/>
    <w:rsid w:val="242E50EF"/>
    <w:rsid w:val="244E33BB"/>
    <w:rsid w:val="24775815"/>
    <w:rsid w:val="24B06070"/>
    <w:rsid w:val="24D12D46"/>
    <w:rsid w:val="24FD0CF7"/>
    <w:rsid w:val="25776824"/>
    <w:rsid w:val="25FB3FD9"/>
    <w:rsid w:val="260B2287"/>
    <w:rsid w:val="26134134"/>
    <w:rsid w:val="271635D9"/>
    <w:rsid w:val="27280E94"/>
    <w:rsid w:val="27F61196"/>
    <w:rsid w:val="28814447"/>
    <w:rsid w:val="29283150"/>
    <w:rsid w:val="297A3C20"/>
    <w:rsid w:val="298C1931"/>
    <w:rsid w:val="29925FE1"/>
    <w:rsid w:val="29C972C6"/>
    <w:rsid w:val="2B944ACD"/>
    <w:rsid w:val="2BD9110B"/>
    <w:rsid w:val="2C9D3BC7"/>
    <w:rsid w:val="2CF2686E"/>
    <w:rsid w:val="2E9E272A"/>
    <w:rsid w:val="2EAE6403"/>
    <w:rsid w:val="2F5C124E"/>
    <w:rsid w:val="31055C5A"/>
    <w:rsid w:val="3256187C"/>
    <w:rsid w:val="3259568C"/>
    <w:rsid w:val="32A31CA7"/>
    <w:rsid w:val="32A66941"/>
    <w:rsid w:val="334B2415"/>
    <w:rsid w:val="339918AA"/>
    <w:rsid w:val="33BD2F62"/>
    <w:rsid w:val="33C148CD"/>
    <w:rsid w:val="33E01751"/>
    <w:rsid w:val="341F407D"/>
    <w:rsid w:val="345834F7"/>
    <w:rsid w:val="34BD4A82"/>
    <w:rsid w:val="351530F3"/>
    <w:rsid w:val="351B1DBB"/>
    <w:rsid w:val="35211925"/>
    <w:rsid w:val="35524794"/>
    <w:rsid w:val="36577381"/>
    <w:rsid w:val="366115C7"/>
    <w:rsid w:val="368F242B"/>
    <w:rsid w:val="36E75766"/>
    <w:rsid w:val="37285AB1"/>
    <w:rsid w:val="375C6F30"/>
    <w:rsid w:val="3781684D"/>
    <w:rsid w:val="380F73C9"/>
    <w:rsid w:val="3823766B"/>
    <w:rsid w:val="396748BA"/>
    <w:rsid w:val="39943D71"/>
    <w:rsid w:val="39AC13AD"/>
    <w:rsid w:val="3A751F6D"/>
    <w:rsid w:val="3AAA1C17"/>
    <w:rsid w:val="3AB6680E"/>
    <w:rsid w:val="3AD61658"/>
    <w:rsid w:val="3ADD7367"/>
    <w:rsid w:val="3AF50232"/>
    <w:rsid w:val="3B251FB8"/>
    <w:rsid w:val="3B3712DA"/>
    <w:rsid w:val="3B516ED3"/>
    <w:rsid w:val="3B622014"/>
    <w:rsid w:val="3BFC6477"/>
    <w:rsid w:val="3C7D28D5"/>
    <w:rsid w:val="3C9506A5"/>
    <w:rsid w:val="3CE43836"/>
    <w:rsid w:val="3D027FC2"/>
    <w:rsid w:val="3D3D4FC4"/>
    <w:rsid w:val="3D4729D1"/>
    <w:rsid w:val="3DEB4A20"/>
    <w:rsid w:val="3E2D53F7"/>
    <w:rsid w:val="3EAF5499"/>
    <w:rsid w:val="3EB62D94"/>
    <w:rsid w:val="3EEC7F81"/>
    <w:rsid w:val="3F0E1560"/>
    <w:rsid w:val="3FA71C20"/>
    <w:rsid w:val="3FDA2F9E"/>
    <w:rsid w:val="40606FB3"/>
    <w:rsid w:val="407A6EF0"/>
    <w:rsid w:val="408A0869"/>
    <w:rsid w:val="40995D81"/>
    <w:rsid w:val="40DC28F6"/>
    <w:rsid w:val="416C231C"/>
    <w:rsid w:val="41B906C9"/>
    <w:rsid w:val="41C84509"/>
    <w:rsid w:val="420A201A"/>
    <w:rsid w:val="421E5E45"/>
    <w:rsid w:val="42305ED2"/>
    <w:rsid w:val="42355182"/>
    <w:rsid w:val="43120BD6"/>
    <w:rsid w:val="43B14016"/>
    <w:rsid w:val="43F50190"/>
    <w:rsid w:val="4432163F"/>
    <w:rsid w:val="44476729"/>
    <w:rsid w:val="44915BF6"/>
    <w:rsid w:val="4546743F"/>
    <w:rsid w:val="45A13141"/>
    <w:rsid w:val="46966FC2"/>
    <w:rsid w:val="46F56910"/>
    <w:rsid w:val="47A620D4"/>
    <w:rsid w:val="47EE36B2"/>
    <w:rsid w:val="485E76F8"/>
    <w:rsid w:val="4865795A"/>
    <w:rsid w:val="487A531F"/>
    <w:rsid w:val="48AF6D87"/>
    <w:rsid w:val="49CE6C17"/>
    <w:rsid w:val="4A437992"/>
    <w:rsid w:val="4A657908"/>
    <w:rsid w:val="4BE40D01"/>
    <w:rsid w:val="4C88615E"/>
    <w:rsid w:val="4CDE060B"/>
    <w:rsid w:val="4E2E60EA"/>
    <w:rsid w:val="4E3D5914"/>
    <w:rsid w:val="4E461B89"/>
    <w:rsid w:val="4E834801"/>
    <w:rsid w:val="4F4C1097"/>
    <w:rsid w:val="4F844CD5"/>
    <w:rsid w:val="4F9D18F3"/>
    <w:rsid w:val="4FB01626"/>
    <w:rsid w:val="4FF32FA8"/>
    <w:rsid w:val="50EA0B03"/>
    <w:rsid w:val="512A57AB"/>
    <w:rsid w:val="515A3854"/>
    <w:rsid w:val="5276471A"/>
    <w:rsid w:val="52B20F97"/>
    <w:rsid w:val="52CC47C0"/>
    <w:rsid w:val="52E07D49"/>
    <w:rsid w:val="5374510A"/>
    <w:rsid w:val="53F5005F"/>
    <w:rsid w:val="550C37A2"/>
    <w:rsid w:val="563253F0"/>
    <w:rsid w:val="563D2137"/>
    <w:rsid w:val="565D015E"/>
    <w:rsid w:val="56836AB2"/>
    <w:rsid w:val="56BC2DE3"/>
    <w:rsid w:val="56D42C4D"/>
    <w:rsid w:val="56EF512A"/>
    <w:rsid w:val="57301D47"/>
    <w:rsid w:val="57487036"/>
    <w:rsid w:val="575D6537"/>
    <w:rsid w:val="57800B40"/>
    <w:rsid w:val="57CD2DFE"/>
    <w:rsid w:val="58244FE5"/>
    <w:rsid w:val="583628E4"/>
    <w:rsid w:val="584B13F6"/>
    <w:rsid w:val="59217B49"/>
    <w:rsid w:val="5956674A"/>
    <w:rsid w:val="59656964"/>
    <w:rsid w:val="59A860E0"/>
    <w:rsid w:val="59D926D2"/>
    <w:rsid w:val="5A034680"/>
    <w:rsid w:val="5AA52A54"/>
    <w:rsid w:val="5B070568"/>
    <w:rsid w:val="5B856EE5"/>
    <w:rsid w:val="5BC05975"/>
    <w:rsid w:val="5BD743DE"/>
    <w:rsid w:val="5C3A1541"/>
    <w:rsid w:val="5CA15F65"/>
    <w:rsid w:val="5D63281F"/>
    <w:rsid w:val="5D706898"/>
    <w:rsid w:val="5D731EE5"/>
    <w:rsid w:val="5D7C7100"/>
    <w:rsid w:val="5D89238E"/>
    <w:rsid w:val="5D8C28DB"/>
    <w:rsid w:val="5DA30A1C"/>
    <w:rsid w:val="5E1A42E3"/>
    <w:rsid w:val="5E3F6556"/>
    <w:rsid w:val="5E4A7A0E"/>
    <w:rsid w:val="5E8C3C37"/>
    <w:rsid w:val="5EBC6D64"/>
    <w:rsid w:val="5ED03402"/>
    <w:rsid w:val="5F182B4A"/>
    <w:rsid w:val="5FD163AE"/>
    <w:rsid w:val="60057BEA"/>
    <w:rsid w:val="60912DAE"/>
    <w:rsid w:val="6098413C"/>
    <w:rsid w:val="60B44CEE"/>
    <w:rsid w:val="60B460AF"/>
    <w:rsid w:val="60CF38D6"/>
    <w:rsid w:val="619747AF"/>
    <w:rsid w:val="621C336D"/>
    <w:rsid w:val="62864468"/>
    <w:rsid w:val="629E5C56"/>
    <w:rsid w:val="62A05F08"/>
    <w:rsid w:val="62EA5BC6"/>
    <w:rsid w:val="630737FB"/>
    <w:rsid w:val="638C3AFD"/>
    <w:rsid w:val="63C25DAA"/>
    <w:rsid w:val="64126CC6"/>
    <w:rsid w:val="648F0582"/>
    <w:rsid w:val="64F540D9"/>
    <w:rsid w:val="6559245A"/>
    <w:rsid w:val="65622F6B"/>
    <w:rsid w:val="658C415A"/>
    <w:rsid w:val="65BD6D5B"/>
    <w:rsid w:val="66415650"/>
    <w:rsid w:val="66C53C4A"/>
    <w:rsid w:val="673B297E"/>
    <w:rsid w:val="678F323C"/>
    <w:rsid w:val="67F105D6"/>
    <w:rsid w:val="67FD6F7B"/>
    <w:rsid w:val="68233EA0"/>
    <w:rsid w:val="68A30209"/>
    <w:rsid w:val="68C86C57"/>
    <w:rsid w:val="69C2222A"/>
    <w:rsid w:val="6AA57F27"/>
    <w:rsid w:val="6CC37EB5"/>
    <w:rsid w:val="6D1139EB"/>
    <w:rsid w:val="6D27066C"/>
    <w:rsid w:val="6D3457FF"/>
    <w:rsid w:val="6E0E1EE1"/>
    <w:rsid w:val="6E2A4841"/>
    <w:rsid w:val="6EAA2897"/>
    <w:rsid w:val="6EEF19E2"/>
    <w:rsid w:val="6F3D1DEF"/>
    <w:rsid w:val="6F963F3C"/>
    <w:rsid w:val="6FB940CF"/>
    <w:rsid w:val="6FE54B28"/>
    <w:rsid w:val="71276AD1"/>
    <w:rsid w:val="7160445C"/>
    <w:rsid w:val="71697143"/>
    <w:rsid w:val="716C6A50"/>
    <w:rsid w:val="717476DC"/>
    <w:rsid w:val="717958C4"/>
    <w:rsid w:val="71BE777B"/>
    <w:rsid w:val="7207397B"/>
    <w:rsid w:val="729E3A33"/>
    <w:rsid w:val="72C43B37"/>
    <w:rsid w:val="73670AB5"/>
    <w:rsid w:val="737D1DEA"/>
    <w:rsid w:val="74150FF5"/>
    <w:rsid w:val="748B2EA1"/>
    <w:rsid w:val="74AE0F56"/>
    <w:rsid w:val="76391AC6"/>
    <w:rsid w:val="7672193D"/>
    <w:rsid w:val="770403EE"/>
    <w:rsid w:val="771C50B0"/>
    <w:rsid w:val="771E190D"/>
    <w:rsid w:val="77832F9B"/>
    <w:rsid w:val="77C519A6"/>
    <w:rsid w:val="78063C29"/>
    <w:rsid w:val="784004D1"/>
    <w:rsid w:val="78725E9B"/>
    <w:rsid w:val="7877129B"/>
    <w:rsid w:val="787B0173"/>
    <w:rsid w:val="79302291"/>
    <w:rsid w:val="797D7F1B"/>
    <w:rsid w:val="79CB65A5"/>
    <w:rsid w:val="79F44E86"/>
    <w:rsid w:val="79FE7AE0"/>
    <w:rsid w:val="7A083C89"/>
    <w:rsid w:val="7AA15E8B"/>
    <w:rsid w:val="7B424553"/>
    <w:rsid w:val="7BB96559"/>
    <w:rsid w:val="7BF25D18"/>
    <w:rsid w:val="7C304A31"/>
    <w:rsid w:val="7C6520EB"/>
    <w:rsid w:val="7C85225C"/>
    <w:rsid w:val="7D1943FF"/>
    <w:rsid w:val="7D7347EF"/>
    <w:rsid w:val="7D9755D5"/>
    <w:rsid w:val="7D9B14E2"/>
    <w:rsid w:val="7DB761A8"/>
    <w:rsid w:val="7DD52B5A"/>
    <w:rsid w:val="7E522673"/>
    <w:rsid w:val="7E81400A"/>
    <w:rsid w:val="7EA63A70"/>
    <w:rsid w:val="7FE7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qFormat="1" w:unhideWhenUsed="0" w:uiPriority="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qFormat/>
    <w:uiPriority w:val="0"/>
    <w:pPr>
      <w:keepNext/>
      <w:keepLines/>
      <w:snapToGrid w:val="0"/>
      <w:spacing w:beforeLines="50" w:afterLines="50"/>
      <w:outlineLvl w:val="1"/>
    </w:pPr>
    <w:rPr>
      <w:rFonts w:eastAsia="楷体_GB2312" w:cs="MS Gothic"/>
      <w:snapToGrid w:val="0"/>
      <w:kern w:val="0"/>
      <w:sz w:val="32"/>
      <w:szCs w:val="28"/>
    </w:rPr>
  </w:style>
  <w:style w:type="paragraph" w:styleId="6">
    <w:name w:val="heading 3"/>
    <w:basedOn w:val="1"/>
    <w:next w:val="1"/>
    <w:unhideWhenUsed/>
    <w:qFormat/>
    <w:uiPriority w:val="0"/>
    <w:pPr>
      <w:outlineLvl w:val="2"/>
    </w:pPr>
    <w:rPr>
      <w:rFonts w:asciiTheme="majorHAnsi" w:hAnsiTheme="majorHAnsi" w:eastAsiaTheme="majorEastAsia" w:cstheme="majorBidi"/>
      <w:b/>
      <w:bCs/>
      <w:sz w:val="28"/>
      <w:szCs w:val="32"/>
    </w:rPr>
  </w:style>
  <w:style w:type="paragraph" w:styleId="7">
    <w:name w:val="heading 4"/>
    <w:basedOn w:val="1"/>
    <w:next w:val="1"/>
    <w:unhideWhenUsed/>
    <w:qFormat/>
    <w:uiPriority w:val="0"/>
    <w:pPr>
      <w:keepNext/>
      <w:keepLines/>
      <w:outlineLvl w:val="3"/>
    </w:pPr>
    <w:rPr>
      <w:b/>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样式 标题 2"/>
    <w:basedOn w:val="3"/>
    <w:next w:val="4"/>
    <w:qFormat/>
    <w:uiPriority w:val="0"/>
    <w:pPr>
      <w:spacing w:beforeLines="0" w:afterLines="0"/>
    </w:pPr>
    <w:rPr>
      <w:rFonts w:ascii="Arial" w:hAnsi="Arial" w:eastAsia="宋体" w:cs="宋体"/>
      <w:snapToGrid/>
      <w:kern w:val="2"/>
      <w:szCs w:val="32"/>
      <w:lang w:val="zh-CN"/>
    </w:rPr>
  </w:style>
  <w:style w:type="paragraph" w:styleId="4">
    <w:name w:val="Plain Text"/>
    <w:basedOn w:val="1"/>
    <w:next w:val="1"/>
    <w:qFormat/>
    <w:uiPriority w:val="0"/>
    <w:rPr>
      <w:rFonts w:ascii="宋体" w:hAnsi="Courier New" w:cs="Courier New"/>
      <w:szCs w:val="21"/>
    </w:rPr>
  </w:style>
  <w:style w:type="paragraph" w:styleId="8">
    <w:name w:val="Normal Indent"/>
    <w:basedOn w:val="1"/>
    <w:qFormat/>
    <w:uiPriority w:val="0"/>
    <w:pPr>
      <w:adjustRightInd w:val="0"/>
      <w:spacing w:line="360" w:lineRule="atLeast"/>
      <w:ind w:firstLine="420"/>
      <w:jc w:val="left"/>
      <w:textAlignment w:val="baseline"/>
    </w:pPr>
    <w:rPr>
      <w:rFonts w:eastAsia="仿宋_GB2312"/>
      <w:kern w:val="0"/>
      <w:sz w:val="28"/>
      <w:szCs w:val="20"/>
    </w:rPr>
  </w:style>
  <w:style w:type="paragraph" w:styleId="9">
    <w:name w:val="Body Text"/>
    <w:basedOn w:val="1"/>
    <w:qFormat/>
    <w:uiPriority w:val="99"/>
    <w:rPr>
      <w:sz w:val="28"/>
      <w:szCs w:val="28"/>
    </w:rPr>
  </w:style>
  <w:style w:type="paragraph" w:styleId="10">
    <w:name w:val="Body Text Indent"/>
    <w:basedOn w:val="1"/>
    <w:next w:val="11"/>
    <w:unhideWhenUsed/>
    <w:qFormat/>
    <w:uiPriority w:val="99"/>
    <w:pPr>
      <w:spacing w:after="120"/>
      <w:ind w:left="420" w:leftChars="200"/>
    </w:pPr>
  </w:style>
  <w:style w:type="paragraph" w:styleId="11">
    <w:name w:val="toc 5"/>
    <w:basedOn w:val="1"/>
    <w:next w:val="1"/>
    <w:semiHidden/>
    <w:qFormat/>
    <w:uiPriority w:val="0"/>
    <w:pPr>
      <w:ind w:left="1120"/>
      <w:jc w:val="left"/>
    </w:pPr>
    <w:rPr>
      <w:sz w:val="18"/>
      <w:szCs w:val="18"/>
    </w:rPr>
  </w:style>
  <w:style w:type="paragraph" w:styleId="12">
    <w:name w:val="Date"/>
    <w:basedOn w:val="1"/>
    <w:next w:val="1"/>
    <w:link w:val="46"/>
    <w:qFormat/>
    <w:uiPriority w:val="0"/>
    <w:pPr>
      <w:ind w:left="100" w:leftChars="2500"/>
    </w:pPr>
    <w:rPr>
      <w:rFonts w:ascii="Times New Roman" w:hAnsi="Times New Roman"/>
      <w:b/>
      <w:bCs/>
      <w:sz w:val="28"/>
    </w:rPr>
  </w:style>
  <w:style w:type="paragraph" w:styleId="13">
    <w:name w:val="Body Text Indent 2"/>
    <w:basedOn w:val="1"/>
    <w:qFormat/>
    <w:uiPriority w:val="0"/>
    <w:pPr>
      <w:ind w:firstLine="538" w:firstLineChars="192"/>
    </w:pPr>
    <w:rPr>
      <w:rFonts w:ascii="宋体" w:hAnsi="宋体"/>
      <w:sz w:val="28"/>
    </w:rPr>
  </w:style>
  <w:style w:type="paragraph" w:styleId="14">
    <w:name w:val="Balloon Text"/>
    <w:basedOn w:val="1"/>
    <w:link w:val="32"/>
    <w:qFormat/>
    <w:uiPriority w:val="0"/>
    <w:rPr>
      <w:sz w:val="18"/>
      <w:szCs w:val="18"/>
    </w:rPr>
  </w:style>
  <w:style w:type="paragraph" w:styleId="15">
    <w:name w:val="footer"/>
    <w:basedOn w:val="1"/>
    <w:next w:val="16"/>
    <w:qFormat/>
    <w:uiPriority w:val="0"/>
    <w:pPr>
      <w:tabs>
        <w:tab w:val="center" w:pos="4153"/>
        <w:tab w:val="right" w:pos="8306"/>
      </w:tabs>
      <w:snapToGrid w:val="0"/>
    </w:pPr>
    <w:rPr>
      <w:sz w:val="18"/>
      <w:szCs w:val="18"/>
    </w:rPr>
  </w:style>
  <w:style w:type="paragraph" w:styleId="16">
    <w:name w:val="Normal (Web)"/>
    <w:basedOn w:val="1"/>
    <w:next w:val="17"/>
    <w:qFormat/>
    <w:uiPriority w:val="0"/>
    <w:pPr>
      <w:spacing w:before="100" w:beforeAutospacing="1" w:after="100" w:afterAutospacing="1"/>
      <w:jc w:val="left"/>
    </w:pPr>
    <w:rPr>
      <w:kern w:val="0"/>
      <w:sz w:val="24"/>
    </w:rPr>
  </w:style>
  <w:style w:type="paragraph" w:customStyle="1" w:styleId="17">
    <w:name w:val="toc 84"/>
    <w:next w:val="1"/>
    <w:qFormat/>
    <w:uiPriority w:val="0"/>
    <w:pPr>
      <w:wordWrap w:val="0"/>
      <w:ind w:left="2975"/>
      <w:jc w:val="both"/>
    </w:pPr>
    <w:rPr>
      <w:rFonts w:ascii="Times New Roman" w:hAnsi="Times New Roman" w:eastAsia="宋体" w:cs="Times New Roman"/>
      <w:sz w:val="21"/>
      <w:szCs w:val="22"/>
      <w:lang w:val="en-US" w:eastAsia="zh-CN" w:bidi="ar-SA"/>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jc w:val="left"/>
    </w:pPr>
    <w:rPr>
      <w:rFonts w:ascii="宋体"/>
      <w:b/>
      <w:bCs/>
      <w:caps/>
      <w:sz w:val="20"/>
      <w:szCs w:val="20"/>
    </w:rPr>
  </w:style>
  <w:style w:type="paragraph" w:styleId="20">
    <w:name w:val="Body Text Indent 3"/>
    <w:basedOn w:val="1"/>
    <w:qFormat/>
    <w:uiPriority w:val="0"/>
    <w:pPr>
      <w:ind w:firstLine="630"/>
    </w:pPr>
    <w:rPr>
      <w:rFonts w:ascii="Times New Roman" w:hAnsi="Times New Roman" w:eastAsia="仿宋_GB2312"/>
      <w:sz w:val="28"/>
    </w:rPr>
  </w:style>
  <w:style w:type="paragraph" w:styleId="21">
    <w:name w:val="Body Text First Indent"/>
    <w:basedOn w:val="9"/>
    <w:next w:val="1"/>
    <w:qFormat/>
    <w:uiPriority w:val="0"/>
    <w:pPr>
      <w:spacing w:after="120"/>
      <w:ind w:firstLine="420" w:firstLineChars="100"/>
    </w:pPr>
  </w:style>
  <w:style w:type="paragraph" w:styleId="22">
    <w:name w:val="Body Text First Indent 2"/>
    <w:basedOn w:val="10"/>
    <w:next w:val="23"/>
    <w:unhideWhenUsed/>
    <w:qFormat/>
    <w:uiPriority w:val="99"/>
    <w:pPr>
      <w:ind w:firstLine="420" w:firstLineChars="200"/>
    </w:pPr>
  </w:style>
  <w:style w:type="paragraph" w:customStyle="1" w:styleId="23">
    <w:name w:val="正文2"/>
    <w:basedOn w:val="1"/>
    <w:qFormat/>
    <w:uiPriority w:val="0"/>
    <w:pPr>
      <w:spacing w:line="440" w:lineRule="atLeast"/>
      <w:ind w:firstLine="567"/>
    </w:pPr>
    <w:rPr>
      <w:sz w:val="24"/>
      <w:szCs w:val="20"/>
    </w:rPr>
  </w:style>
  <w:style w:type="paragraph" w:customStyle="1" w:styleId="26">
    <w:name w:val="样式 首行缩进:  2 字符"/>
    <w:basedOn w:val="1"/>
    <w:qFormat/>
    <w:uiPriority w:val="0"/>
    <w:pPr>
      <w:widowControl/>
      <w:tabs>
        <w:tab w:val="left" w:pos="0"/>
      </w:tabs>
      <w:spacing w:line="560" w:lineRule="exact"/>
      <w:ind w:firstLine="560" w:firstLineChars="200"/>
      <w:jc w:val="left"/>
    </w:pPr>
    <w:rPr>
      <w:rFonts w:ascii="宋体" w:hAnsi="宋体" w:eastAsia="仿宋_GB2312" w:cs="宋体"/>
      <w:spacing w:val="12"/>
      <w:kern w:val="0"/>
      <w:sz w:val="28"/>
      <w:szCs w:val="20"/>
    </w:rPr>
  </w:style>
  <w:style w:type="paragraph" w:customStyle="1" w:styleId="27">
    <w:name w:val="Default"/>
    <w:basedOn w:val="28"/>
    <w:next w:val="22"/>
    <w:qFormat/>
    <w:uiPriority w:val="0"/>
    <w:pPr>
      <w:autoSpaceDE w:val="0"/>
      <w:autoSpaceDN w:val="0"/>
    </w:pPr>
    <w:rPr>
      <w:rFonts w:hint="eastAsia" w:ascii="宋体"/>
      <w:sz w:val="24"/>
    </w:rPr>
  </w:style>
  <w:style w:type="paragraph" w:customStyle="1" w:styleId="28">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29">
    <w:name w:val="li_正文"/>
    <w:basedOn w:val="1"/>
    <w:qFormat/>
    <w:uiPriority w:val="0"/>
    <w:pPr>
      <w:topLinePunct/>
      <w:adjustRightInd w:val="0"/>
      <w:snapToGrid w:val="0"/>
      <w:spacing w:line="360" w:lineRule="auto"/>
      <w:ind w:firstLine="700" w:firstLineChars="250"/>
    </w:pPr>
    <w:rPr>
      <w:rFonts w:ascii="宋体" w:hAnsi="宋体"/>
      <w:sz w:val="28"/>
      <w:szCs w:val="28"/>
    </w:rPr>
  </w:style>
  <w:style w:type="paragraph" w:customStyle="1" w:styleId="30">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p0"/>
    <w:basedOn w:val="1"/>
    <w:qFormat/>
    <w:uiPriority w:val="0"/>
    <w:pPr>
      <w:widowControl/>
    </w:pPr>
    <w:rPr>
      <w:kern w:val="0"/>
      <w:szCs w:val="21"/>
    </w:rPr>
  </w:style>
  <w:style w:type="character" w:customStyle="1" w:styleId="32">
    <w:name w:val="批注框文本 字符"/>
    <w:basedOn w:val="25"/>
    <w:link w:val="14"/>
    <w:qFormat/>
    <w:uiPriority w:val="0"/>
    <w:rPr>
      <w:rFonts w:ascii="Calibri" w:hAnsi="Calibri"/>
      <w:kern w:val="2"/>
      <w:sz w:val="18"/>
      <w:szCs w:val="18"/>
    </w:rPr>
  </w:style>
  <w:style w:type="paragraph" w:customStyle="1" w:styleId="33">
    <w:name w:val="111"/>
    <w:basedOn w:val="1"/>
    <w:qFormat/>
    <w:uiPriority w:val="99"/>
    <w:pPr>
      <w:widowControl/>
      <w:tabs>
        <w:tab w:val="left" w:pos="0"/>
      </w:tabs>
      <w:spacing w:before="100" w:beforeAutospacing="1" w:after="100" w:afterAutospacing="1"/>
      <w:jc w:val="left"/>
    </w:pPr>
    <w:rPr>
      <w:rFonts w:ascii="宋体" w:hAnsi="宋体" w:cs="宋体"/>
      <w:kern w:val="0"/>
      <w:sz w:val="24"/>
    </w:rPr>
  </w:style>
  <w:style w:type="character" w:customStyle="1" w:styleId="34">
    <w:name w:val="表头 Char Char Char"/>
    <w:basedOn w:val="25"/>
    <w:qFormat/>
    <w:uiPriority w:val="0"/>
    <w:rPr>
      <w:rFonts w:ascii="宋体" w:hAnsi="Tahoma" w:eastAsia="宋体"/>
      <w:snapToGrid w:val="0"/>
      <w:spacing w:val="6"/>
      <w:kern w:val="10"/>
      <w:sz w:val="24"/>
    </w:rPr>
  </w:style>
  <w:style w:type="paragraph" w:customStyle="1" w:styleId="35">
    <w:name w:val="表格居中"/>
    <w:basedOn w:val="36"/>
    <w:qFormat/>
    <w:uiPriority w:val="0"/>
    <w:pPr>
      <w:jc w:val="center"/>
    </w:pPr>
  </w:style>
  <w:style w:type="paragraph" w:customStyle="1" w:styleId="36">
    <w:name w:val="表格一"/>
    <w:basedOn w:val="1"/>
    <w:qFormat/>
    <w:uiPriority w:val="0"/>
    <w:pPr>
      <w:autoSpaceDE w:val="0"/>
      <w:autoSpaceDN w:val="0"/>
      <w:adjustRightInd w:val="0"/>
      <w:snapToGrid w:val="0"/>
      <w:spacing w:line="240" w:lineRule="atLeast"/>
      <w:jc w:val="left"/>
    </w:pPr>
    <w:rPr>
      <w:rFonts w:hAnsi="宋体"/>
      <w:color w:val="000000"/>
      <w:kern w:val="1"/>
      <w:szCs w:val="21"/>
    </w:rPr>
  </w:style>
  <w:style w:type="paragraph" w:customStyle="1" w:styleId="37">
    <w:name w:val="伟灿工贸-表格文字"/>
    <w:basedOn w:val="1"/>
    <w:qFormat/>
    <w:uiPriority w:val="0"/>
    <w:pPr>
      <w:jc w:val="center"/>
    </w:pPr>
    <w:rPr>
      <w:rFonts w:hint="eastAsia" w:ascii="宋体" w:hAnsi="宋体" w:cs="宋体"/>
      <w:szCs w:val="21"/>
    </w:rPr>
  </w:style>
  <w:style w:type="paragraph" w:customStyle="1" w:styleId="38">
    <w:name w:val="QQ表正文"/>
    <w:basedOn w:val="1"/>
    <w:qFormat/>
    <w:uiPriority w:val="0"/>
    <w:pPr>
      <w:widowControl/>
      <w:snapToGrid w:val="0"/>
      <w:spacing w:after="120" w:line="520" w:lineRule="exact"/>
      <w:ind w:firstLine="480" w:firstLineChars="200"/>
    </w:pPr>
    <w:rPr>
      <w:rFonts w:ascii="Times New Roman" w:hAnsiTheme="minorHAnsi" w:eastAsiaTheme="minorEastAsia" w:cstheme="minorBidi"/>
      <w:kern w:val="0"/>
      <w:sz w:val="28"/>
      <w:szCs w:val="21"/>
    </w:rPr>
  </w:style>
  <w:style w:type="paragraph" w:customStyle="1" w:styleId="39">
    <w:name w:val="表名、图名"/>
    <w:basedOn w:val="1"/>
    <w:next w:val="1"/>
    <w:qFormat/>
    <w:uiPriority w:val="0"/>
    <w:pPr>
      <w:jc w:val="center"/>
    </w:pPr>
    <w:rPr>
      <w:b/>
      <w:bCs/>
    </w:rPr>
  </w:style>
  <w:style w:type="paragraph" w:customStyle="1" w:styleId="40">
    <w:name w:val="标题 三"/>
    <w:basedOn w:val="1"/>
    <w:qFormat/>
    <w:uiPriority w:val="0"/>
    <w:pPr>
      <w:tabs>
        <w:tab w:val="left" w:pos="3544"/>
      </w:tabs>
      <w:snapToGrid w:val="0"/>
      <w:spacing w:line="360" w:lineRule="auto"/>
      <w:outlineLvl w:val="2"/>
    </w:pPr>
    <w:rPr>
      <w:rFonts w:ascii="宋体" w:hAnsi="宋体"/>
      <w:b/>
      <w:bCs/>
      <w:sz w:val="28"/>
      <w:szCs w:val="28"/>
    </w:rPr>
  </w:style>
  <w:style w:type="paragraph" w:customStyle="1" w:styleId="41">
    <w:name w:val="ENFI正文"/>
    <w:basedOn w:val="1"/>
    <w:qFormat/>
    <w:uiPriority w:val="0"/>
    <w:pPr>
      <w:adjustRightInd w:val="0"/>
      <w:snapToGrid w:val="0"/>
      <w:ind w:firstLine="567"/>
    </w:pPr>
    <w:rPr>
      <w:rFonts w:eastAsia="仿宋_GB2312"/>
      <w:snapToGrid w:val="0"/>
      <w:color w:val="000000"/>
      <w:kern w:val="0"/>
      <w:sz w:val="28"/>
    </w:rPr>
  </w:style>
  <w:style w:type="paragraph" w:customStyle="1" w:styleId="42">
    <w:name w:val="工艺序号"/>
    <w:basedOn w:val="1"/>
    <w:qFormat/>
    <w:uiPriority w:val="0"/>
    <w:pPr>
      <w:numPr>
        <w:ilvl w:val="0"/>
        <w:numId w:val="1"/>
      </w:numPr>
    </w:pPr>
    <w:rPr>
      <w:b/>
      <w:bCs/>
    </w:rPr>
  </w:style>
  <w:style w:type="paragraph" w:customStyle="1" w:styleId="43">
    <w:name w:val="伟灿-表格文字"/>
    <w:basedOn w:val="1"/>
    <w:qFormat/>
    <w:uiPriority w:val="0"/>
    <w:pPr>
      <w:jc w:val="center"/>
    </w:pPr>
    <w:rPr>
      <w:rFonts w:hint="eastAsia" w:ascii="宋体" w:hAnsi="宋体" w:cs="宋体"/>
      <w:szCs w:val="21"/>
    </w:rPr>
  </w:style>
  <w:style w:type="paragraph" w:styleId="44">
    <w:name w:val="List Paragraph"/>
    <w:basedOn w:val="1"/>
    <w:qFormat/>
    <w:uiPriority w:val="99"/>
    <w:pPr>
      <w:ind w:firstLine="420" w:firstLineChars="200"/>
    </w:pPr>
  </w:style>
  <w:style w:type="paragraph" w:customStyle="1" w:styleId="45">
    <w:name w:val="表格1（标题）"/>
    <w:basedOn w:val="1"/>
    <w:qFormat/>
    <w:uiPriority w:val="0"/>
    <w:pPr>
      <w:widowControl/>
      <w:suppressAutoHyphens/>
      <w:adjustRightInd w:val="0"/>
      <w:snapToGrid w:val="0"/>
      <w:spacing w:line="360" w:lineRule="auto"/>
      <w:jc w:val="center"/>
      <w:textAlignment w:val="center"/>
      <w:outlineLvl w:val="8"/>
    </w:pPr>
    <w:rPr>
      <w:rFonts w:ascii="Times New Roman" w:hAnsi="Times New Roman" w:cs="黑体"/>
      <w:b/>
      <w:bCs/>
      <w:color w:val="000000"/>
      <w:kern w:val="21"/>
      <w:sz w:val="24"/>
    </w:rPr>
  </w:style>
  <w:style w:type="character" w:customStyle="1" w:styleId="46">
    <w:name w:val="日期 字符"/>
    <w:basedOn w:val="25"/>
    <w:link w:val="12"/>
    <w:qFormat/>
    <w:uiPriority w:val="0"/>
    <w:rPr>
      <w:b/>
      <w:bCs/>
      <w:kern w:val="2"/>
      <w:sz w:val="28"/>
      <w:szCs w:val="24"/>
    </w:rPr>
  </w:style>
  <w:style w:type="paragraph" w:customStyle="1" w:styleId="47">
    <w:name w:val="k-正文序列"/>
    <w:basedOn w:val="1"/>
    <w:qFormat/>
    <w:uiPriority w:val="0"/>
    <w:pPr>
      <w:numPr>
        <w:ilvl w:val="0"/>
        <w:numId w:val="2"/>
      </w:numPr>
    </w:pPr>
    <w:rPr>
      <w:rFonts w:hint="eastAsia" w:ascii="Times New Roman" w:hAnsi="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7</Pages>
  <Words>782</Words>
  <Characters>1122</Characters>
  <Lines>8</Lines>
  <Paragraphs>2</Paragraphs>
  <TotalTime>0</TotalTime>
  <ScaleCrop>false</ScaleCrop>
  <LinksUpToDate>false</LinksUpToDate>
  <CharactersWithSpaces>1127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2020-04-30T03:42:00Z</dcterms:created>
  <dc:creator>Administrator</dc:creator>
  <cp:lastModifiedBy>叶子</cp:lastModifiedBy>
  <dcterms:modified xsi:type="dcterms:W3CDTF">2026-08-27T05:42:55Z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8A6E11C684EA4123988D9ACB6566F957_13</vt:lpwstr>
  </property>
  <property fmtid="{D5CDD505-2E9C-101B-9397-08002B2CF9AE}" pid="4" name="KSOTemplateDocerSaveRecord">
    <vt:lpwstr>eyJoZGlkIjoiNDgzMjdiZTZhYWEwMDUyMzMwMzdhZWM2ZmNjMGMzMDkiLCJ1c2VySWQiOiI1NzcyNjAwMzgifQ==</vt:lpwstr>
  </property>
</Properties>
</file>