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B9779">
      <w:pPr>
        <w:jc w:val="center"/>
        <w:rPr>
          <w:rFonts w:hint="eastAsia" w:ascii="黑体" w:hAnsi="黑体" w:eastAsia="黑体" w:cs="黑体"/>
          <w:sz w:val="28"/>
          <w:szCs w:val="28"/>
        </w:rPr>
      </w:pPr>
      <w:r>
        <w:rPr>
          <w:rFonts w:hint="eastAsia" w:ascii="黑体" w:hAnsi="黑体" w:eastAsia="黑体" w:cs="黑体"/>
          <w:sz w:val="28"/>
          <w:szCs w:val="28"/>
        </w:rPr>
        <w:t>安全评价项目信息表</w:t>
      </w:r>
    </w:p>
    <w:p w14:paraId="2E2E7E1F">
      <w:pPr>
        <w:rPr>
          <w:rFonts w:hint="eastAsia"/>
          <w:sz w:val="21"/>
          <w:szCs w:val="21"/>
          <w:lang w:val="en-US" w:eastAsia="zh-CN"/>
        </w:rPr>
      </w:pPr>
      <w:r>
        <w:rPr>
          <w:rFonts w:hint="eastAsia"/>
          <w:sz w:val="21"/>
          <w:szCs w:val="21"/>
          <w:lang w:val="en-US" w:eastAsia="zh-CN"/>
        </w:rPr>
        <w:t>项目编号：</w:t>
      </w:r>
    </w:p>
    <w:tbl>
      <w:tblPr>
        <w:tblStyle w:val="11"/>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68" w:type="dxa"/>
          <w:left w:w="108" w:type="dxa"/>
          <w:bottom w:w="68" w:type="dxa"/>
          <w:right w:w="108" w:type="dxa"/>
        </w:tblCellMar>
      </w:tblPr>
      <w:tblGrid>
        <w:gridCol w:w="1832"/>
        <w:gridCol w:w="2188"/>
        <w:gridCol w:w="2350"/>
        <w:gridCol w:w="2918"/>
      </w:tblGrid>
      <w:tr w14:paraId="332239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2F45E67">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项目名称</w:t>
            </w:r>
          </w:p>
        </w:tc>
        <w:tc>
          <w:tcPr>
            <w:tcW w:w="7456" w:type="dxa"/>
            <w:gridSpan w:val="3"/>
            <w:tcBorders>
              <w:tl2br w:val="nil"/>
              <w:tr2bl w:val="nil"/>
            </w:tcBorders>
            <w:shd w:val="clear" w:color="auto" w:fill="auto"/>
            <w:vAlign w:val="center"/>
          </w:tcPr>
          <w:p w14:paraId="5F0EE625">
            <w:pPr>
              <w:autoSpaceDE w:val="0"/>
              <w:autoSpaceDN w:val="0"/>
              <w:adjustRightInd w:val="0"/>
              <w:snapToGrid w:val="0"/>
              <w:spacing w:line="240" w:lineRule="auto"/>
              <w:ind w:firstLine="0" w:firstLineChars="0"/>
              <w:jc w:val="center"/>
              <w:rPr>
                <w:rFonts w:hint="default" w:ascii="宋体" w:hAnsi="宋体" w:eastAsia="宋体" w:cs="宋体"/>
                <w:b w:val="0"/>
                <w:bCs w:val="0"/>
                <w:color w:val="auto"/>
                <w:kern w:val="0"/>
                <w:sz w:val="21"/>
                <w:szCs w:val="21"/>
                <w:highlight w:val="none"/>
                <w:lang w:val="en-US"/>
              </w:rPr>
            </w:pPr>
            <w:r>
              <w:rPr>
                <w:rFonts w:hint="eastAsia" w:ascii="宋体" w:hAnsi="宋体" w:eastAsia="宋体" w:cs="宋体"/>
                <w:b w:val="0"/>
                <w:bCs w:val="0"/>
                <w:color w:val="auto"/>
                <w:kern w:val="0"/>
                <w:sz w:val="21"/>
                <w:szCs w:val="21"/>
                <w:highlight w:val="none"/>
                <w:lang w:val="en-US" w:eastAsia="zh-CN"/>
              </w:rPr>
              <w:t>中国石化山东泰山石油股份有限公司泰安第十六加油站改造项目安全设施竣工验收评价</w:t>
            </w:r>
          </w:p>
        </w:tc>
      </w:tr>
      <w:tr w14:paraId="1F3FA4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966" w:hRule="atLeast"/>
          <w:jc w:val="center"/>
        </w:trPr>
        <w:tc>
          <w:tcPr>
            <w:tcW w:w="1832" w:type="dxa"/>
            <w:tcBorders>
              <w:tl2br w:val="nil"/>
              <w:tr2bl w:val="nil"/>
            </w:tcBorders>
            <w:shd w:val="clear" w:color="auto" w:fill="auto"/>
            <w:vAlign w:val="center"/>
          </w:tcPr>
          <w:p w14:paraId="591D3CED">
            <w:pPr>
              <w:autoSpaceDE w:val="0"/>
              <w:autoSpaceDN w:val="0"/>
              <w:adjustRightInd w:val="0"/>
              <w:snapToGrid w:val="0"/>
              <w:spacing w:line="240" w:lineRule="auto"/>
              <w:ind w:firstLine="0" w:firstLineChars="0"/>
              <w:jc w:val="left"/>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项目简介</w:t>
            </w:r>
          </w:p>
        </w:tc>
        <w:tc>
          <w:tcPr>
            <w:tcW w:w="7456" w:type="dxa"/>
            <w:gridSpan w:val="3"/>
            <w:tcBorders>
              <w:tl2br w:val="nil"/>
              <w:tr2bl w:val="nil"/>
            </w:tcBorders>
            <w:shd w:val="clear" w:color="auto" w:fill="auto"/>
            <w:noWrap/>
            <w:vAlign w:val="center"/>
          </w:tcPr>
          <w:p w14:paraId="02906C08">
            <w:pPr>
              <w:topLinePunct/>
              <w:adjustRightInd w:val="0"/>
              <w:snapToGrid w:val="0"/>
              <w:spacing w:line="360" w:lineRule="auto"/>
              <w:ind w:firstLine="420" w:firstLineChars="200"/>
              <w:rPr>
                <w:rFonts w:hint="eastAsia" w:ascii="宋体" w:hAnsi="宋体" w:cs="宋体" w:eastAsiaTheme="minorEastAsia"/>
                <w:b w:val="0"/>
                <w:bCs w:val="0"/>
                <w:color w:val="auto"/>
                <w:kern w:val="0"/>
                <w:sz w:val="21"/>
                <w:szCs w:val="21"/>
                <w:highlight w:val="none"/>
                <w:lang w:eastAsia="zh-CN"/>
              </w:rPr>
            </w:pPr>
            <w:bookmarkStart w:id="9" w:name="_GoBack"/>
            <w:bookmarkEnd w:id="9"/>
            <w:r>
              <w:rPr>
                <w:rFonts w:hint="eastAsia" w:asciiTheme="minorEastAsia" w:hAnsiTheme="minorEastAsia" w:cstheme="minorEastAsia"/>
                <w:color w:val="auto"/>
                <w:sz w:val="21"/>
                <w:szCs w:val="21"/>
                <w:highlight w:val="none"/>
                <w:lang w:val="en-US" w:eastAsia="zh-CN"/>
              </w:rPr>
              <w:t>该站</w:t>
            </w:r>
            <w:r>
              <w:rPr>
                <w:rFonts w:hint="eastAsia" w:asciiTheme="minorEastAsia" w:hAnsiTheme="minorEastAsia" w:eastAsiaTheme="minorEastAsia" w:cstheme="minorEastAsia"/>
                <w:color w:val="auto"/>
                <w:sz w:val="21"/>
                <w:szCs w:val="21"/>
                <w:highlight w:val="none"/>
                <w:lang w:val="en-US" w:eastAsia="zh-CN"/>
              </w:rPr>
              <w:t>具体改造</w:t>
            </w:r>
            <w:r>
              <w:rPr>
                <w:rFonts w:hint="eastAsia" w:asciiTheme="minorEastAsia" w:hAnsiTheme="minorEastAsia" w:eastAsiaTheme="minorEastAsia" w:cstheme="minorEastAsia"/>
                <w:color w:val="auto"/>
                <w:sz w:val="21"/>
                <w:szCs w:val="21"/>
                <w:highlight w:val="none"/>
                <w:lang w:eastAsia="zh-CN"/>
              </w:rPr>
              <w:t>内容为：拆除原有罐区及工艺管道，改造承重框架结构罐区一座，设2台30m</w:t>
            </w:r>
            <w:r>
              <w:rPr>
                <w:rFonts w:hint="eastAsia" w:asciiTheme="minorEastAsia" w:hAnsiTheme="minorEastAsia" w:eastAsiaTheme="minorEastAsia" w:cstheme="minorEastAsia"/>
                <w:color w:val="auto"/>
                <w:sz w:val="21"/>
                <w:szCs w:val="21"/>
                <w:highlight w:val="none"/>
                <w:vertAlign w:val="superscript"/>
                <w:lang w:eastAsia="zh-CN"/>
              </w:rPr>
              <w:t>3</w:t>
            </w:r>
            <w:r>
              <w:rPr>
                <w:rFonts w:hint="eastAsia" w:asciiTheme="minorEastAsia" w:hAnsiTheme="minorEastAsia" w:eastAsiaTheme="minorEastAsia" w:cstheme="minorEastAsia"/>
                <w:color w:val="auto"/>
                <w:sz w:val="21"/>
                <w:szCs w:val="21"/>
                <w:highlight w:val="none"/>
                <w:lang w:eastAsia="zh-CN"/>
              </w:rPr>
              <w:t>双层储罐（1台92#汽油储罐、1台95#汽油储罐）和2台20m</w:t>
            </w:r>
            <w:r>
              <w:rPr>
                <w:rFonts w:hint="eastAsia" w:asciiTheme="minorEastAsia" w:hAnsiTheme="minorEastAsia" w:eastAsiaTheme="minorEastAsia" w:cstheme="minorEastAsia"/>
                <w:color w:val="auto"/>
                <w:sz w:val="21"/>
                <w:szCs w:val="21"/>
                <w:highlight w:val="none"/>
                <w:vertAlign w:val="superscript"/>
                <w:lang w:eastAsia="zh-CN"/>
              </w:rPr>
              <w:t>3</w:t>
            </w:r>
            <w:r>
              <w:rPr>
                <w:rFonts w:hint="eastAsia" w:asciiTheme="minorEastAsia" w:hAnsiTheme="minorEastAsia" w:eastAsiaTheme="minorEastAsia" w:cstheme="minorEastAsia"/>
                <w:color w:val="auto"/>
                <w:sz w:val="21"/>
                <w:szCs w:val="21"/>
                <w:highlight w:val="none"/>
                <w:lang w:eastAsia="zh-CN"/>
              </w:rPr>
              <w:t>双层储罐（1台98#汽油储罐、1台柴油储罐）并敷设工艺管线；更换油气回收处理装置；</w:t>
            </w:r>
            <w:r>
              <w:rPr>
                <w:rFonts w:hint="eastAsia" w:asciiTheme="minorEastAsia" w:hAnsiTheme="minorEastAsia" w:eastAsiaTheme="minorEastAsia" w:cstheme="minorEastAsia"/>
                <w:color w:val="auto"/>
                <w:sz w:val="21"/>
                <w:szCs w:val="21"/>
                <w:highlight w:val="none"/>
                <w:lang w:val="en-US" w:eastAsia="zh-CN"/>
              </w:rPr>
              <w:t>新</w:t>
            </w:r>
            <w:r>
              <w:rPr>
                <w:rFonts w:hint="eastAsia" w:asciiTheme="minorEastAsia" w:hAnsiTheme="minorEastAsia" w:eastAsiaTheme="minorEastAsia" w:cstheme="minorEastAsia"/>
                <w:color w:val="auto"/>
                <w:sz w:val="21"/>
                <w:szCs w:val="21"/>
                <w:highlight w:val="none"/>
                <w:lang w:eastAsia="zh-CN"/>
              </w:rPr>
              <w:t>建密闭卸油口（位于站区西南侧），沿罩棚立柱敷设2处通气管（罩棚西南侧、东北侧立柱），</w:t>
            </w:r>
            <w:r>
              <w:rPr>
                <w:rFonts w:hint="eastAsia" w:asciiTheme="minorEastAsia" w:hAnsiTheme="minorEastAsia" w:eastAsiaTheme="minorEastAsia" w:cstheme="minorEastAsia"/>
                <w:color w:val="auto"/>
                <w:sz w:val="21"/>
                <w:szCs w:val="21"/>
                <w:highlight w:val="none"/>
                <w:lang w:val="en-US" w:eastAsia="zh-CN"/>
              </w:rPr>
              <w:t>设置</w:t>
            </w:r>
            <w:r>
              <w:rPr>
                <w:rFonts w:hint="eastAsia" w:asciiTheme="minorEastAsia" w:hAnsiTheme="minorEastAsia" w:eastAsiaTheme="minorEastAsia" w:cstheme="minorEastAsia"/>
                <w:color w:val="auto"/>
                <w:sz w:val="21"/>
                <w:szCs w:val="21"/>
                <w:highlight w:val="none"/>
                <w:lang w:eastAsia="zh-CN"/>
              </w:rPr>
              <w:t>液位检测系统、双层管道及双层罐的渗漏监测系统；对原有罩棚檐口、立柱重新包装，网架除锈防腐；原有站房进行内部装修；原有加油岛拆除，改建3座加油岛，</w:t>
            </w:r>
            <w:r>
              <w:rPr>
                <w:rFonts w:hint="eastAsia" w:asciiTheme="minorEastAsia" w:hAnsiTheme="minorEastAsia" w:eastAsiaTheme="minorEastAsia" w:cstheme="minorEastAsia"/>
                <w:color w:val="auto"/>
                <w:sz w:val="21"/>
                <w:szCs w:val="21"/>
                <w:highlight w:val="none"/>
                <w:lang w:val="en-US" w:eastAsia="zh-CN"/>
              </w:rPr>
              <w:t>新增1</w:t>
            </w:r>
            <w:r>
              <w:rPr>
                <w:rFonts w:hint="eastAsia" w:asciiTheme="minorEastAsia" w:hAnsiTheme="minorEastAsia" w:eastAsiaTheme="minorEastAsia" w:cstheme="minorEastAsia"/>
                <w:color w:val="auto"/>
                <w:sz w:val="21"/>
                <w:szCs w:val="21"/>
                <w:highlight w:val="none"/>
                <w:lang w:eastAsia="zh-CN"/>
              </w:rPr>
              <w:t>座加油岛，防撞柱</w:t>
            </w:r>
            <w:r>
              <w:rPr>
                <w:rFonts w:hint="eastAsia" w:asciiTheme="minorEastAsia" w:hAnsiTheme="minorEastAsia" w:eastAsiaTheme="minorEastAsia" w:cstheme="minorEastAsia"/>
                <w:color w:val="auto"/>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lang w:eastAsia="zh-CN"/>
              </w:rPr>
              <w:t>个；设2台双枪加油机（1台92#/95#汽油、1台柴油），2台4枪加油机（1台92#汽油/95#汽油/98#汽油、1台92#汽油/95#汽油），均为潜油泵式；</w:t>
            </w:r>
            <w:r>
              <w:rPr>
                <w:rFonts w:hint="eastAsia" w:asciiTheme="minorEastAsia" w:hAnsiTheme="minorEastAsia" w:eastAsiaTheme="minorEastAsia" w:cstheme="minorEastAsia"/>
                <w:color w:val="auto"/>
                <w:sz w:val="21"/>
                <w:szCs w:val="21"/>
                <w:highlight w:val="none"/>
                <w:lang w:val="en-US" w:eastAsia="zh-CN"/>
              </w:rPr>
              <w:t>新建</w:t>
            </w:r>
            <w:r>
              <w:rPr>
                <w:rFonts w:hint="eastAsia" w:asciiTheme="minorEastAsia" w:hAnsiTheme="minorEastAsia" w:eastAsiaTheme="minorEastAsia" w:cstheme="minorEastAsia"/>
                <w:color w:val="auto"/>
                <w:sz w:val="21"/>
                <w:szCs w:val="21"/>
                <w:highlight w:val="none"/>
                <w:lang w:eastAsia="zh-CN"/>
              </w:rPr>
              <w:t>消防一体柜</w:t>
            </w:r>
            <w:r>
              <w:rPr>
                <w:rFonts w:hint="eastAsia" w:asciiTheme="minorEastAsia" w:hAnsiTheme="minorEastAsia" w:eastAsiaTheme="minorEastAsia" w:cstheme="minorEastAsia"/>
                <w:color w:val="auto"/>
                <w:sz w:val="21"/>
                <w:szCs w:val="21"/>
                <w:highlight w:val="none"/>
                <w:lang w:val="en-US" w:eastAsia="zh-CN"/>
              </w:rPr>
              <w:t>及危废暂存柜</w:t>
            </w:r>
            <w:r>
              <w:rPr>
                <w:rFonts w:hint="eastAsia" w:asciiTheme="minorEastAsia" w:hAnsiTheme="minorEastAsia" w:eastAsiaTheme="minorEastAsia" w:cstheme="minorEastAsia"/>
                <w:color w:val="auto"/>
                <w:sz w:val="21"/>
                <w:szCs w:val="21"/>
                <w:highlight w:val="none"/>
                <w:lang w:eastAsia="zh-CN"/>
              </w:rPr>
              <w:t>；其他设施依托站区原有。</w:t>
            </w:r>
          </w:p>
        </w:tc>
      </w:tr>
      <w:tr w14:paraId="24236B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3634F0C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评价人员</w:t>
            </w:r>
          </w:p>
        </w:tc>
        <w:tc>
          <w:tcPr>
            <w:tcW w:w="4538" w:type="dxa"/>
            <w:gridSpan w:val="2"/>
            <w:tcBorders>
              <w:tl2br w:val="nil"/>
              <w:tr2bl w:val="nil"/>
            </w:tcBorders>
            <w:shd w:val="clear" w:color="auto" w:fill="auto"/>
            <w:noWrap/>
            <w:vAlign w:val="center"/>
          </w:tcPr>
          <w:p w14:paraId="7AFCBB5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姓  名</w:t>
            </w:r>
          </w:p>
        </w:tc>
        <w:tc>
          <w:tcPr>
            <w:tcW w:w="2918" w:type="dxa"/>
            <w:tcBorders>
              <w:tl2br w:val="nil"/>
              <w:tr2bl w:val="nil"/>
            </w:tcBorders>
            <w:shd w:val="clear" w:color="auto" w:fill="auto"/>
            <w:noWrap/>
            <w:vAlign w:val="center"/>
          </w:tcPr>
          <w:p w14:paraId="4459B15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备注</w:t>
            </w:r>
          </w:p>
        </w:tc>
      </w:tr>
      <w:tr w14:paraId="071273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20029CA9">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项目负责人</w:t>
            </w:r>
          </w:p>
        </w:tc>
        <w:tc>
          <w:tcPr>
            <w:tcW w:w="4538" w:type="dxa"/>
            <w:gridSpan w:val="2"/>
            <w:tcBorders>
              <w:tl2br w:val="nil"/>
              <w:tr2bl w:val="nil"/>
            </w:tcBorders>
            <w:shd w:val="clear" w:color="auto" w:fill="auto"/>
            <w:noWrap/>
            <w:vAlign w:val="center"/>
          </w:tcPr>
          <w:p w14:paraId="054FFDF5">
            <w:pPr>
              <w:jc w:val="center"/>
              <w:rPr>
                <w:rFonts w:hint="default" w:ascii="宋体" w:hAnsi="宋体" w:eastAsia="宋体" w:cs="宋体"/>
                <w:sz w:val="24"/>
                <w:lang w:val="en-US" w:eastAsia="zh-CN"/>
              </w:rPr>
            </w:pPr>
            <w:r>
              <w:rPr>
                <w:rFonts w:hint="eastAsia" w:ascii="宋体" w:hAnsi="宋体" w:eastAsia="宋体" w:cs="宋体"/>
                <w:sz w:val="24"/>
                <w:lang w:val="en-US" w:eastAsia="zh-CN"/>
              </w:rPr>
              <w:t>辛磊</w:t>
            </w:r>
          </w:p>
        </w:tc>
        <w:tc>
          <w:tcPr>
            <w:tcW w:w="2918" w:type="dxa"/>
            <w:tcBorders>
              <w:tl2br w:val="nil"/>
              <w:tr2bl w:val="nil"/>
            </w:tcBorders>
            <w:shd w:val="clear" w:color="auto" w:fill="auto"/>
            <w:noWrap/>
            <w:vAlign w:val="center"/>
          </w:tcPr>
          <w:p w14:paraId="13B5539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068DF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5BB9D89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项目组成员</w:t>
            </w:r>
          </w:p>
        </w:tc>
        <w:tc>
          <w:tcPr>
            <w:tcW w:w="4538" w:type="dxa"/>
            <w:gridSpan w:val="2"/>
            <w:tcBorders>
              <w:tl2br w:val="nil"/>
              <w:tr2bl w:val="nil"/>
            </w:tcBorders>
            <w:shd w:val="clear" w:color="auto" w:fill="auto"/>
            <w:noWrap/>
            <w:vAlign w:val="center"/>
          </w:tcPr>
          <w:p w14:paraId="08442A67">
            <w:pPr>
              <w:jc w:val="center"/>
              <w:rPr>
                <w:rFonts w:hint="eastAsia" w:ascii="宋体" w:hAnsi="宋体" w:eastAsia="宋体" w:cs="宋体"/>
                <w:sz w:val="24"/>
                <w:lang w:val="en-US" w:eastAsia="en-US"/>
              </w:rPr>
            </w:pPr>
            <w:r>
              <w:rPr>
                <w:rFonts w:hint="eastAsia" w:ascii="宋体" w:hAnsi="宋体" w:eastAsia="宋体" w:cs="宋体"/>
                <w:sz w:val="24"/>
                <w:lang w:val="en-US" w:eastAsia="zh-CN"/>
              </w:rPr>
              <w:t>刘卫国</w:t>
            </w:r>
          </w:p>
        </w:tc>
        <w:tc>
          <w:tcPr>
            <w:tcW w:w="2918" w:type="dxa"/>
            <w:tcBorders>
              <w:tl2br w:val="nil"/>
              <w:tr2bl w:val="nil"/>
            </w:tcBorders>
            <w:shd w:val="clear" w:color="auto" w:fill="auto"/>
            <w:noWrap/>
            <w:vAlign w:val="center"/>
          </w:tcPr>
          <w:p w14:paraId="38A9161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51D2D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4BBF44E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0A5C369D">
            <w:pPr>
              <w:jc w:val="center"/>
              <w:rPr>
                <w:rFonts w:hint="eastAsia" w:ascii="宋体" w:hAnsi="宋体" w:eastAsia="宋体" w:cs="宋体"/>
                <w:sz w:val="24"/>
                <w:lang w:val="en-US" w:eastAsia="en-US"/>
              </w:rPr>
            </w:pPr>
            <w:r>
              <w:rPr>
                <w:rFonts w:hint="eastAsia" w:ascii="宋体" w:hAnsi="宋体" w:eastAsia="宋体" w:cs="宋体"/>
                <w:sz w:val="24"/>
                <w:lang w:val="en-US" w:eastAsia="zh-CN"/>
              </w:rPr>
              <w:t>王静</w:t>
            </w:r>
          </w:p>
        </w:tc>
        <w:tc>
          <w:tcPr>
            <w:tcW w:w="2918" w:type="dxa"/>
            <w:tcBorders>
              <w:tl2br w:val="nil"/>
              <w:tr2bl w:val="nil"/>
            </w:tcBorders>
            <w:shd w:val="clear" w:color="auto" w:fill="auto"/>
            <w:noWrap/>
            <w:vAlign w:val="center"/>
          </w:tcPr>
          <w:p w14:paraId="252EC6F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2F889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D09BAD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01431AE7">
            <w:pPr>
              <w:jc w:val="center"/>
              <w:rPr>
                <w:rFonts w:hint="default" w:ascii="宋体" w:hAnsi="宋体" w:eastAsia="宋体" w:cs="宋体"/>
                <w:sz w:val="24"/>
                <w:lang w:val="en-US" w:eastAsia="zh-CN"/>
              </w:rPr>
            </w:pPr>
            <w:r>
              <w:rPr>
                <w:rFonts w:hint="eastAsia" w:ascii="宋体" w:hAnsi="宋体" w:eastAsia="宋体" w:cs="宋体"/>
                <w:sz w:val="24"/>
                <w:lang w:val="en-US" w:eastAsia="zh-CN"/>
              </w:rPr>
              <w:t>马琳琳</w:t>
            </w:r>
          </w:p>
        </w:tc>
        <w:tc>
          <w:tcPr>
            <w:tcW w:w="2918" w:type="dxa"/>
            <w:tcBorders>
              <w:tl2br w:val="nil"/>
              <w:tr2bl w:val="nil"/>
            </w:tcBorders>
            <w:shd w:val="clear" w:color="auto" w:fill="auto"/>
            <w:noWrap/>
            <w:vAlign w:val="center"/>
          </w:tcPr>
          <w:p w14:paraId="5892932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C126F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57244E7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57E32863">
            <w:pPr>
              <w:jc w:val="center"/>
              <w:rPr>
                <w:rFonts w:hint="eastAsia" w:ascii="宋体" w:hAnsi="宋体" w:eastAsia="宋体" w:cs="宋体"/>
                <w:sz w:val="24"/>
                <w:lang w:val="en-US" w:eastAsia="zh-CN"/>
              </w:rPr>
            </w:pPr>
            <w:r>
              <w:rPr>
                <w:rFonts w:hint="eastAsia" w:ascii="宋体" w:hAnsi="宋体" w:eastAsia="宋体" w:cs="宋体"/>
                <w:sz w:val="24"/>
                <w:lang w:val="en-US" w:eastAsia="zh-CN"/>
              </w:rPr>
              <w:t>赵云峰</w:t>
            </w:r>
          </w:p>
        </w:tc>
        <w:tc>
          <w:tcPr>
            <w:tcW w:w="2918" w:type="dxa"/>
            <w:tcBorders>
              <w:tl2br w:val="nil"/>
              <w:tr2bl w:val="nil"/>
            </w:tcBorders>
            <w:shd w:val="clear" w:color="auto" w:fill="auto"/>
            <w:noWrap/>
            <w:vAlign w:val="center"/>
          </w:tcPr>
          <w:p w14:paraId="6DD091F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27B46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D776A54">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报告编制人</w:t>
            </w:r>
          </w:p>
        </w:tc>
        <w:tc>
          <w:tcPr>
            <w:tcW w:w="4538" w:type="dxa"/>
            <w:gridSpan w:val="2"/>
            <w:tcBorders>
              <w:tl2br w:val="nil"/>
              <w:tr2bl w:val="nil"/>
            </w:tcBorders>
            <w:shd w:val="clear" w:color="auto" w:fill="auto"/>
            <w:noWrap/>
            <w:vAlign w:val="center"/>
          </w:tcPr>
          <w:p w14:paraId="4C20FD21">
            <w:pPr>
              <w:jc w:val="center"/>
              <w:rPr>
                <w:rFonts w:hint="eastAsia" w:ascii="宋体" w:hAnsi="宋体" w:eastAsia="宋体" w:cs="宋体"/>
                <w:sz w:val="24"/>
                <w:lang w:val="en-US" w:eastAsia="zh-CN"/>
              </w:rPr>
            </w:pPr>
            <w:r>
              <w:rPr>
                <w:rFonts w:hint="eastAsia" w:ascii="宋体" w:hAnsi="宋体" w:eastAsia="宋体" w:cs="宋体"/>
                <w:sz w:val="24"/>
                <w:lang w:val="en-US" w:eastAsia="zh-CN"/>
              </w:rPr>
              <w:t>辛磊</w:t>
            </w:r>
          </w:p>
        </w:tc>
        <w:tc>
          <w:tcPr>
            <w:tcW w:w="2918" w:type="dxa"/>
            <w:tcBorders>
              <w:tl2br w:val="nil"/>
              <w:tr2bl w:val="nil"/>
            </w:tcBorders>
            <w:shd w:val="clear" w:color="auto" w:fill="auto"/>
            <w:noWrap/>
            <w:vAlign w:val="center"/>
          </w:tcPr>
          <w:p w14:paraId="79A2C8F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D33E9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D943057">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报告审核人</w:t>
            </w:r>
          </w:p>
        </w:tc>
        <w:tc>
          <w:tcPr>
            <w:tcW w:w="4538" w:type="dxa"/>
            <w:gridSpan w:val="2"/>
            <w:tcBorders>
              <w:tl2br w:val="nil"/>
              <w:tr2bl w:val="nil"/>
            </w:tcBorders>
            <w:shd w:val="clear" w:color="auto" w:fill="auto"/>
            <w:noWrap/>
            <w:vAlign w:val="center"/>
          </w:tcPr>
          <w:p w14:paraId="32611B2D">
            <w:pPr>
              <w:jc w:val="center"/>
              <w:rPr>
                <w:rFonts w:hint="eastAsia" w:ascii="宋体" w:hAnsi="宋体" w:eastAsia="宋体" w:cs="宋体"/>
                <w:sz w:val="24"/>
                <w:lang w:val="en-US" w:eastAsia="en-US"/>
              </w:rPr>
            </w:pPr>
            <w:r>
              <w:rPr>
                <w:rFonts w:hint="eastAsia" w:ascii="宋体" w:hAnsi="宋体" w:eastAsia="宋体" w:cs="宋体"/>
                <w:sz w:val="24"/>
                <w:lang w:val="en-US" w:eastAsia="zh-CN"/>
              </w:rPr>
              <w:t>赵燕</w:t>
            </w:r>
          </w:p>
        </w:tc>
        <w:tc>
          <w:tcPr>
            <w:tcW w:w="2918" w:type="dxa"/>
            <w:tcBorders>
              <w:tl2br w:val="nil"/>
              <w:tr2bl w:val="nil"/>
            </w:tcBorders>
            <w:shd w:val="clear" w:color="auto" w:fill="auto"/>
            <w:noWrap/>
            <w:vAlign w:val="center"/>
          </w:tcPr>
          <w:p w14:paraId="5AA14393">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2BD6FC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PrEx>
        <w:trPr>
          <w:trHeight w:val="283" w:hRule="atLeast"/>
          <w:jc w:val="center"/>
        </w:trPr>
        <w:tc>
          <w:tcPr>
            <w:tcW w:w="1832" w:type="dxa"/>
            <w:tcBorders>
              <w:tl2br w:val="nil"/>
              <w:tr2bl w:val="nil"/>
            </w:tcBorders>
            <w:shd w:val="clear" w:color="auto" w:fill="auto"/>
            <w:vAlign w:val="center"/>
          </w:tcPr>
          <w:p w14:paraId="384A697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过程控制负责人</w:t>
            </w:r>
          </w:p>
        </w:tc>
        <w:tc>
          <w:tcPr>
            <w:tcW w:w="4538" w:type="dxa"/>
            <w:gridSpan w:val="2"/>
            <w:tcBorders>
              <w:tl2br w:val="nil"/>
              <w:tr2bl w:val="nil"/>
            </w:tcBorders>
            <w:shd w:val="clear" w:color="auto" w:fill="auto"/>
            <w:noWrap/>
            <w:vAlign w:val="center"/>
          </w:tcPr>
          <w:p w14:paraId="77C469F2">
            <w:pPr>
              <w:jc w:val="center"/>
              <w:rPr>
                <w:rFonts w:hint="eastAsia" w:ascii="宋体" w:hAnsi="宋体" w:eastAsia="宋体" w:cs="宋体"/>
                <w:sz w:val="24"/>
                <w:lang w:val="en-US" w:eastAsia="zh-CN"/>
              </w:rPr>
            </w:pPr>
            <w:r>
              <w:rPr>
                <w:rFonts w:hint="eastAsia" w:ascii="宋体" w:hAnsi="宋体" w:eastAsia="宋体" w:cs="宋体"/>
                <w:sz w:val="24"/>
                <w:lang w:val="en-US" w:eastAsia="zh-CN"/>
              </w:rPr>
              <w:t>刘云红</w:t>
            </w:r>
          </w:p>
        </w:tc>
        <w:tc>
          <w:tcPr>
            <w:tcW w:w="2918" w:type="dxa"/>
            <w:tcBorders>
              <w:tl2br w:val="nil"/>
              <w:tr2bl w:val="nil"/>
            </w:tcBorders>
            <w:shd w:val="clear" w:color="auto" w:fill="auto"/>
            <w:noWrap/>
            <w:vAlign w:val="center"/>
          </w:tcPr>
          <w:p w14:paraId="6425764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765BAD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E51160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技术负责人</w:t>
            </w:r>
          </w:p>
        </w:tc>
        <w:tc>
          <w:tcPr>
            <w:tcW w:w="4538" w:type="dxa"/>
            <w:gridSpan w:val="2"/>
            <w:tcBorders>
              <w:tl2br w:val="nil"/>
              <w:tr2bl w:val="nil"/>
            </w:tcBorders>
            <w:shd w:val="clear" w:color="auto" w:fill="auto"/>
            <w:noWrap/>
            <w:vAlign w:val="center"/>
          </w:tcPr>
          <w:p w14:paraId="412D6BDB">
            <w:pPr>
              <w:jc w:val="center"/>
              <w:rPr>
                <w:rFonts w:hint="eastAsia" w:ascii="宋体" w:hAnsi="宋体" w:eastAsia="宋体" w:cs="宋体"/>
                <w:sz w:val="24"/>
                <w:lang w:val="en-US" w:eastAsia="zh-CN"/>
              </w:rPr>
            </w:pPr>
            <w:r>
              <w:rPr>
                <w:rFonts w:hint="eastAsia" w:ascii="宋体" w:hAnsi="宋体" w:eastAsia="宋体" w:cs="宋体"/>
                <w:sz w:val="24"/>
                <w:lang w:val="en-US" w:eastAsia="zh-CN"/>
              </w:rPr>
              <w:t>孙虎</w:t>
            </w:r>
          </w:p>
        </w:tc>
        <w:tc>
          <w:tcPr>
            <w:tcW w:w="2918" w:type="dxa"/>
            <w:tcBorders>
              <w:tl2br w:val="nil"/>
              <w:tr2bl w:val="nil"/>
            </w:tcBorders>
            <w:shd w:val="clear" w:color="auto" w:fill="auto"/>
            <w:noWrap/>
            <w:vAlign w:val="center"/>
          </w:tcPr>
          <w:p w14:paraId="1A98D6A7">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1DE885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0ED39F2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技术专家</w:t>
            </w:r>
          </w:p>
          <w:p w14:paraId="54D3B77C">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或有关技术人员</w:t>
            </w:r>
          </w:p>
        </w:tc>
        <w:tc>
          <w:tcPr>
            <w:tcW w:w="4538" w:type="dxa"/>
            <w:gridSpan w:val="2"/>
            <w:tcBorders>
              <w:tl2br w:val="nil"/>
              <w:tr2bl w:val="nil"/>
            </w:tcBorders>
            <w:shd w:val="clear" w:color="auto" w:fill="auto"/>
            <w:noWrap/>
            <w:vAlign w:val="center"/>
          </w:tcPr>
          <w:p w14:paraId="285EDAC6">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01DE44E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FBF8D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25DAAA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506D401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66078CA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4590A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5D61292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5974AE2C">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5951DB7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B8E13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24AA97A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0959ECE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5AB2ECF5">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C3EFD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373D0D5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到现场开展安全</w:t>
            </w:r>
          </w:p>
          <w:p w14:paraId="2F4CEAB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评价工作情况</w:t>
            </w:r>
          </w:p>
        </w:tc>
        <w:tc>
          <w:tcPr>
            <w:tcW w:w="2188" w:type="dxa"/>
            <w:tcBorders>
              <w:tl2br w:val="nil"/>
              <w:tr2bl w:val="nil"/>
            </w:tcBorders>
            <w:shd w:val="clear" w:color="auto" w:fill="auto"/>
            <w:noWrap/>
            <w:vAlign w:val="center"/>
          </w:tcPr>
          <w:p w14:paraId="0DA27BC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时  间</w:t>
            </w:r>
          </w:p>
        </w:tc>
        <w:tc>
          <w:tcPr>
            <w:tcW w:w="2350" w:type="dxa"/>
            <w:tcBorders>
              <w:tl2br w:val="nil"/>
              <w:tr2bl w:val="nil"/>
            </w:tcBorders>
            <w:shd w:val="clear" w:color="auto" w:fill="auto"/>
            <w:noWrap/>
            <w:vAlign w:val="center"/>
          </w:tcPr>
          <w:p w14:paraId="1421A71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到现场主要人员</w:t>
            </w:r>
          </w:p>
        </w:tc>
        <w:tc>
          <w:tcPr>
            <w:tcW w:w="2918" w:type="dxa"/>
            <w:tcBorders>
              <w:tl2br w:val="nil"/>
              <w:tr2bl w:val="nil"/>
            </w:tcBorders>
            <w:shd w:val="clear" w:color="auto" w:fill="auto"/>
            <w:noWrap/>
            <w:vAlign w:val="center"/>
          </w:tcPr>
          <w:p w14:paraId="1C92C459">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主要任务</w:t>
            </w:r>
          </w:p>
        </w:tc>
      </w:tr>
      <w:tr w14:paraId="6F3AB4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EE806A9">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7E41D27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2026.5.21</w:t>
            </w:r>
          </w:p>
        </w:tc>
        <w:tc>
          <w:tcPr>
            <w:tcW w:w="2350" w:type="dxa"/>
            <w:tcBorders>
              <w:tl2br w:val="nil"/>
              <w:tr2bl w:val="nil"/>
            </w:tcBorders>
            <w:shd w:val="clear" w:color="auto" w:fill="auto"/>
            <w:noWrap/>
            <w:vAlign w:val="center"/>
          </w:tcPr>
          <w:p w14:paraId="2EE280D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辛磊、马琳琳</w:t>
            </w:r>
          </w:p>
        </w:tc>
        <w:tc>
          <w:tcPr>
            <w:tcW w:w="2918" w:type="dxa"/>
            <w:tcBorders>
              <w:tl2br w:val="nil"/>
              <w:tr2bl w:val="nil"/>
            </w:tcBorders>
            <w:shd w:val="clear" w:color="auto" w:fill="auto"/>
            <w:noWrap/>
            <w:vAlign w:val="center"/>
          </w:tcPr>
          <w:p w14:paraId="2E0A453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初访</w:t>
            </w:r>
          </w:p>
        </w:tc>
      </w:tr>
      <w:tr w14:paraId="0AA219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56F5374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54ED758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2026.5.30</w:t>
            </w:r>
          </w:p>
        </w:tc>
        <w:tc>
          <w:tcPr>
            <w:tcW w:w="2350" w:type="dxa"/>
            <w:tcBorders>
              <w:tl2br w:val="nil"/>
              <w:tr2bl w:val="nil"/>
            </w:tcBorders>
            <w:shd w:val="clear" w:color="auto" w:fill="auto"/>
            <w:noWrap/>
            <w:vAlign w:val="center"/>
          </w:tcPr>
          <w:p w14:paraId="73B5032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辛磊、马琳琳</w:t>
            </w:r>
          </w:p>
        </w:tc>
        <w:tc>
          <w:tcPr>
            <w:tcW w:w="2918" w:type="dxa"/>
            <w:tcBorders>
              <w:tl2br w:val="nil"/>
              <w:tr2bl w:val="nil"/>
            </w:tcBorders>
            <w:shd w:val="clear" w:color="auto" w:fill="auto"/>
            <w:noWrap/>
            <w:vAlign w:val="center"/>
          </w:tcPr>
          <w:p w14:paraId="5426880A">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现场考察</w:t>
            </w:r>
          </w:p>
        </w:tc>
      </w:tr>
      <w:tr w14:paraId="1741F1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1432D14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6F20C698">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2026.6.1</w:t>
            </w:r>
          </w:p>
        </w:tc>
        <w:tc>
          <w:tcPr>
            <w:tcW w:w="2350" w:type="dxa"/>
            <w:tcBorders>
              <w:tl2br w:val="nil"/>
              <w:tr2bl w:val="nil"/>
            </w:tcBorders>
            <w:shd w:val="clear" w:color="auto" w:fill="auto"/>
            <w:noWrap/>
            <w:vAlign w:val="center"/>
          </w:tcPr>
          <w:p w14:paraId="04E4ED3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辛磊、马琳琳</w:t>
            </w:r>
          </w:p>
        </w:tc>
        <w:tc>
          <w:tcPr>
            <w:tcW w:w="2918" w:type="dxa"/>
            <w:tcBorders>
              <w:tl2br w:val="nil"/>
              <w:tr2bl w:val="nil"/>
            </w:tcBorders>
            <w:shd w:val="clear" w:color="auto" w:fill="auto"/>
            <w:noWrap/>
            <w:vAlign w:val="center"/>
          </w:tcPr>
          <w:p w14:paraId="2FBD9281">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现场检查</w:t>
            </w:r>
          </w:p>
        </w:tc>
      </w:tr>
      <w:tr w14:paraId="4C41B5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A10055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0A09B08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2026.6.2</w:t>
            </w:r>
          </w:p>
        </w:tc>
        <w:tc>
          <w:tcPr>
            <w:tcW w:w="2350" w:type="dxa"/>
            <w:tcBorders>
              <w:tl2br w:val="nil"/>
              <w:tr2bl w:val="nil"/>
            </w:tcBorders>
            <w:shd w:val="clear" w:color="auto" w:fill="auto"/>
            <w:noWrap/>
            <w:vAlign w:val="center"/>
          </w:tcPr>
          <w:p w14:paraId="4C632E3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辛磊、马琳琳</w:t>
            </w:r>
          </w:p>
        </w:tc>
        <w:tc>
          <w:tcPr>
            <w:tcW w:w="2918" w:type="dxa"/>
            <w:tcBorders>
              <w:tl2br w:val="nil"/>
              <w:tr2bl w:val="nil"/>
            </w:tcBorders>
            <w:shd w:val="clear" w:color="auto" w:fill="auto"/>
            <w:noWrap/>
            <w:vAlign w:val="center"/>
          </w:tcPr>
          <w:p w14:paraId="69E636BA">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现场核查</w:t>
            </w:r>
          </w:p>
        </w:tc>
      </w:tr>
      <w:tr w14:paraId="756B45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9288" w:type="dxa"/>
            <w:gridSpan w:val="4"/>
            <w:tcBorders>
              <w:tl2br w:val="nil"/>
              <w:tr2bl w:val="nil"/>
            </w:tcBorders>
            <w:shd w:val="clear" w:color="auto" w:fill="auto"/>
            <w:vAlign w:val="center"/>
          </w:tcPr>
          <w:p w14:paraId="08E1CC7D">
            <w:pPr>
              <w:autoSpaceDE w:val="0"/>
              <w:autoSpaceDN w:val="0"/>
              <w:adjustRightInd w:val="0"/>
              <w:snapToGrid w:val="0"/>
              <w:spacing w:line="240" w:lineRule="auto"/>
              <w:ind w:firstLine="0" w:firstLineChars="0"/>
              <w:jc w:val="left"/>
              <w:rPr>
                <w:rFonts w:hint="default"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安全评价报告提交时间：2026.6.4</w:t>
            </w:r>
          </w:p>
        </w:tc>
      </w:tr>
      <w:tr w14:paraId="1FFD00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9288" w:type="dxa"/>
            <w:gridSpan w:val="4"/>
            <w:tcBorders>
              <w:tl2br w:val="nil"/>
              <w:tr2bl w:val="nil"/>
            </w:tcBorders>
            <w:shd w:val="clear" w:color="auto" w:fill="auto"/>
            <w:vAlign w:val="center"/>
          </w:tcPr>
          <w:p w14:paraId="3D278980">
            <w:pPr>
              <w:autoSpaceDE w:val="0"/>
              <w:autoSpaceDN w:val="0"/>
              <w:adjustRightInd w:val="0"/>
              <w:snapToGrid w:val="0"/>
              <w:spacing w:line="240" w:lineRule="auto"/>
              <w:ind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有必要公开的其它内容：</w:t>
            </w:r>
          </w:p>
        </w:tc>
      </w:tr>
    </w:tbl>
    <w:p w14:paraId="0A40FF2A">
      <w:pPr>
        <w:adjustRightInd w:val="0"/>
        <w:snapToGrid w:val="0"/>
        <w:spacing w:before="360" w:beforeLines="150" w:after="120" w:afterLines="50" w:line="360" w:lineRule="auto"/>
        <w:jc w:val="center"/>
        <w:outlineLvl w:val="0"/>
        <w:rPr>
          <w:rFonts w:hint="eastAsia" w:ascii="黑体" w:eastAsia="黑体"/>
          <w:color w:val="auto"/>
          <w:sz w:val="32"/>
          <w:szCs w:val="32"/>
          <w:highlight w:val="none"/>
          <w:lang w:val="en-US" w:eastAsia="zh-CN"/>
        </w:rPr>
      </w:pPr>
      <w:bookmarkStart w:id="0" w:name="_Toc9576"/>
      <w:bookmarkStart w:id="1" w:name="_Toc16913"/>
      <w:bookmarkStart w:id="2" w:name="_Toc7871"/>
      <w:r>
        <w:rPr>
          <w:rFonts w:hint="eastAsia" w:ascii="黑体" w:eastAsia="黑体"/>
          <w:b/>
          <w:bCs/>
          <w:color w:val="auto"/>
          <w:sz w:val="32"/>
          <w:szCs w:val="32"/>
          <w:highlight w:val="none"/>
        </w:rPr>
        <w:t>2 建设项目概况</w:t>
      </w:r>
      <w:bookmarkEnd w:id="0"/>
    </w:p>
    <w:p w14:paraId="5DD97C1C">
      <w:pPr>
        <w:pStyle w:val="2"/>
        <w:adjustRightInd w:val="0"/>
        <w:snapToGrid w:val="0"/>
        <w:spacing w:before="0" w:after="0" w:line="360" w:lineRule="auto"/>
        <w:jc w:val="center"/>
        <w:rPr>
          <w:rFonts w:hint="eastAsia" w:ascii="楷体_GB2312" w:eastAsia="楷体_GB2312"/>
          <w:color w:val="auto"/>
          <w:highlight w:val="none"/>
        </w:rPr>
      </w:pPr>
      <w:bookmarkStart w:id="3" w:name="_Toc6825"/>
      <w:r>
        <w:rPr>
          <w:rFonts w:hint="eastAsia" w:ascii="楷体_GB2312" w:eastAsia="楷体_GB2312"/>
          <w:color w:val="auto"/>
          <w:highlight w:val="none"/>
        </w:rPr>
        <w:t>2.1 建设单位简介</w:t>
      </w:r>
      <w:bookmarkEnd w:id="3"/>
    </w:p>
    <w:p w14:paraId="5F33C5C0">
      <w:pPr>
        <w:topLinePunct/>
        <w:adjustRightInd w:val="0"/>
        <w:snapToGrid w:val="0"/>
        <w:spacing w:line="360" w:lineRule="auto"/>
        <w:ind w:firstLine="560" w:firstLineChars="200"/>
        <w:rPr>
          <w:rFonts w:hint="eastAsia" w:ascii="宋体" w:hAnsi="宋体" w:eastAsia="宋体" w:cs="宋体"/>
          <w:snapToGrid w:val="0"/>
          <w:color w:val="auto"/>
          <w:spacing w:val="0"/>
          <w:kern w:val="0"/>
          <w:sz w:val="28"/>
          <w:highlight w:val="none"/>
        </w:rPr>
      </w:pPr>
      <w:r>
        <w:rPr>
          <w:rFonts w:hint="eastAsia" w:ascii="宋体" w:hAnsi="宋体" w:eastAsia="宋体" w:cs="宋体"/>
          <w:snapToGrid w:val="0"/>
          <w:color w:val="auto"/>
          <w:spacing w:val="0"/>
          <w:kern w:val="0"/>
          <w:sz w:val="28"/>
          <w:highlight w:val="none"/>
          <w:lang w:eastAsia="zh-CN"/>
        </w:rPr>
        <w:t>中国石化山东泰山石油股份有限公司泰安第十六加油站改造项目</w:t>
      </w:r>
      <w:r>
        <w:rPr>
          <w:rFonts w:hint="eastAsia" w:ascii="宋体" w:hAnsi="宋体" w:eastAsia="宋体" w:cs="宋体"/>
          <w:snapToGrid w:val="0"/>
          <w:color w:val="auto"/>
          <w:spacing w:val="0"/>
          <w:kern w:val="0"/>
          <w:sz w:val="28"/>
          <w:highlight w:val="none"/>
        </w:rPr>
        <w:t>位于</w:t>
      </w:r>
      <w:r>
        <w:rPr>
          <w:rFonts w:hint="eastAsia" w:ascii="宋体" w:hAnsi="宋体" w:eastAsia="宋体" w:cs="宋体"/>
          <w:snapToGrid w:val="0"/>
          <w:color w:val="auto"/>
          <w:spacing w:val="0"/>
          <w:kern w:val="0"/>
          <w:sz w:val="28"/>
          <w:highlight w:val="none"/>
          <w:lang w:eastAsia="zh-CN"/>
        </w:rPr>
        <w:t>山东省泰安市泰山大街西段北黄村</w:t>
      </w:r>
      <w:r>
        <w:rPr>
          <w:rFonts w:hint="eastAsia" w:ascii="宋体" w:hAnsi="宋体" w:eastAsia="宋体" w:cs="宋体"/>
          <w:snapToGrid w:val="0"/>
          <w:color w:val="auto"/>
          <w:spacing w:val="0"/>
          <w:kern w:val="0"/>
          <w:sz w:val="28"/>
          <w:highlight w:val="none"/>
        </w:rPr>
        <w:t>，公司成立于</w:t>
      </w:r>
      <w:r>
        <w:rPr>
          <w:rFonts w:hint="eastAsia" w:ascii="宋体" w:hAnsi="宋体" w:eastAsia="宋体" w:cs="宋体"/>
          <w:snapToGrid w:val="0"/>
          <w:color w:val="auto"/>
          <w:spacing w:val="0"/>
          <w:kern w:val="0"/>
          <w:sz w:val="28"/>
          <w:highlight w:val="none"/>
          <w:lang w:eastAsia="zh-CN"/>
        </w:rPr>
        <w:t>2005年01月21日</w:t>
      </w:r>
      <w:r>
        <w:rPr>
          <w:rFonts w:hint="eastAsia" w:ascii="宋体" w:hAnsi="宋体" w:eastAsia="宋体" w:cs="宋体"/>
          <w:snapToGrid w:val="0"/>
          <w:color w:val="auto"/>
          <w:spacing w:val="0"/>
          <w:kern w:val="0"/>
          <w:sz w:val="28"/>
          <w:highlight w:val="none"/>
        </w:rPr>
        <w:t>，法定代表人为</w:t>
      </w:r>
      <w:r>
        <w:rPr>
          <w:rFonts w:hint="eastAsia" w:ascii="宋体" w:hAnsi="宋体" w:eastAsia="宋体" w:cs="宋体"/>
          <w:snapToGrid w:val="0"/>
          <w:color w:val="auto"/>
          <w:spacing w:val="0"/>
          <w:kern w:val="0"/>
          <w:sz w:val="28"/>
          <w:highlight w:val="none"/>
          <w:lang w:eastAsia="zh-CN"/>
        </w:rPr>
        <w:t>王明昌</w:t>
      </w:r>
      <w:r>
        <w:rPr>
          <w:rFonts w:hint="eastAsia" w:ascii="宋体" w:hAnsi="宋体" w:eastAsia="宋体" w:cs="宋体"/>
          <w:snapToGrid w:val="0"/>
          <w:color w:val="auto"/>
          <w:spacing w:val="0"/>
          <w:kern w:val="0"/>
          <w:sz w:val="28"/>
          <w:highlight w:val="none"/>
        </w:rPr>
        <w:t>。</w:t>
      </w:r>
      <w:r>
        <w:rPr>
          <w:rFonts w:hint="eastAsia" w:ascii="宋体" w:hAnsi="宋体" w:eastAsia="宋体" w:cs="宋体"/>
          <w:snapToGrid w:val="0"/>
          <w:color w:val="auto"/>
          <w:spacing w:val="0"/>
          <w:kern w:val="0"/>
          <w:sz w:val="28"/>
          <w:highlight w:val="none"/>
          <w:lang w:val="en-US" w:eastAsia="zh-CN"/>
        </w:rPr>
        <w:t>统一社会信用代码：913709007953363756。企业类型：其他股份有限公司分公司（上市）。</w:t>
      </w:r>
      <w:r>
        <w:rPr>
          <w:rFonts w:hint="eastAsia" w:ascii="宋体" w:hAnsi="宋体" w:eastAsia="宋体" w:cs="宋体"/>
          <w:color w:val="auto"/>
          <w:sz w:val="28"/>
          <w:szCs w:val="28"/>
          <w:highlight w:val="none"/>
        </w:rPr>
        <w:t>加油站北侧是</w:t>
      </w:r>
      <w:r>
        <w:rPr>
          <w:rFonts w:hint="eastAsia" w:ascii="宋体" w:hAnsi="宋体" w:eastAsia="宋体" w:cs="宋体"/>
          <w:color w:val="auto"/>
          <w:sz w:val="28"/>
          <w:highlight w:val="none"/>
          <w:lang w:eastAsia="zh-CN"/>
        </w:rPr>
        <w:t>泰安市岱岳区文化广电新闻出版局办公楼</w:t>
      </w:r>
      <w:r>
        <w:rPr>
          <w:rFonts w:hint="eastAsia" w:ascii="宋体" w:hAnsi="宋体" w:eastAsia="宋体" w:cs="宋体"/>
          <w:color w:val="auto"/>
          <w:sz w:val="28"/>
          <w:szCs w:val="28"/>
          <w:highlight w:val="none"/>
        </w:rPr>
        <w:t>，西侧是太平路，南侧是泰山大街，东侧是拥军路</w:t>
      </w:r>
      <w:r>
        <w:rPr>
          <w:rFonts w:hint="eastAsia" w:ascii="宋体" w:hAnsi="宋体" w:eastAsia="宋体" w:cs="宋体"/>
          <w:snapToGrid w:val="0"/>
          <w:color w:val="auto"/>
          <w:sz w:val="28"/>
          <w:highlight w:val="none"/>
          <w:lang w:val="en-US" w:eastAsia="zh-CN"/>
        </w:rPr>
        <w:t>。</w:t>
      </w:r>
      <w:r>
        <w:rPr>
          <w:rFonts w:hint="eastAsia" w:ascii="宋体" w:hAnsi="宋体" w:eastAsia="宋体" w:cs="宋体"/>
          <w:snapToGrid w:val="0"/>
          <w:color w:val="auto"/>
          <w:spacing w:val="0"/>
          <w:kern w:val="0"/>
          <w:sz w:val="28"/>
          <w:highlight w:val="none"/>
        </w:rPr>
        <w:t>该站经营许可范围为汽油</w:t>
      </w:r>
      <w:r>
        <w:rPr>
          <w:rFonts w:hint="eastAsia" w:ascii="宋体" w:hAnsi="宋体" w:eastAsia="宋体" w:cs="宋体"/>
          <w:snapToGrid w:val="0"/>
          <w:color w:val="auto"/>
          <w:spacing w:val="0"/>
          <w:kern w:val="0"/>
          <w:sz w:val="28"/>
          <w:highlight w:val="none"/>
          <w:lang w:val="en-US" w:eastAsia="zh-CN"/>
        </w:rPr>
        <w:t>、</w:t>
      </w:r>
      <w:r>
        <w:rPr>
          <w:rFonts w:hint="eastAsia" w:ascii="宋体" w:hAnsi="宋体" w:eastAsia="宋体" w:cs="宋体"/>
          <w:snapToGrid w:val="0"/>
          <w:color w:val="auto"/>
          <w:spacing w:val="0"/>
          <w:kern w:val="0"/>
          <w:sz w:val="28"/>
          <w:highlight w:val="none"/>
        </w:rPr>
        <w:t>柴油、</w:t>
      </w:r>
      <w:r>
        <w:rPr>
          <w:rFonts w:hint="eastAsia" w:ascii="宋体" w:hAnsi="宋体" w:eastAsia="宋体" w:cs="宋体"/>
          <w:snapToGrid w:val="0"/>
          <w:color w:val="auto"/>
          <w:spacing w:val="0"/>
          <w:kern w:val="0"/>
          <w:sz w:val="28"/>
          <w:highlight w:val="none"/>
          <w:lang w:val="en-US" w:eastAsia="zh-CN"/>
        </w:rPr>
        <w:t>乙醇汽油，</w:t>
      </w:r>
      <w:r>
        <w:rPr>
          <w:rFonts w:hint="eastAsia" w:ascii="宋体" w:hAnsi="宋体" w:eastAsia="宋体" w:cs="宋体"/>
          <w:color w:val="auto"/>
          <w:sz w:val="28"/>
          <w:szCs w:val="28"/>
          <w:highlight w:val="none"/>
        </w:rPr>
        <w:t>现其主要储存经营汽油、柴油</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乙醇汽油。</w:t>
      </w:r>
    </w:p>
    <w:p w14:paraId="59D831DF">
      <w:pPr>
        <w:topLinePunct/>
        <w:adjustRightInd w:val="0"/>
        <w:snapToGrid w:val="0"/>
        <w:spacing w:line="360" w:lineRule="auto"/>
        <w:ind w:firstLine="560" w:firstLineChars="200"/>
        <w:rPr>
          <w:rFonts w:hint="eastAsia" w:ascii="宋体" w:hAnsi="宋体" w:eastAsia="宋体" w:cs="Times New Roman"/>
          <w:snapToGrid w:val="0"/>
          <w:color w:val="auto"/>
          <w:spacing w:val="0"/>
          <w:kern w:val="0"/>
          <w:sz w:val="28"/>
          <w:highlight w:val="none"/>
        </w:rPr>
      </w:pPr>
      <w:r>
        <w:rPr>
          <w:rFonts w:hint="eastAsia" w:ascii="宋体" w:hAnsi="宋体"/>
          <w:color w:val="auto"/>
          <w:sz w:val="28"/>
          <w:szCs w:val="28"/>
          <w:highlight w:val="none"/>
        </w:rPr>
        <w:t>该站劳动定员</w:t>
      </w:r>
      <w:r>
        <w:rPr>
          <w:rFonts w:hint="eastAsia" w:ascii="宋体" w:hAnsi="宋体"/>
          <w:color w:val="auto"/>
          <w:sz w:val="28"/>
          <w:szCs w:val="28"/>
          <w:highlight w:val="none"/>
          <w:lang w:val="en-US" w:eastAsia="zh-CN"/>
        </w:rPr>
        <w:t>6名</w:t>
      </w:r>
      <w:r>
        <w:rPr>
          <w:rFonts w:hint="eastAsia" w:ascii="宋体" w:hAnsi="宋体"/>
          <w:color w:val="auto"/>
          <w:sz w:val="28"/>
          <w:szCs w:val="28"/>
          <w:highlight w:val="none"/>
        </w:rPr>
        <w:t>，其中主要负责人1人，安全生产管理员1人。主要负责人和安全生产管理人员已参加了危险化学品安全管理培训，并取得考</w:t>
      </w:r>
      <w:r>
        <w:rPr>
          <w:rFonts w:hint="eastAsia" w:ascii="宋体" w:hAnsi="宋体" w:eastAsia="宋体" w:cs="Times New Roman"/>
          <w:snapToGrid w:val="0"/>
          <w:color w:val="auto"/>
          <w:spacing w:val="0"/>
          <w:kern w:val="0"/>
          <w:sz w:val="28"/>
          <w:highlight w:val="none"/>
        </w:rPr>
        <w:t>核合格证，详见附件。</w:t>
      </w:r>
    </w:p>
    <w:p w14:paraId="6742FBCF">
      <w:pPr>
        <w:topLinePunct/>
        <w:adjustRightInd w:val="0"/>
        <w:snapToGrid w:val="0"/>
        <w:spacing w:line="360" w:lineRule="auto"/>
        <w:ind w:firstLine="560" w:firstLineChars="200"/>
        <w:rPr>
          <w:rFonts w:hint="eastAsia"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lang w:val="en-US" w:eastAsia="zh-CN"/>
        </w:rPr>
        <w:t>该站设</w:t>
      </w:r>
      <w:r>
        <w:rPr>
          <w:rFonts w:hint="eastAsia" w:ascii="宋体" w:hAnsi="宋体" w:eastAsia="宋体" w:cs="Times New Roman"/>
          <w:color w:val="auto"/>
          <w:sz w:val="28"/>
          <w:szCs w:val="28"/>
          <w:highlight w:val="none"/>
        </w:rPr>
        <w:t>加油区</w:t>
      </w:r>
      <w:r>
        <w:rPr>
          <w:rFonts w:hint="eastAsia" w:ascii="宋体" w:hAnsi="宋体" w:eastAsia="宋体" w:cs="Times New Roman"/>
          <w:color w:val="auto"/>
          <w:sz w:val="28"/>
          <w:szCs w:val="28"/>
          <w:highlight w:val="none"/>
          <w:lang w:eastAsia="zh-CN"/>
        </w:rPr>
        <w:t>、</w:t>
      </w:r>
      <w:r>
        <w:rPr>
          <w:rFonts w:hint="eastAsia" w:ascii="宋体" w:hAnsi="宋体" w:eastAsia="宋体" w:cs="Times New Roman"/>
          <w:color w:val="auto"/>
          <w:sz w:val="28"/>
          <w:szCs w:val="28"/>
          <w:highlight w:val="none"/>
          <w:lang w:val="en-US" w:eastAsia="zh-CN"/>
        </w:rPr>
        <w:t>油罐区、站房、罩棚，具体如下：</w:t>
      </w:r>
    </w:p>
    <w:p w14:paraId="39458519">
      <w:pPr>
        <w:topLinePunct/>
        <w:adjustRightInd w:val="0"/>
        <w:snapToGrid w:val="0"/>
        <w:spacing w:line="360" w:lineRule="auto"/>
        <w:ind w:firstLine="560" w:firstLineChars="200"/>
        <w:rPr>
          <w:rFonts w:hint="eastAsia" w:ascii="宋体" w:hAnsi="宋体" w:eastAsia="宋体" w:cs="Times New Roman"/>
          <w:snapToGrid w:val="0"/>
          <w:color w:val="auto"/>
          <w:spacing w:val="0"/>
          <w:kern w:val="0"/>
          <w:sz w:val="28"/>
          <w:highlight w:val="none"/>
        </w:rPr>
      </w:pPr>
      <w:r>
        <w:rPr>
          <w:rFonts w:hint="eastAsia" w:ascii="宋体" w:hAnsi="宋体" w:eastAsia="宋体" w:cs="Times New Roman"/>
          <w:snapToGrid w:val="0"/>
          <w:color w:val="auto"/>
          <w:spacing w:val="0"/>
          <w:kern w:val="0"/>
          <w:sz w:val="28"/>
          <w:highlight w:val="none"/>
        </w:rPr>
        <w:t>加油区：</w:t>
      </w:r>
      <w:r>
        <w:rPr>
          <w:rFonts w:hint="eastAsia" w:ascii="宋体" w:hAnsi="宋体" w:eastAsia="宋体" w:cs="Times New Roman"/>
          <w:snapToGrid w:val="0"/>
          <w:color w:val="auto"/>
          <w:spacing w:val="0"/>
          <w:kern w:val="0"/>
          <w:sz w:val="28"/>
          <w:highlight w:val="none"/>
          <w:lang w:val="en-US" w:eastAsia="zh-CN"/>
        </w:rPr>
        <w:t>设2</w:t>
      </w:r>
      <w:r>
        <w:rPr>
          <w:rFonts w:hint="eastAsia" w:ascii="宋体" w:hAnsi="宋体" w:eastAsia="宋体" w:cs="Times New Roman"/>
          <w:snapToGrid w:val="0"/>
          <w:color w:val="auto"/>
          <w:spacing w:val="0"/>
          <w:kern w:val="0"/>
          <w:sz w:val="28"/>
          <w:highlight w:val="none"/>
        </w:rPr>
        <w:t>台双枪加油机（</w:t>
      </w:r>
      <w:r>
        <w:rPr>
          <w:rFonts w:hint="eastAsia" w:ascii="宋体" w:hAnsi="宋体" w:eastAsia="宋体" w:cs="Times New Roman"/>
          <w:snapToGrid w:val="0"/>
          <w:color w:val="auto"/>
          <w:spacing w:val="0"/>
          <w:kern w:val="0"/>
          <w:sz w:val="28"/>
          <w:highlight w:val="none"/>
          <w:lang w:val="en-US" w:eastAsia="zh-CN"/>
        </w:rPr>
        <w:t>1台</w:t>
      </w:r>
      <w:r>
        <w:rPr>
          <w:rFonts w:hint="eastAsia" w:ascii="宋体" w:hAnsi="宋体" w:eastAsia="宋体" w:cs="Times New Roman"/>
          <w:snapToGrid w:val="0"/>
          <w:color w:val="auto"/>
          <w:spacing w:val="0"/>
          <w:kern w:val="0"/>
          <w:sz w:val="28"/>
          <w:highlight w:val="none"/>
        </w:rPr>
        <w:t>92#/9</w:t>
      </w:r>
      <w:r>
        <w:rPr>
          <w:rFonts w:hint="eastAsia" w:ascii="宋体" w:hAnsi="宋体" w:eastAsia="宋体" w:cs="Times New Roman"/>
          <w:snapToGrid w:val="0"/>
          <w:color w:val="auto"/>
          <w:spacing w:val="0"/>
          <w:kern w:val="0"/>
          <w:sz w:val="28"/>
          <w:highlight w:val="none"/>
          <w:lang w:val="en-US" w:eastAsia="zh-CN"/>
        </w:rPr>
        <w:t>5</w:t>
      </w:r>
      <w:r>
        <w:rPr>
          <w:rFonts w:hint="eastAsia" w:ascii="宋体" w:hAnsi="宋体" w:eastAsia="宋体" w:cs="Times New Roman"/>
          <w:snapToGrid w:val="0"/>
          <w:color w:val="auto"/>
          <w:spacing w:val="0"/>
          <w:kern w:val="0"/>
          <w:sz w:val="28"/>
          <w:highlight w:val="none"/>
        </w:rPr>
        <w:t>#汽油</w:t>
      </w:r>
      <w:r>
        <w:rPr>
          <w:rFonts w:hint="eastAsia" w:ascii="宋体" w:hAnsi="宋体" w:eastAsia="宋体" w:cs="Times New Roman"/>
          <w:snapToGrid w:val="0"/>
          <w:color w:val="auto"/>
          <w:spacing w:val="0"/>
          <w:kern w:val="0"/>
          <w:sz w:val="28"/>
          <w:highlight w:val="none"/>
          <w:lang w:eastAsia="zh-CN"/>
        </w:rPr>
        <w:t>、</w:t>
      </w:r>
      <w:r>
        <w:rPr>
          <w:rFonts w:hint="eastAsia" w:ascii="宋体" w:hAnsi="宋体" w:eastAsia="宋体" w:cs="Times New Roman"/>
          <w:snapToGrid w:val="0"/>
          <w:color w:val="auto"/>
          <w:spacing w:val="0"/>
          <w:kern w:val="0"/>
          <w:sz w:val="28"/>
          <w:highlight w:val="none"/>
          <w:lang w:val="en-US" w:eastAsia="zh-CN"/>
        </w:rPr>
        <w:t>1台柴油</w:t>
      </w:r>
      <w:r>
        <w:rPr>
          <w:rFonts w:hint="eastAsia" w:ascii="宋体" w:hAnsi="宋体" w:eastAsia="宋体" w:cs="Times New Roman"/>
          <w:snapToGrid w:val="0"/>
          <w:color w:val="auto"/>
          <w:spacing w:val="0"/>
          <w:kern w:val="0"/>
          <w:sz w:val="28"/>
          <w:highlight w:val="none"/>
        </w:rPr>
        <w:t>）和</w:t>
      </w:r>
      <w:r>
        <w:rPr>
          <w:rFonts w:hint="eastAsia" w:ascii="宋体" w:hAnsi="宋体" w:eastAsia="宋体" w:cs="Times New Roman"/>
          <w:snapToGrid w:val="0"/>
          <w:color w:val="auto"/>
          <w:spacing w:val="0"/>
          <w:kern w:val="0"/>
          <w:sz w:val="28"/>
          <w:highlight w:val="none"/>
          <w:lang w:val="en-US" w:eastAsia="zh-CN"/>
        </w:rPr>
        <w:t>2</w:t>
      </w:r>
      <w:r>
        <w:rPr>
          <w:rFonts w:hint="eastAsia" w:ascii="宋体" w:hAnsi="宋体" w:eastAsia="宋体" w:cs="Times New Roman"/>
          <w:snapToGrid w:val="0"/>
          <w:color w:val="auto"/>
          <w:spacing w:val="0"/>
          <w:kern w:val="0"/>
          <w:sz w:val="28"/>
          <w:highlight w:val="none"/>
        </w:rPr>
        <w:t>台</w:t>
      </w:r>
      <w:r>
        <w:rPr>
          <w:rFonts w:hint="eastAsia" w:ascii="宋体" w:hAnsi="宋体" w:eastAsia="宋体" w:cs="Times New Roman"/>
          <w:snapToGrid w:val="0"/>
          <w:color w:val="auto"/>
          <w:spacing w:val="0"/>
          <w:kern w:val="0"/>
          <w:sz w:val="28"/>
          <w:highlight w:val="none"/>
          <w:lang w:val="en-US" w:eastAsia="zh-CN"/>
        </w:rPr>
        <w:t>4</w:t>
      </w:r>
      <w:r>
        <w:rPr>
          <w:rFonts w:hint="eastAsia" w:ascii="宋体" w:hAnsi="宋体" w:eastAsia="宋体" w:cs="Times New Roman"/>
          <w:snapToGrid w:val="0"/>
          <w:color w:val="auto"/>
          <w:spacing w:val="0"/>
          <w:kern w:val="0"/>
          <w:sz w:val="28"/>
          <w:highlight w:val="none"/>
        </w:rPr>
        <w:t>枪加油机（</w:t>
      </w:r>
      <w:r>
        <w:rPr>
          <w:rFonts w:hint="eastAsia" w:ascii="宋体" w:hAnsi="宋体" w:eastAsia="宋体" w:cs="Times New Roman"/>
          <w:snapToGrid w:val="0"/>
          <w:color w:val="auto"/>
          <w:spacing w:val="0"/>
          <w:kern w:val="0"/>
          <w:sz w:val="28"/>
          <w:highlight w:val="none"/>
          <w:lang w:val="en-US" w:eastAsia="zh-CN"/>
        </w:rPr>
        <w:t>1台</w:t>
      </w:r>
      <w:r>
        <w:rPr>
          <w:rFonts w:hint="eastAsia" w:ascii="宋体" w:hAnsi="宋体" w:eastAsia="宋体" w:cs="Times New Roman"/>
          <w:snapToGrid w:val="0"/>
          <w:color w:val="auto"/>
          <w:spacing w:val="0"/>
          <w:kern w:val="0"/>
          <w:sz w:val="28"/>
          <w:highlight w:val="none"/>
        </w:rPr>
        <w:t>92#/95#</w:t>
      </w:r>
      <w:r>
        <w:rPr>
          <w:rFonts w:hint="eastAsia" w:ascii="宋体" w:hAnsi="宋体" w:eastAsia="宋体" w:cs="Times New Roman"/>
          <w:snapToGrid w:val="0"/>
          <w:color w:val="auto"/>
          <w:spacing w:val="0"/>
          <w:kern w:val="0"/>
          <w:sz w:val="28"/>
          <w:highlight w:val="none"/>
          <w:lang w:val="en-US" w:eastAsia="zh-CN"/>
        </w:rPr>
        <w:t>/98#</w:t>
      </w:r>
      <w:r>
        <w:rPr>
          <w:rFonts w:hint="eastAsia" w:ascii="宋体" w:hAnsi="宋体" w:eastAsia="宋体" w:cs="Times New Roman"/>
          <w:snapToGrid w:val="0"/>
          <w:color w:val="auto"/>
          <w:spacing w:val="0"/>
          <w:kern w:val="0"/>
          <w:sz w:val="28"/>
          <w:highlight w:val="none"/>
        </w:rPr>
        <w:t>汽油</w:t>
      </w:r>
      <w:r>
        <w:rPr>
          <w:rFonts w:hint="eastAsia" w:ascii="宋体" w:hAnsi="宋体" w:eastAsia="宋体" w:cs="Times New Roman"/>
          <w:snapToGrid w:val="0"/>
          <w:color w:val="auto"/>
          <w:spacing w:val="0"/>
          <w:kern w:val="0"/>
          <w:sz w:val="28"/>
          <w:highlight w:val="none"/>
          <w:lang w:eastAsia="zh-CN"/>
        </w:rPr>
        <w:t>、</w:t>
      </w:r>
      <w:r>
        <w:rPr>
          <w:rFonts w:hint="eastAsia" w:ascii="宋体" w:hAnsi="宋体" w:eastAsia="宋体" w:cs="Times New Roman"/>
          <w:snapToGrid w:val="0"/>
          <w:color w:val="auto"/>
          <w:spacing w:val="0"/>
          <w:kern w:val="0"/>
          <w:sz w:val="28"/>
          <w:highlight w:val="none"/>
          <w:lang w:val="en-US" w:eastAsia="zh-CN"/>
        </w:rPr>
        <w:t>1台92#/95#汽油</w:t>
      </w:r>
      <w:r>
        <w:rPr>
          <w:rFonts w:hint="eastAsia" w:ascii="宋体" w:hAnsi="宋体" w:eastAsia="宋体" w:cs="Times New Roman"/>
          <w:snapToGrid w:val="0"/>
          <w:color w:val="auto"/>
          <w:spacing w:val="0"/>
          <w:kern w:val="0"/>
          <w:sz w:val="28"/>
          <w:highlight w:val="none"/>
        </w:rPr>
        <w:t>），均为</w:t>
      </w:r>
      <w:r>
        <w:rPr>
          <w:rFonts w:hint="eastAsia" w:ascii="宋体" w:hAnsi="宋体" w:eastAsia="宋体" w:cs="Times New Roman"/>
          <w:snapToGrid w:val="0"/>
          <w:color w:val="auto"/>
          <w:spacing w:val="0"/>
          <w:kern w:val="0"/>
          <w:sz w:val="28"/>
          <w:highlight w:val="none"/>
          <w:lang w:val="en-US" w:eastAsia="zh-CN"/>
        </w:rPr>
        <w:t>潜油泵式</w:t>
      </w:r>
      <w:r>
        <w:rPr>
          <w:rFonts w:hint="eastAsia" w:ascii="宋体" w:hAnsi="宋体" w:eastAsia="宋体" w:cs="Times New Roman"/>
          <w:snapToGrid w:val="0"/>
          <w:color w:val="auto"/>
          <w:spacing w:val="0"/>
          <w:kern w:val="0"/>
          <w:sz w:val="28"/>
          <w:highlight w:val="none"/>
        </w:rPr>
        <w:t>加油机；</w:t>
      </w:r>
      <w:r>
        <w:rPr>
          <w:rFonts w:hint="eastAsia" w:ascii="宋体" w:hAnsi="宋体" w:eastAsia="宋体" w:cs="Times New Roman"/>
          <w:snapToGrid w:val="0"/>
          <w:color w:val="auto"/>
          <w:spacing w:val="0"/>
          <w:kern w:val="0"/>
          <w:sz w:val="28"/>
          <w:highlight w:val="none"/>
          <w:lang w:val="en-US" w:eastAsia="zh-CN"/>
        </w:rPr>
        <w:t>改建</w:t>
      </w:r>
      <w:r>
        <w:rPr>
          <w:rFonts w:hint="eastAsia" w:ascii="宋体" w:hAnsi="宋体" w:eastAsia="宋体" w:cs="Times New Roman"/>
          <w:snapToGrid w:val="0"/>
          <w:color w:val="auto"/>
          <w:spacing w:val="0"/>
          <w:kern w:val="0"/>
          <w:sz w:val="28"/>
          <w:highlight w:val="none"/>
        </w:rPr>
        <w:t>加油岛</w:t>
      </w:r>
      <w:r>
        <w:rPr>
          <w:rFonts w:hint="eastAsia" w:ascii="宋体" w:hAnsi="宋体" w:eastAsia="宋体" w:cs="Times New Roman"/>
          <w:snapToGrid w:val="0"/>
          <w:color w:val="auto"/>
          <w:spacing w:val="0"/>
          <w:kern w:val="0"/>
          <w:sz w:val="28"/>
          <w:highlight w:val="none"/>
          <w:lang w:val="en-US" w:eastAsia="zh-CN"/>
        </w:rPr>
        <w:t>3</w:t>
      </w:r>
      <w:r>
        <w:rPr>
          <w:rFonts w:hint="eastAsia" w:ascii="宋体" w:hAnsi="宋体" w:eastAsia="宋体" w:cs="Times New Roman"/>
          <w:snapToGrid w:val="0"/>
          <w:color w:val="auto"/>
          <w:spacing w:val="0"/>
          <w:kern w:val="0"/>
          <w:sz w:val="28"/>
          <w:highlight w:val="none"/>
        </w:rPr>
        <w:t>座</w:t>
      </w:r>
      <w:r>
        <w:rPr>
          <w:rFonts w:hint="eastAsia" w:ascii="宋体" w:hAnsi="宋体" w:eastAsia="宋体" w:cs="Times New Roman"/>
          <w:snapToGrid w:val="0"/>
          <w:color w:val="auto"/>
          <w:spacing w:val="0"/>
          <w:kern w:val="0"/>
          <w:sz w:val="28"/>
          <w:highlight w:val="none"/>
          <w:lang w:eastAsia="zh-CN"/>
        </w:rPr>
        <w:t>、</w:t>
      </w:r>
      <w:r>
        <w:rPr>
          <w:rFonts w:hint="eastAsia" w:ascii="宋体" w:hAnsi="宋体" w:eastAsia="宋体" w:cs="Times New Roman"/>
          <w:snapToGrid w:val="0"/>
          <w:color w:val="auto"/>
          <w:spacing w:val="0"/>
          <w:kern w:val="0"/>
          <w:sz w:val="28"/>
          <w:highlight w:val="none"/>
          <w:lang w:val="en-US" w:eastAsia="zh-CN"/>
        </w:rPr>
        <w:t>新增加油岛1座，设油气回收处理装置1套</w:t>
      </w:r>
      <w:r>
        <w:rPr>
          <w:rFonts w:hint="eastAsia" w:ascii="宋体" w:hAnsi="宋体" w:eastAsia="宋体" w:cs="Times New Roman"/>
          <w:snapToGrid w:val="0"/>
          <w:color w:val="auto"/>
          <w:spacing w:val="0"/>
          <w:kern w:val="0"/>
          <w:sz w:val="28"/>
          <w:highlight w:val="none"/>
        </w:rPr>
        <w:t>。</w:t>
      </w:r>
    </w:p>
    <w:p w14:paraId="68552DC5">
      <w:pPr>
        <w:topLinePunct/>
        <w:adjustRightInd w:val="0"/>
        <w:snapToGrid w:val="0"/>
        <w:spacing w:line="360" w:lineRule="auto"/>
        <w:ind w:firstLine="560" w:firstLineChars="200"/>
        <w:rPr>
          <w:rFonts w:hint="eastAsia" w:ascii="宋体" w:hAnsi="宋体" w:eastAsia="宋体" w:cs="Times New Roman"/>
          <w:snapToGrid w:val="0"/>
          <w:color w:val="auto"/>
          <w:spacing w:val="0"/>
          <w:kern w:val="0"/>
          <w:sz w:val="28"/>
          <w:highlight w:val="none"/>
          <w:lang w:val="en-US" w:eastAsia="zh-CN"/>
        </w:rPr>
      </w:pPr>
      <w:r>
        <w:rPr>
          <w:rFonts w:hint="eastAsia" w:ascii="宋体" w:hAnsi="宋体" w:eastAsia="宋体" w:cs="Times New Roman"/>
          <w:snapToGrid w:val="0"/>
          <w:color w:val="auto"/>
          <w:spacing w:val="0"/>
          <w:kern w:val="0"/>
          <w:sz w:val="28"/>
          <w:highlight w:val="none"/>
          <w:lang w:val="en-US" w:eastAsia="zh-CN"/>
        </w:rPr>
        <w:t>罩棚：对原有罩棚檐口、立柱重新包装，网架除锈防腐；沿罩棚立柱敷设2处通气管（罩棚西南侧立柱和东北侧立柱）。</w:t>
      </w:r>
    </w:p>
    <w:p w14:paraId="7FE44653">
      <w:pPr>
        <w:topLinePunct/>
        <w:adjustRightInd w:val="0"/>
        <w:snapToGrid w:val="0"/>
        <w:spacing w:line="360" w:lineRule="auto"/>
        <w:ind w:firstLine="560" w:firstLineChars="200"/>
        <w:rPr>
          <w:rFonts w:hint="eastAsia" w:ascii="宋体" w:hAnsi="宋体"/>
          <w:color w:val="auto"/>
          <w:sz w:val="28"/>
          <w:szCs w:val="28"/>
          <w:highlight w:val="none"/>
        </w:rPr>
      </w:pPr>
      <w:r>
        <w:rPr>
          <w:rFonts w:hint="eastAsia" w:ascii="宋体" w:hAnsi="宋体" w:eastAsia="宋体" w:cs="Times New Roman"/>
          <w:snapToGrid w:val="0"/>
          <w:color w:val="auto"/>
          <w:spacing w:val="0"/>
          <w:kern w:val="0"/>
          <w:sz w:val="28"/>
          <w:highlight w:val="none"/>
          <w:lang w:val="en-US" w:eastAsia="zh-CN"/>
        </w:rPr>
        <w:t>储罐</w:t>
      </w:r>
      <w:r>
        <w:rPr>
          <w:rFonts w:hint="eastAsia" w:ascii="宋体" w:hAnsi="宋体" w:eastAsia="宋体" w:cs="Times New Roman"/>
          <w:snapToGrid w:val="0"/>
          <w:color w:val="auto"/>
          <w:spacing w:val="0"/>
          <w:kern w:val="0"/>
          <w:sz w:val="28"/>
          <w:highlight w:val="none"/>
        </w:rPr>
        <w:t>区：</w:t>
      </w:r>
      <w:r>
        <w:rPr>
          <w:rFonts w:hint="eastAsia" w:ascii="宋体" w:hAnsi="宋体" w:eastAsia="宋体" w:cs="Times New Roman"/>
          <w:snapToGrid w:val="0"/>
          <w:color w:val="auto"/>
          <w:spacing w:val="0"/>
          <w:kern w:val="0"/>
          <w:sz w:val="28"/>
          <w:highlight w:val="none"/>
          <w:lang w:val="en-US" w:eastAsia="zh-CN"/>
        </w:rPr>
        <w:t>该站改造前为单层油罐，改造后</w:t>
      </w:r>
      <w:r>
        <w:rPr>
          <w:rFonts w:hint="eastAsia" w:ascii="宋体" w:hAnsi="宋体" w:eastAsia="宋体" w:cs="Times New Roman"/>
          <w:snapToGrid w:val="0"/>
          <w:color w:val="auto"/>
          <w:spacing w:val="0"/>
          <w:kern w:val="0"/>
          <w:sz w:val="28"/>
          <w:highlight w:val="none"/>
        </w:rPr>
        <w:t>在站房南侧</w:t>
      </w:r>
      <w:r>
        <w:rPr>
          <w:rFonts w:hint="eastAsia" w:ascii="宋体" w:hAnsi="宋体" w:eastAsia="宋体" w:cs="Times New Roman"/>
          <w:snapToGrid w:val="0"/>
          <w:color w:val="auto"/>
          <w:spacing w:val="0"/>
          <w:kern w:val="0"/>
          <w:sz w:val="28"/>
          <w:highlight w:val="none"/>
          <w:lang w:val="en-US" w:eastAsia="zh-CN"/>
        </w:rPr>
        <w:t>新</w:t>
      </w:r>
      <w:r>
        <w:rPr>
          <w:rFonts w:hint="eastAsia" w:ascii="宋体" w:hAnsi="宋体" w:eastAsia="宋体" w:cs="Times New Roman"/>
          <w:snapToGrid w:val="0"/>
          <w:color w:val="auto"/>
          <w:spacing w:val="0"/>
          <w:kern w:val="0"/>
          <w:sz w:val="28"/>
          <w:highlight w:val="none"/>
        </w:rPr>
        <w:t>建</w:t>
      </w:r>
      <w:r>
        <w:rPr>
          <w:rFonts w:hint="eastAsia" w:ascii="宋体" w:hAnsi="宋体" w:eastAsia="宋体" w:cs="Times New Roman"/>
          <w:snapToGrid w:val="0"/>
          <w:color w:val="auto"/>
          <w:spacing w:val="0"/>
          <w:kern w:val="0"/>
          <w:sz w:val="28"/>
          <w:highlight w:val="none"/>
          <w:lang w:val="en-US" w:eastAsia="zh-CN"/>
        </w:rPr>
        <w:t>承重框架结构罐区一座，设2台30m</w:t>
      </w:r>
      <w:r>
        <w:rPr>
          <w:rFonts w:hint="eastAsia" w:ascii="宋体" w:hAnsi="宋体" w:eastAsia="宋体" w:cs="Times New Roman"/>
          <w:snapToGrid w:val="0"/>
          <w:color w:val="auto"/>
          <w:spacing w:val="0"/>
          <w:kern w:val="0"/>
          <w:sz w:val="28"/>
          <w:highlight w:val="none"/>
          <w:vertAlign w:val="superscript"/>
          <w:lang w:val="en-US" w:eastAsia="zh-CN"/>
        </w:rPr>
        <w:t>3</w:t>
      </w:r>
      <w:r>
        <w:rPr>
          <w:rFonts w:hint="eastAsia" w:ascii="宋体" w:hAnsi="宋体" w:eastAsia="宋体" w:cs="Times New Roman"/>
          <w:snapToGrid w:val="0"/>
          <w:color w:val="auto"/>
          <w:spacing w:val="0"/>
          <w:kern w:val="0"/>
          <w:sz w:val="28"/>
          <w:highlight w:val="none"/>
          <w:lang w:val="en-US" w:eastAsia="zh-CN"/>
        </w:rPr>
        <w:t>双层储罐（1台92#汽油储罐、1台95#汽油储罐）和2台20m</w:t>
      </w:r>
      <w:r>
        <w:rPr>
          <w:rFonts w:hint="eastAsia" w:ascii="宋体" w:hAnsi="宋体" w:eastAsia="宋体" w:cs="Times New Roman"/>
          <w:snapToGrid w:val="0"/>
          <w:color w:val="auto"/>
          <w:spacing w:val="0"/>
          <w:kern w:val="0"/>
          <w:sz w:val="28"/>
          <w:highlight w:val="none"/>
          <w:vertAlign w:val="superscript"/>
          <w:lang w:val="en-US" w:eastAsia="zh-CN"/>
        </w:rPr>
        <w:t>3</w:t>
      </w:r>
      <w:r>
        <w:rPr>
          <w:rFonts w:hint="eastAsia" w:ascii="宋体" w:hAnsi="宋体" w:eastAsia="宋体" w:cs="Times New Roman"/>
          <w:snapToGrid w:val="0"/>
          <w:color w:val="auto"/>
          <w:spacing w:val="0"/>
          <w:kern w:val="0"/>
          <w:sz w:val="28"/>
          <w:highlight w:val="none"/>
          <w:lang w:val="en-US" w:eastAsia="zh-CN"/>
        </w:rPr>
        <w:t>双层储罐（1台98#汽油储罐/1台柴油储罐）并敷设工艺管线，新建密闭卸油口（位于油罐区南侧），新建双层管道及双层罐渗漏监测系统；设置消防一体柜1座及危废暂存柜。</w:t>
      </w:r>
    </w:p>
    <w:p w14:paraId="43CF5938">
      <w:pPr>
        <w:pStyle w:val="19"/>
        <w:keepNext w:val="0"/>
        <w:keepLines w:val="0"/>
        <w:pageBreakBefore w:val="0"/>
        <w:widowControl w:val="0"/>
        <w:kinsoku/>
        <w:wordWrap/>
        <w:overflowPunct/>
        <w:topLinePunct w:val="0"/>
        <w:autoSpaceDE/>
        <w:autoSpaceDN/>
        <w:bidi w:val="0"/>
        <w:adjustRightInd w:val="0"/>
        <w:snapToGrid w:val="0"/>
        <w:spacing w:line="360" w:lineRule="auto"/>
        <w:ind w:firstLine="560"/>
        <w:textAlignment w:val="auto"/>
        <w:rPr>
          <w:rFonts w:hint="eastAsia" w:ascii="宋体" w:hAnsi="宋体" w:eastAsia="宋体" w:cs="宋体"/>
          <w:color w:val="auto"/>
          <w:kern w:val="2"/>
          <w:szCs w:val="28"/>
          <w:highlight w:val="none"/>
          <w:lang w:val="en-US" w:eastAsia="zh-CN"/>
        </w:rPr>
      </w:pPr>
      <w:r>
        <w:rPr>
          <w:rFonts w:hint="eastAsia" w:ascii="宋体" w:hAnsi="宋体"/>
          <w:color w:val="auto"/>
          <w:sz w:val="28"/>
          <w:szCs w:val="28"/>
          <w:highlight w:val="none"/>
        </w:rPr>
        <w:t>站房：站房</w:t>
      </w:r>
      <w:r>
        <w:rPr>
          <w:rFonts w:hint="eastAsia" w:ascii="宋体" w:hAnsi="宋体"/>
          <w:color w:val="auto"/>
          <w:sz w:val="28"/>
          <w:szCs w:val="28"/>
          <w:highlight w:val="none"/>
          <w:lang w:val="en-US" w:eastAsia="zh-CN"/>
        </w:rPr>
        <w:t>依托站内已建站房</w:t>
      </w:r>
      <w:r>
        <w:rPr>
          <w:rFonts w:hint="eastAsia" w:ascii="宋体" w:hAnsi="宋体"/>
          <w:color w:val="auto"/>
          <w:sz w:val="28"/>
          <w:szCs w:val="28"/>
          <w:highlight w:val="none"/>
        </w:rPr>
        <w:t>，</w:t>
      </w:r>
      <w:r>
        <w:rPr>
          <w:rFonts w:hint="eastAsia" w:ascii="宋体" w:hAnsi="宋体"/>
          <w:color w:val="auto"/>
          <w:sz w:val="28"/>
          <w:szCs w:val="28"/>
          <w:highlight w:val="none"/>
          <w:lang w:val="en-US" w:eastAsia="zh-CN"/>
        </w:rPr>
        <w:t>仅简单装修</w:t>
      </w:r>
      <w:r>
        <w:rPr>
          <w:rFonts w:hint="eastAsia" w:ascii="宋体" w:hAnsi="宋体"/>
          <w:color w:val="auto"/>
          <w:sz w:val="28"/>
          <w:szCs w:val="28"/>
          <w:highlight w:val="none"/>
        </w:rPr>
        <w:t>；内有</w:t>
      </w:r>
      <w:r>
        <w:rPr>
          <w:rFonts w:hint="eastAsia" w:ascii="宋体" w:hAnsi="宋体"/>
          <w:color w:val="auto"/>
          <w:sz w:val="28"/>
          <w:szCs w:val="28"/>
          <w:highlight w:val="none"/>
          <w:lang w:val="en-US" w:eastAsia="zh-CN"/>
        </w:rPr>
        <w:t>便利店、储藏室、卫生间、备餐间、站财室</w:t>
      </w:r>
      <w:r>
        <w:rPr>
          <w:rFonts w:hint="eastAsia" w:ascii="宋体" w:hAnsi="宋体"/>
          <w:color w:val="auto"/>
          <w:sz w:val="28"/>
          <w:szCs w:val="28"/>
          <w:highlight w:val="none"/>
        </w:rPr>
        <w:t>等，设置液位监测系统、防渗漏监测系统、室内紧急切断系统、视频监控系统、可燃气体报警系统等。</w:t>
      </w:r>
      <w:r>
        <w:rPr>
          <w:rFonts w:hint="eastAsia" w:ascii="宋体" w:hAnsi="宋体" w:eastAsia="宋体" w:cs="宋体"/>
          <w:color w:val="auto"/>
          <w:highlight w:val="none"/>
          <w:lang w:val="en-US" w:eastAsia="zh-CN"/>
        </w:rPr>
        <w:t>以上建构筑物于</w:t>
      </w:r>
      <w:r>
        <w:rPr>
          <w:rFonts w:hint="eastAsia" w:ascii="宋体"/>
          <w:color w:val="auto"/>
          <w:kern w:val="0"/>
          <w:sz w:val="28"/>
          <w:szCs w:val="20"/>
          <w:highlight w:val="none"/>
        </w:rPr>
        <w:t>2004年12月25日</w:t>
      </w:r>
      <w:r>
        <w:rPr>
          <w:rFonts w:hint="eastAsia" w:ascii="宋体" w:hAnsi="宋体" w:eastAsia="宋体" w:cs="宋体"/>
          <w:color w:val="auto"/>
          <w:kern w:val="0"/>
          <w:sz w:val="28"/>
          <w:szCs w:val="20"/>
          <w:highlight w:val="none"/>
          <w:lang w:val="en-US" w:eastAsia="zh-CN"/>
        </w:rPr>
        <w:t>经</w:t>
      </w:r>
      <w:r>
        <w:rPr>
          <w:rFonts w:hint="eastAsia" w:ascii="宋体"/>
          <w:color w:val="auto"/>
          <w:kern w:val="0"/>
          <w:sz w:val="28"/>
          <w:szCs w:val="20"/>
          <w:highlight w:val="none"/>
        </w:rPr>
        <w:t>泰安市公安消防分局</w:t>
      </w:r>
      <w:r>
        <w:rPr>
          <w:rFonts w:hint="eastAsia" w:ascii="宋体" w:hAnsi="宋体" w:eastAsia="宋体" w:cs="宋体"/>
          <w:color w:val="auto"/>
          <w:kern w:val="0"/>
          <w:sz w:val="28"/>
          <w:szCs w:val="20"/>
          <w:highlight w:val="none"/>
          <w:lang w:val="en-US" w:eastAsia="zh-CN"/>
        </w:rPr>
        <w:t>验收合格，</w:t>
      </w:r>
      <w:r>
        <w:rPr>
          <w:rFonts w:hint="eastAsia" w:ascii="宋体" w:hAnsi="宋体" w:eastAsia="宋体" w:cs="宋体"/>
          <w:color w:val="auto"/>
          <w:kern w:val="2"/>
          <w:szCs w:val="28"/>
          <w:highlight w:val="none"/>
          <w:lang w:val="en-US" w:eastAsia="zh-CN"/>
        </w:rPr>
        <w:t>能够满足要求。</w:t>
      </w:r>
    </w:p>
    <w:p w14:paraId="7E95AD03">
      <w:pPr>
        <w:spacing w:line="360" w:lineRule="auto"/>
        <w:ind w:firstLine="560" w:firstLineChars="200"/>
        <w:rPr>
          <w:color w:val="auto"/>
          <w:sz w:val="28"/>
          <w:szCs w:val="28"/>
          <w:highlight w:val="none"/>
        </w:rPr>
      </w:pPr>
      <w:r>
        <w:rPr>
          <w:rFonts w:hint="eastAsia" w:ascii="宋体" w:hAnsi="宋体"/>
          <w:color w:val="auto"/>
          <w:sz w:val="28"/>
          <w:szCs w:val="28"/>
          <w:highlight w:val="none"/>
          <w:lang w:val="en-US" w:eastAsia="zh-CN"/>
        </w:rPr>
        <w:t>辅助</w:t>
      </w:r>
      <w:r>
        <w:rPr>
          <w:rFonts w:hint="eastAsia" w:ascii="宋体" w:hAnsi="宋体" w:eastAsia="宋体" w:cs="Times New Roman"/>
          <w:color w:val="auto"/>
          <w:sz w:val="28"/>
          <w:szCs w:val="28"/>
          <w:highlight w:val="none"/>
          <w:lang w:val="en-US" w:eastAsia="zh-CN"/>
        </w:rPr>
        <w:t>设施：依托原有站区变压器。</w:t>
      </w:r>
    </w:p>
    <w:p w14:paraId="526D1CA0">
      <w:pPr>
        <w:wordWrap w:val="0"/>
        <w:topLinePunct/>
        <w:adjustRightInd w:val="0"/>
        <w:snapToGrid w:val="0"/>
        <w:spacing w:line="360" w:lineRule="auto"/>
        <w:ind w:firstLine="560" w:firstLineChars="200"/>
        <w:rPr>
          <w:rFonts w:hint="eastAsia" w:ascii="宋体" w:hAnsi="宋体"/>
          <w:color w:val="auto"/>
          <w:spacing w:val="0"/>
          <w:sz w:val="28"/>
          <w:szCs w:val="28"/>
          <w:highlight w:val="none"/>
        </w:rPr>
      </w:pPr>
      <w:r>
        <w:rPr>
          <w:rFonts w:hint="eastAsia" w:ascii="宋体" w:hAnsi="宋体"/>
          <w:color w:val="auto"/>
          <w:spacing w:val="0"/>
          <w:sz w:val="28"/>
          <w:szCs w:val="28"/>
          <w:highlight w:val="none"/>
        </w:rPr>
        <w:t>该站建成后</w:t>
      </w:r>
      <w:r>
        <w:rPr>
          <w:rFonts w:hint="eastAsia" w:ascii="宋体" w:hAnsi="宋体"/>
          <w:color w:val="auto"/>
          <w:spacing w:val="0"/>
          <w:sz w:val="28"/>
          <w:szCs w:val="28"/>
          <w:highlight w:val="none"/>
          <w:lang w:val="en-US" w:eastAsia="zh-CN"/>
        </w:rPr>
        <w:t>油罐</w:t>
      </w:r>
      <w:r>
        <w:rPr>
          <w:rFonts w:hint="eastAsia" w:ascii="宋体" w:hAnsi="宋体"/>
          <w:color w:val="auto"/>
          <w:spacing w:val="0"/>
          <w:sz w:val="28"/>
          <w:szCs w:val="28"/>
          <w:highlight w:val="none"/>
        </w:rPr>
        <w:t>总容积</w:t>
      </w:r>
      <w:r>
        <w:rPr>
          <w:rFonts w:hint="eastAsia" w:ascii="宋体" w:hAnsi="宋体" w:cs="宋体"/>
          <w:color w:val="auto"/>
          <w:sz w:val="28"/>
          <w:szCs w:val="28"/>
          <w:highlight w:val="none"/>
        </w:rPr>
        <w:t>由80m</w:t>
      </w:r>
      <w:r>
        <w:rPr>
          <w:rFonts w:hint="eastAsia" w:ascii="宋体" w:hAnsi="宋体" w:cs="宋体"/>
          <w:color w:val="auto"/>
          <w:sz w:val="28"/>
          <w:szCs w:val="28"/>
          <w:highlight w:val="none"/>
          <w:vertAlign w:val="superscript"/>
        </w:rPr>
        <w:t>3</w:t>
      </w:r>
      <w:r>
        <w:rPr>
          <w:rFonts w:hint="eastAsia" w:ascii="宋体" w:hAnsi="宋体" w:cs="宋体"/>
          <w:color w:val="auto"/>
          <w:sz w:val="28"/>
          <w:szCs w:val="28"/>
          <w:highlight w:val="none"/>
        </w:rPr>
        <w:t>改为90m</w:t>
      </w:r>
      <w:r>
        <w:rPr>
          <w:rFonts w:hint="eastAsia" w:ascii="宋体" w:hAnsi="宋体" w:cs="宋体"/>
          <w:color w:val="auto"/>
          <w:sz w:val="28"/>
          <w:szCs w:val="28"/>
          <w:highlight w:val="none"/>
          <w:vertAlign w:val="superscript"/>
        </w:rPr>
        <w:t>3</w:t>
      </w:r>
      <w:r>
        <w:rPr>
          <w:rFonts w:hint="eastAsia" w:ascii="宋体" w:hAnsi="宋体"/>
          <w:color w:val="auto"/>
          <w:spacing w:val="0"/>
          <w:sz w:val="28"/>
          <w:szCs w:val="28"/>
          <w:highlight w:val="none"/>
        </w:rPr>
        <w:t>。根据《汽车加油加气加氢站技术标准》（GB50156-2021）表3.0.9条规定：</w:t>
      </w:r>
      <w:r>
        <w:rPr>
          <w:rFonts w:hint="eastAsia" w:ascii="宋体" w:hAnsi="宋体" w:cs="宋体"/>
          <w:color w:val="auto"/>
          <w:sz w:val="28"/>
          <w:szCs w:val="28"/>
          <w:highlight w:val="none"/>
        </w:rPr>
        <w:t>加油站级别未变</w:t>
      </w:r>
      <w:r>
        <w:rPr>
          <w:rFonts w:hint="eastAsia" w:ascii="宋体" w:hAnsi="宋体"/>
          <w:color w:val="auto"/>
          <w:spacing w:val="0"/>
          <w:sz w:val="28"/>
          <w:szCs w:val="28"/>
          <w:highlight w:val="none"/>
          <w:lang w:val="en-US" w:eastAsia="zh-CN"/>
        </w:rPr>
        <w:t>，为三</w:t>
      </w:r>
      <w:r>
        <w:rPr>
          <w:rFonts w:hint="eastAsia" w:ascii="宋体" w:hAnsi="宋体"/>
          <w:color w:val="auto"/>
          <w:spacing w:val="0"/>
          <w:sz w:val="28"/>
          <w:szCs w:val="28"/>
          <w:highlight w:val="none"/>
        </w:rPr>
        <w:t>级加油站。</w:t>
      </w:r>
    </w:p>
    <w:p w14:paraId="79C8767E">
      <w:pPr>
        <w:pStyle w:val="2"/>
        <w:adjustRightInd w:val="0"/>
        <w:snapToGrid w:val="0"/>
        <w:spacing w:before="0" w:after="0" w:line="360" w:lineRule="auto"/>
        <w:jc w:val="center"/>
        <w:rPr>
          <w:rFonts w:hint="eastAsia" w:ascii="楷体_GB2312" w:eastAsia="楷体_GB2312"/>
          <w:color w:val="auto"/>
          <w:highlight w:val="none"/>
        </w:rPr>
      </w:pPr>
      <w:bookmarkStart w:id="4" w:name="_Toc28507"/>
      <w:r>
        <w:rPr>
          <w:rFonts w:hint="eastAsia" w:ascii="楷体_GB2312" w:eastAsia="楷体_GB2312"/>
          <w:color w:val="auto"/>
          <w:highlight w:val="none"/>
        </w:rPr>
        <w:t>2.2 建设项目概况</w:t>
      </w:r>
      <w:bookmarkEnd w:id="4"/>
    </w:p>
    <w:p w14:paraId="7536B6B8">
      <w:pPr>
        <w:adjustRightInd w:val="0"/>
        <w:snapToGrid w:val="0"/>
        <w:spacing w:line="360" w:lineRule="auto"/>
        <w:ind w:firstLine="562" w:firstLineChars="200"/>
        <w:outlineLvl w:val="2"/>
        <w:rPr>
          <w:rFonts w:hint="eastAsia" w:ascii="黑体" w:hAnsi="宋体" w:eastAsia="黑体"/>
          <w:b/>
          <w:color w:val="auto"/>
          <w:sz w:val="28"/>
          <w:szCs w:val="28"/>
          <w:highlight w:val="none"/>
        </w:rPr>
      </w:pPr>
      <w:r>
        <w:rPr>
          <w:rFonts w:hint="eastAsia" w:ascii="黑体" w:hAnsi="宋体" w:eastAsia="黑体"/>
          <w:b/>
          <w:color w:val="auto"/>
          <w:sz w:val="28"/>
          <w:szCs w:val="28"/>
          <w:highlight w:val="none"/>
        </w:rPr>
        <w:t>2.2.1 项目建设过程</w:t>
      </w:r>
    </w:p>
    <w:p w14:paraId="20C609EF">
      <w:pPr>
        <w:adjustRightInd w:val="0"/>
        <w:snapToGrid w:val="0"/>
        <w:spacing w:line="360" w:lineRule="auto"/>
        <w:ind w:firstLine="562" w:firstLineChars="200"/>
        <w:rPr>
          <w:rFonts w:ascii="宋体" w:hAnsi="宋体"/>
          <w:b/>
          <w:bCs/>
          <w:color w:val="auto"/>
          <w:sz w:val="28"/>
          <w:szCs w:val="28"/>
          <w:highlight w:val="none"/>
        </w:rPr>
      </w:pPr>
      <w:r>
        <w:rPr>
          <w:rFonts w:hint="eastAsia" w:ascii="宋体" w:hAnsi="宋体"/>
          <w:b/>
          <w:bCs/>
          <w:color w:val="auto"/>
          <w:sz w:val="28"/>
          <w:szCs w:val="28"/>
          <w:highlight w:val="none"/>
        </w:rPr>
        <w:t>2.2.1.1</w:t>
      </w:r>
      <w:r>
        <w:rPr>
          <w:rFonts w:ascii="宋体" w:hAnsi="宋体"/>
          <w:b/>
          <w:bCs/>
          <w:color w:val="auto"/>
          <w:sz w:val="28"/>
          <w:szCs w:val="28"/>
          <w:highlight w:val="none"/>
        </w:rPr>
        <w:t>安全</w:t>
      </w:r>
      <w:r>
        <w:rPr>
          <w:rFonts w:hint="eastAsia" w:ascii="宋体" w:hAnsi="宋体"/>
          <w:b/>
          <w:bCs/>
          <w:color w:val="auto"/>
          <w:sz w:val="28"/>
          <w:szCs w:val="28"/>
          <w:highlight w:val="none"/>
        </w:rPr>
        <w:t>审查</w:t>
      </w:r>
    </w:p>
    <w:p w14:paraId="56CB0B48">
      <w:pPr>
        <w:adjustRightInd w:val="0"/>
        <w:snapToGrid w:val="0"/>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该项目于2026年01月27日取得《山东省建设项目备案证明》，项目代码：2601-370911-89-01-427168。</w:t>
      </w:r>
    </w:p>
    <w:p w14:paraId="79B35E6B">
      <w:pPr>
        <w:adjustRightInd w:val="0"/>
        <w:snapToGrid w:val="0"/>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snapToGrid w:val="0"/>
          <w:color w:val="auto"/>
          <w:spacing w:val="0"/>
          <w:kern w:val="0"/>
          <w:sz w:val="28"/>
          <w:highlight w:val="none"/>
        </w:rPr>
        <w:t>建设规模和内容：项目位于</w:t>
      </w:r>
      <w:r>
        <w:rPr>
          <w:rFonts w:hint="eastAsia" w:ascii="宋体" w:hAnsi="宋体" w:eastAsia="宋体" w:cs="宋体"/>
          <w:snapToGrid w:val="0"/>
          <w:color w:val="auto"/>
          <w:spacing w:val="0"/>
          <w:kern w:val="0"/>
          <w:sz w:val="28"/>
          <w:highlight w:val="none"/>
          <w:lang w:eastAsia="zh-CN"/>
        </w:rPr>
        <w:t>山东省泰安市泰山大街西段北黄村</w:t>
      </w:r>
      <w:r>
        <w:rPr>
          <w:rFonts w:hint="eastAsia" w:ascii="宋体" w:hAnsi="宋体" w:eastAsia="宋体" w:cs="宋体"/>
          <w:snapToGrid w:val="0"/>
          <w:color w:val="auto"/>
          <w:spacing w:val="0"/>
          <w:kern w:val="0"/>
          <w:sz w:val="28"/>
          <w:highlight w:val="none"/>
        </w:rPr>
        <w:t>，</w:t>
      </w:r>
      <w:r>
        <w:rPr>
          <w:rFonts w:hint="eastAsia" w:ascii="宋体" w:hAnsi="宋体" w:eastAsia="宋体" w:cs="宋体"/>
          <w:color w:val="auto"/>
          <w:sz w:val="28"/>
          <w:szCs w:val="28"/>
          <w:highlight w:val="none"/>
        </w:rPr>
        <w:t>拆除原有罐区及工艺管道，改造承重框架结构罐区一座，设2台30m</w:t>
      </w:r>
      <w:r>
        <w:rPr>
          <w:rFonts w:hint="eastAsia" w:ascii="宋体" w:hAnsi="宋体" w:eastAsia="宋体" w:cs="宋体"/>
          <w:color w:val="auto"/>
          <w:sz w:val="28"/>
          <w:szCs w:val="28"/>
          <w:highlight w:val="none"/>
          <w:vertAlign w:val="superscript"/>
        </w:rPr>
        <w:t>3</w:t>
      </w:r>
      <w:r>
        <w:rPr>
          <w:rFonts w:hint="eastAsia" w:ascii="宋体" w:hAnsi="宋体" w:eastAsia="宋体" w:cs="宋体"/>
          <w:color w:val="auto"/>
          <w:sz w:val="28"/>
          <w:szCs w:val="28"/>
          <w:highlight w:val="none"/>
        </w:rPr>
        <w:t>双层储罐（1台92#汽油储罐、1台95#汽油储罐）和2台20m</w:t>
      </w:r>
      <w:r>
        <w:rPr>
          <w:rFonts w:hint="eastAsia" w:ascii="宋体" w:hAnsi="宋体" w:eastAsia="宋体" w:cs="宋体"/>
          <w:color w:val="auto"/>
          <w:sz w:val="28"/>
          <w:szCs w:val="28"/>
          <w:highlight w:val="none"/>
          <w:vertAlign w:val="superscript"/>
        </w:rPr>
        <w:t>3</w:t>
      </w:r>
      <w:r>
        <w:rPr>
          <w:rFonts w:hint="eastAsia" w:ascii="宋体" w:hAnsi="宋体" w:eastAsia="宋体" w:cs="宋体"/>
          <w:color w:val="auto"/>
          <w:sz w:val="28"/>
          <w:szCs w:val="28"/>
          <w:highlight w:val="none"/>
        </w:rPr>
        <w:t>双层储罐（1台98#汽油储罐、1台柴油储罐）并敷设工艺管线，油品折合总容积90m³，依据《汽车加油加气加氢站技术标准》（GB50156-2021）标准第3.0.9条规定：按公式计算储罐总容积：30×2+20+</w:t>
      </w:r>
      <w:r>
        <w:rPr>
          <w:rFonts w:hint="eastAsia" w:ascii="宋体" w:hAnsi="宋体" w:eastAsia="宋体" w:cs="宋体"/>
          <w:color w:val="auto"/>
          <w:sz w:val="28"/>
          <w:szCs w:val="28"/>
          <w:highlight w:val="none"/>
          <w:lang w:val="en-US" w:eastAsia="zh-CN"/>
        </w:rPr>
        <w:t>20/2</w:t>
      </w:r>
      <w:r>
        <w:rPr>
          <w:rFonts w:hint="eastAsia" w:ascii="宋体" w:hAnsi="宋体" w:eastAsia="宋体" w:cs="宋体"/>
          <w:color w:val="auto"/>
          <w:sz w:val="28"/>
          <w:szCs w:val="28"/>
          <w:highlight w:val="none"/>
        </w:rPr>
        <w:t>=90m</w:t>
      </w:r>
      <w:r>
        <w:rPr>
          <w:rFonts w:hint="eastAsia" w:ascii="宋体" w:hAnsi="宋体" w:eastAsia="宋体" w:cs="宋体"/>
          <w:color w:val="auto"/>
          <w:sz w:val="28"/>
          <w:szCs w:val="28"/>
          <w:highlight w:val="none"/>
          <w:vertAlign w:val="superscript"/>
        </w:rPr>
        <w:t>3</w:t>
      </w:r>
      <w:r>
        <w:rPr>
          <w:rFonts w:hint="eastAsia" w:ascii="宋体" w:hAnsi="宋体" w:eastAsia="宋体" w:cs="宋体"/>
          <w:color w:val="auto"/>
          <w:sz w:val="28"/>
          <w:szCs w:val="28"/>
          <w:highlight w:val="none"/>
        </w:rPr>
        <w:t>，该站属三级加油站（总容积由80m</w:t>
      </w:r>
      <w:r>
        <w:rPr>
          <w:rFonts w:hint="eastAsia" w:ascii="宋体" w:hAnsi="宋体" w:eastAsia="宋体" w:cs="宋体"/>
          <w:color w:val="auto"/>
          <w:sz w:val="28"/>
          <w:szCs w:val="28"/>
          <w:highlight w:val="none"/>
          <w:vertAlign w:val="superscript"/>
        </w:rPr>
        <w:t>3</w:t>
      </w:r>
      <w:r>
        <w:rPr>
          <w:rFonts w:hint="eastAsia" w:ascii="宋体" w:hAnsi="宋体" w:eastAsia="宋体" w:cs="宋体"/>
          <w:color w:val="auto"/>
          <w:sz w:val="28"/>
          <w:szCs w:val="28"/>
          <w:highlight w:val="none"/>
        </w:rPr>
        <w:t>改为90m</w:t>
      </w:r>
      <w:r>
        <w:rPr>
          <w:rFonts w:hint="eastAsia" w:ascii="宋体" w:hAnsi="宋体" w:eastAsia="宋体" w:cs="宋体"/>
          <w:color w:val="auto"/>
          <w:sz w:val="28"/>
          <w:szCs w:val="28"/>
          <w:highlight w:val="none"/>
          <w:vertAlign w:val="superscript"/>
        </w:rPr>
        <w:t>3</w:t>
      </w:r>
      <w:r>
        <w:rPr>
          <w:rFonts w:hint="eastAsia" w:ascii="宋体" w:hAnsi="宋体" w:eastAsia="宋体" w:cs="宋体"/>
          <w:color w:val="auto"/>
          <w:sz w:val="28"/>
          <w:szCs w:val="28"/>
          <w:highlight w:val="none"/>
        </w:rPr>
        <w:t>，加油站级别未变）；更换油气排放处理装置</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采用卸油油气回收、加油油气回收及三次油气回收系统</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新</w:t>
      </w:r>
      <w:r>
        <w:rPr>
          <w:rFonts w:hint="eastAsia" w:ascii="宋体" w:hAnsi="宋体" w:eastAsia="宋体" w:cs="宋体"/>
          <w:color w:val="auto"/>
          <w:sz w:val="28"/>
          <w:szCs w:val="28"/>
          <w:highlight w:val="none"/>
        </w:rPr>
        <w:t>建密闭卸油口（位于站</w:t>
      </w:r>
      <w:r>
        <w:rPr>
          <w:rFonts w:hint="eastAsia" w:ascii="宋体" w:hAnsi="宋体" w:eastAsia="宋体" w:cs="宋体"/>
          <w:color w:val="auto"/>
          <w:sz w:val="28"/>
          <w:szCs w:val="28"/>
          <w:highlight w:val="none"/>
          <w:lang w:val="en-US" w:eastAsia="zh-CN"/>
        </w:rPr>
        <w:t>房南侧</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沿罩棚立柱敷设2处通气管（罩棚西南侧立柱</w:t>
      </w:r>
      <w:r>
        <w:rPr>
          <w:rFonts w:hint="eastAsia" w:ascii="宋体" w:hAnsi="宋体" w:eastAsia="宋体" w:cs="宋体"/>
          <w:color w:val="auto"/>
          <w:sz w:val="28"/>
          <w:szCs w:val="28"/>
          <w:highlight w:val="none"/>
          <w:lang w:val="en-US" w:eastAsia="zh-CN"/>
        </w:rPr>
        <w:t>及</w:t>
      </w:r>
      <w:r>
        <w:rPr>
          <w:rFonts w:hint="eastAsia" w:ascii="宋体" w:hAnsi="宋体" w:eastAsia="宋体" w:cs="宋体"/>
          <w:color w:val="auto"/>
          <w:sz w:val="28"/>
          <w:szCs w:val="28"/>
          <w:highlight w:val="none"/>
        </w:rPr>
        <w:t>东北侧立柱），</w:t>
      </w:r>
      <w:r>
        <w:rPr>
          <w:rFonts w:hint="eastAsia" w:ascii="宋体" w:hAnsi="宋体" w:eastAsia="宋体" w:cs="宋体"/>
          <w:color w:val="auto"/>
          <w:sz w:val="28"/>
          <w:szCs w:val="28"/>
          <w:highlight w:val="none"/>
          <w:lang w:val="en-US" w:eastAsia="zh-CN"/>
        </w:rPr>
        <w:t>新</w:t>
      </w:r>
      <w:r>
        <w:rPr>
          <w:rFonts w:hint="eastAsia" w:ascii="宋体" w:hAnsi="宋体" w:eastAsia="宋体" w:cs="宋体"/>
          <w:color w:val="auto"/>
          <w:sz w:val="28"/>
          <w:szCs w:val="28"/>
          <w:highlight w:val="none"/>
        </w:rPr>
        <w:t>建液位监测系统、双层管道及双层罐的渗漏监测系统；对原有罩棚檐口、立柱重新包装，网架除锈防腐；对原有站房进行内部装修；原有加油岛拆除，</w:t>
      </w:r>
      <w:r>
        <w:rPr>
          <w:rFonts w:hint="eastAsia" w:ascii="宋体" w:hAnsi="宋体" w:eastAsia="宋体" w:cs="宋体"/>
          <w:color w:val="auto"/>
          <w:sz w:val="28"/>
          <w:szCs w:val="28"/>
          <w:highlight w:val="none"/>
          <w:lang w:eastAsia="zh-CN"/>
        </w:rPr>
        <w:t>改建3座加油岛，</w:t>
      </w:r>
      <w:r>
        <w:rPr>
          <w:rFonts w:hint="eastAsia" w:ascii="宋体" w:hAnsi="宋体" w:eastAsia="宋体" w:cs="宋体"/>
          <w:color w:val="auto"/>
          <w:sz w:val="28"/>
          <w:szCs w:val="28"/>
          <w:highlight w:val="none"/>
          <w:lang w:val="en-US" w:eastAsia="zh-CN"/>
        </w:rPr>
        <w:t>新建1</w:t>
      </w:r>
      <w:r>
        <w:rPr>
          <w:rFonts w:hint="eastAsia" w:ascii="宋体" w:hAnsi="宋体" w:eastAsia="宋体" w:cs="宋体"/>
          <w:color w:val="auto"/>
          <w:sz w:val="28"/>
          <w:szCs w:val="28"/>
          <w:highlight w:val="none"/>
          <w:lang w:eastAsia="zh-CN"/>
        </w:rPr>
        <w:t>座加油岛，</w:t>
      </w:r>
      <w:r>
        <w:rPr>
          <w:rFonts w:hint="eastAsia" w:ascii="宋体" w:hAnsi="宋体" w:eastAsia="宋体" w:cs="宋体"/>
          <w:color w:val="auto"/>
          <w:sz w:val="28"/>
          <w:szCs w:val="28"/>
          <w:highlight w:val="none"/>
        </w:rPr>
        <w:t>防撞柱</w:t>
      </w:r>
      <w:r>
        <w:rPr>
          <w:rFonts w:hint="eastAsia" w:ascii="宋体" w:hAnsi="宋体" w:eastAsia="宋体" w:cs="宋体"/>
          <w:color w:val="auto"/>
          <w:sz w:val="28"/>
          <w:szCs w:val="28"/>
          <w:highlight w:val="none"/>
          <w:lang w:val="en-US" w:eastAsia="zh-CN"/>
        </w:rPr>
        <w:t>15</w:t>
      </w:r>
      <w:r>
        <w:rPr>
          <w:rFonts w:hint="eastAsia" w:ascii="宋体" w:hAnsi="宋体" w:eastAsia="宋体" w:cs="宋体"/>
          <w:color w:val="auto"/>
          <w:sz w:val="28"/>
          <w:szCs w:val="28"/>
          <w:highlight w:val="none"/>
        </w:rPr>
        <w:t>个；设2台双枪加油机（1台92#/95#汽油、1台柴油），2台4枪加油机（1台92#汽油/95#汽油/98#汽油、1台92#汽油/95#汽油），均为潜油泵式；</w:t>
      </w:r>
      <w:r>
        <w:rPr>
          <w:rFonts w:hint="eastAsia" w:ascii="宋体" w:hAnsi="宋体" w:eastAsia="宋体" w:cs="宋体"/>
          <w:color w:val="auto"/>
          <w:sz w:val="28"/>
          <w:szCs w:val="28"/>
          <w:highlight w:val="none"/>
          <w:lang w:val="en-US" w:eastAsia="zh-CN"/>
        </w:rPr>
        <w:t>新建</w:t>
      </w:r>
      <w:r>
        <w:rPr>
          <w:rFonts w:hint="eastAsia" w:ascii="宋体" w:hAnsi="宋体" w:eastAsia="宋体" w:cs="宋体"/>
          <w:color w:val="auto"/>
          <w:sz w:val="28"/>
          <w:szCs w:val="28"/>
          <w:highlight w:val="none"/>
        </w:rPr>
        <w:t>消防一体柜1座</w:t>
      </w:r>
      <w:r>
        <w:rPr>
          <w:rFonts w:hint="eastAsia" w:ascii="宋体" w:hAnsi="宋体" w:eastAsia="宋体" w:cs="宋体"/>
          <w:color w:val="auto"/>
          <w:sz w:val="28"/>
          <w:szCs w:val="28"/>
          <w:highlight w:val="none"/>
          <w:lang w:val="en-US" w:eastAsia="zh-CN"/>
        </w:rPr>
        <w:t>及危废暂存柜</w:t>
      </w:r>
      <w:r>
        <w:rPr>
          <w:rFonts w:hint="eastAsia" w:ascii="宋体" w:hAnsi="宋体" w:eastAsia="宋体" w:cs="宋体"/>
          <w:color w:val="auto"/>
          <w:sz w:val="28"/>
          <w:szCs w:val="28"/>
          <w:highlight w:val="none"/>
        </w:rPr>
        <w:t>；其他设施依托站区原有。</w:t>
      </w:r>
    </w:p>
    <w:p w14:paraId="2ADF83B3">
      <w:pPr>
        <w:adjustRightInd w:val="0"/>
        <w:snapToGrid w:val="0"/>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该项目建设规模、总投资与《山东省建设项目备案证明》内容一致。</w:t>
      </w:r>
    </w:p>
    <w:p w14:paraId="759FE5D7">
      <w:pPr>
        <w:pStyle w:val="7"/>
        <w:keepNext w:val="0"/>
        <w:keepLines w:val="0"/>
        <w:pageBreakBefore w:val="0"/>
        <w:widowControl w:val="0"/>
        <w:kinsoku/>
        <w:wordWrap/>
        <w:overflowPunct/>
        <w:topLinePunct w:val="0"/>
        <w:autoSpaceDE/>
        <w:autoSpaceDN/>
        <w:bidi w:val="0"/>
        <w:spacing w:after="0" w:line="360" w:lineRule="auto"/>
        <w:ind w:firstLine="562" w:firstLineChars="200"/>
        <w:textAlignment w:val="auto"/>
        <w:rPr>
          <w:rFonts w:hint="eastAsia" w:ascii="宋体" w:hAnsi="宋体" w:eastAsia="宋体" w:cs="宋体"/>
          <w:snapToGrid w:val="0"/>
          <w:color w:val="auto"/>
          <w:spacing w:val="0"/>
          <w:kern w:val="0"/>
          <w:sz w:val="28"/>
          <w:highlight w:val="none"/>
          <w:lang w:val="en-US" w:eastAsia="zh-CN"/>
        </w:rPr>
      </w:pPr>
      <w:r>
        <w:rPr>
          <w:rFonts w:hint="eastAsia" w:ascii="宋体" w:hAnsi="宋体" w:eastAsia="宋体" w:cs="宋体"/>
          <w:snapToGrid w:val="0"/>
          <w:color w:val="auto"/>
          <w:spacing w:val="0"/>
          <w:kern w:val="0"/>
          <w:sz w:val="28"/>
          <w:highlight w:val="none"/>
        </w:rPr>
        <w:t>该项目建设选址未发生变更，主要技术、工艺路线未发生变化，与《设立安全评价报告》</w:t>
      </w:r>
      <w:r>
        <w:rPr>
          <w:rFonts w:hint="eastAsia" w:ascii="宋体" w:hAnsi="宋体" w:eastAsia="宋体" w:cs="宋体"/>
          <w:snapToGrid w:val="0"/>
          <w:color w:val="auto"/>
          <w:spacing w:val="0"/>
          <w:kern w:val="0"/>
          <w:sz w:val="28"/>
          <w:highlight w:val="none"/>
          <w:lang w:val="en-US" w:eastAsia="zh-CN"/>
        </w:rPr>
        <w:t>内容相符</w:t>
      </w:r>
      <w:r>
        <w:rPr>
          <w:rFonts w:hint="eastAsia" w:ascii="宋体" w:hAnsi="宋体" w:eastAsia="宋体" w:cs="宋体"/>
          <w:snapToGrid w:val="0"/>
          <w:color w:val="auto"/>
          <w:spacing w:val="0"/>
          <w:kern w:val="0"/>
          <w:sz w:val="28"/>
          <w:highlight w:val="none"/>
          <w:lang w:eastAsia="zh-CN"/>
        </w:rPr>
        <w:t>，</w:t>
      </w:r>
      <w:r>
        <w:rPr>
          <w:rFonts w:hint="eastAsia" w:ascii="宋体" w:hAnsi="宋体" w:eastAsia="宋体" w:cs="宋体"/>
          <w:snapToGrid w:val="0"/>
          <w:color w:val="auto"/>
          <w:spacing w:val="0"/>
          <w:kern w:val="0"/>
          <w:sz w:val="28"/>
          <w:highlight w:val="none"/>
          <w:lang w:val="en-US" w:eastAsia="zh-CN"/>
        </w:rPr>
        <w:t>项目存在局部设计变更，具体如下：卸油口位置变更为西南侧罩棚柱的东侧，汽油通气管和柴油通气管调换位置，油气回收处理装置位置变更为西南侧罩棚柱的西侧，</w:t>
      </w:r>
      <w:r>
        <w:rPr>
          <w:rFonts w:hint="eastAsia" w:ascii="宋体" w:hAnsi="宋体" w:eastAsia="宋体" w:cs="宋体"/>
          <w:snapToGrid w:val="0"/>
          <w:color w:val="auto"/>
          <w:spacing w:val="0"/>
          <w:kern w:val="0"/>
          <w:sz w:val="28"/>
          <w:szCs w:val="28"/>
          <w:highlight w:val="none"/>
          <w:lang w:val="en-US" w:eastAsia="zh-CN"/>
        </w:rPr>
        <w:t>变更油罐尺寸（30</w:t>
      </w:r>
      <w:r>
        <w:rPr>
          <w:rFonts w:hint="eastAsia" w:ascii="宋体" w:hAnsi="宋体" w:eastAsia="宋体" w:cs="宋体"/>
          <w:color w:val="auto"/>
          <w:kern w:val="2"/>
          <w:sz w:val="28"/>
          <w:szCs w:val="28"/>
          <w:highlight w:val="none"/>
        </w:rPr>
        <w:t>m</w:t>
      </w:r>
      <w:r>
        <w:rPr>
          <w:rFonts w:hint="eastAsia" w:ascii="宋体" w:hAnsi="宋体" w:eastAsia="宋体" w:cs="宋体"/>
          <w:color w:val="auto"/>
          <w:kern w:val="2"/>
          <w:sz w:val="28"/>
          <w:szCs w:val="28"/>
          <w:highlight w:val="none"/>
          <w:vertAlign w:val="superscript"/>
        </w:rPr>
        <w:t>3</w:t>
      </w:r>
      <w:r>
        <w:rPr>
          <w:rFonts w:hint="eastAsia" w:ascii="宋体" w:hAnsi="宋体" w:eastAsia="宋体" w:cs="宋体"/>
          <w:snapToGrid w:val="0"/>
          <w:color w:val="auto"/>
          <w:spacing w:val="0"/>
          <w:kern w:val="0"/>
          <w:sz w:val="28"/>
          <w:szCs w:val="28"/>
          <w:highlight w:val="none"/>
          <w:lang w:val="en-US" w:eastAsia="zh-CN"/>
        </w:rPr>
        <w:t>双层油罐由原直径2000mm×长度9300mm变更为直径2400mm×长度7110mm，20</w:t>
      </w:r>
      <w:r>
        <w:rPr>
          <w:rFonts w:hint="eastAsia" w:ascii="宋体" w:hAnsi="宋体" w:eastAsia="宋体" w:cs="宋体"/>
          <w:color w:val="auto"/>
          <w:kern w:val="2"/>
          <w:sz w:val="28"/>
          <w:szCs w:val="28"/>
          <w:highlight w:val="none"/>
        </w:rPr>
        <w:t>m</w:t>
      </w:r>
      <w:r>
        <w:rPr>
          <w:rFonts w:hint="eastAsia" w:ascii="宋体" w:hAnsi="宋体" w:eastAsia="宋体" w:cs="宋体"/>
          <w:color w:val="auto"/>
          <w:kern w:val="2"/>
          <w:sz w:val="28"/>
          <w:szCs w:val="28"/>
          <w:highlight w:val="none"/>
          <w:vertAlign w:val="superscript"/>
        </w:rPr>
        <w:t>3</w:t>
      </w:r>
      <w:r>
        <w:rPr>
          <w:rFonts w:hint="eastAsia" w:ascii="宋体" w:hAnsi="宋体" w:eastAsia="宋体" w:cs="宋体"/>
          <w:snapToGrid w:val="0"/>
          <w:color w:val="auto"/>
          <w:spacing w:val="0"/>
          <w:kern w:val="0"/>
          <w:sz w:val="28"/>
          <w:szCs w:val="28"/>
          <w:highlight w:val="none"/>
          <w:lang w:val="en-US" w:eastAsia="zh-CN"/>
        </w:rPr>
        <w:t>双层油罐由原直径2000mm×长度6500mm变更为直径2400mm×长度5053mm），上述变更均由设计单位出具</w:t>
      </w:r>
      <w:r>
        <w:rPr>
          <w:rFonts w:hint="eastAsia" w:ascii="宋体" w:hAnsi="宋体" w:eastAsia="宋体" w:cs="宋体"/>
          <w:snapToGrid w:val="0"/>
          <w:color w:val="auto"/>
          <w:spacing w:val="0"/>
          <w:kern w:val="0"/>
          <w:sz w:val="28"/>
          <w:highlight w:val="none"/>
        </w:rPr>
        <w:t>《</w:t>
      </w:r>
      <w:r>
        <w:rPr>
          <w:rFonts w:hint="eastAsia" w:ascii="宋体" w:hAnsi="宋体" w:eastAsia="宋体" w:cs="宋体"/>
          <w:bCs/>
          <w:color w:val="auto"/>
          <w:sz w:val="28"/>
          <w:szCs w:val="28"/>
          <w:highlight w:val="none"/>
          <w:lang w:val="en-US" w:eastAsia="zh-CN"/>
        </w:rPr>
        <w:t>设计</w:t>
      </w:r>
      <w:r>
        <w:rPr>
          <w:rFonts w:hint="eastAsia" w:ascii="宋体" w:hAnsi="宋体" w:eastAsia="宋体" w:cs="宋体"/>
          <w:snapToGrid w:val="0"/>
          <w:color w:val="auto"/>
          <w:spacing w:val="0"/>
          <w:kern w:val="0"/>
          <w:sz w:val="28"/>
          <w:highlight w:val="none"/>
          <w:lang w:eastAsia="zh-CN"/>
        </w:rPr>
        <w:t>变更通知单</w:t>
      </w:r>
      <w:r>
        <w:rPr>
          <w:rFonts w:hint="eastAsia" w:ascii="宋体" w:hAnsi="宋体" w:eastAsia="宋体" w:cs="宋体"/>
          <w:snapToGrid w:val="0"/>
          <w:color w:val="auto"/>
          <w:spacing w:val="0"/>
          <w:kern w:val="0"/>
          <w:sz w:val="28"/>
          <w:highlight w:val="none"/>
        </w:rPr>
        <w:t>》</w:t>
      </w:r>
      <w:r>
        <w:rPr>
          <w:rFonts w:hint="eastAsia" w:ascii="宋体" w:hAnsi="宋体" w:eastAsia="宋体" w:cs="宋体"/>
          <w:snapToGrid w:val="0"/>
          <w:color w:val="auto"/>
          <w:spacing w:val="0"/>
          <w:kern w:val="0"/>
          <w:sz w:val="28"/>
          <w:szCs w:val="28"/>
          <w:highlight w:val="none"/>
        </w:rPr>
        <w:t>；</w:t>
      </w:r>
      <w:r>
        <w:rPr>
          <w:rFonts w:hint="eastAsia" w:ascii="宋体" w:hAnsi="宋体" w:eastAsia="宋体" w:cs="宋体"/>
          <w:snapToGrid w:val="0"/>
          <w:color w:val="auto"/>
          <w:spacing w:val="0"/>
          <w:kern w:val="0"/>
          <w:sz w:val="28"/>
          <w:highlight w:val="none"/>
        </w:rPr>
        <w:t>建成的设备设施中没有降低安全性能的安全设施设计变化，与通过的《安全设施设计专篇》一致。</w:t>
      </w:r>
      <w:r>
        <w:rPr>
          <w:rFonts w:hint="eastAsia" w:ascii="宋体" w:hAnsi="宋体" w:eastAsia="宋体" w:cs="宋体"/>
          <w:snapToGrid w:val="0"/>
          <w:color w:val="auto"/>
          <w:spacing w:val="0"/>
          <w:kern w:val="0"/>
          <w:sz w:val="28"/>
          <w:highlight w:val="none"/>
          <w:lang w:val="en-US" w:eastAsia="zh-CN"/>
        </w:rPr>
        <w:t>汽服用房（通过式洗车机）本次为预留未建。</w:t>
      </w:r>
    </w:p>
    <w:p w14:paraId="2BCEBDCB">
      <w:pPr>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eastAsia="宋体" w:cs="宋体"/>
          <w:snapToGrid w:val="0"/>
          <w:color w:val="auto"/>
          <w:spacing w:val="0"/>
          <w:kern w:val="0"/>
          <w:sz w:val="28"/>
          <w:highlight w:val="none"/>
        </w:rPr>
        <w:t>该项目于202</w:t>
      </w:r>
      <w:r>
        <w:rPr>
          <w:rFonts w:hint="eastAsia" w:ascii="宋体" w:hAnsi="宋体" w:eastAsia="宋体" w:cs="宋体"/>
          <w:snapToGrid w:val="0"/>
          <w:color w:val="auto"/>
          <w:spacing w:val="0"/>
          <w:kern w:val="0"/>
          <w:sz w:val="28"/>
          <w:highlight w:val="none"/>
          <w:lang w:val="en-US" w:eastAsia="zh-CN"/>
        </w:rPr>
        <w:t>6</w:t>
      </w:r>
      <w:r>
        <w:rPr>
          <w:rFonts w:hint="eastAsia" w:ascii="宋体" w:hAnsi="宋体" w:eastAsia="宋体" w:cs="宋体"/>
          <w:snapToGrid w:val="0"/>
          <w:color w:val="auto"/>
          <w:spacing w:val="0"/>
          <w:kern w:val="0"/>
          <w:sz w:val="28"/>
          <w:highlight w:val="none"/>
        </w:rPr>
        <w:t>年</w:t>
      </w:r>
      <w:r>
        <w:rPr>
          <w:rFonts w:hint="eastAsia" w:ascii="宋体" w:hAnsi="宋体" w:eastAsia="宋体" w:cs="宋体"/>
          <w:snapToGrid w:val="0"/>
          <w:color w:val="auto"/>
          <w:spacing w:val="0"/>
          <w:kern w:val="0"/>
          <w:sz w:val="28"/>
          <w:highlight w:val="none"/>
          <w:lang w:val="en-US" w:eastAsia="zh-CN"/>
        </w:rPr>
        <w:t>1</w:t>
      </w:r>
      <w:r>
        <w:rPr>
          <w:rFonts w:hint="eastAsia" w:ascii="宋体" w:hAnsi="宋体" w:eastAsia="宋体" w:cs="宋体"/>
          <w:snapToGrid w:val="0"/>
          <w:color w:val="auto"/>
          <w:spacing w:val="0"/>
          <w:kern w:val="0"/>
          <w:sz w:val="28"/>
          <w:highlight w:val="none"/>
        </w:rPr>
        <w:t>月由山东鲁健安全技术有限公司</w:t>
      </w:r>
      <w:r>
        <w:rPr>
          <w:rFonts w:hint="eastAsia" w:ascii="宋体" w:hAnsi="宋体" w:eastAsia="宋体" w:cs="宋体"/>
          <w:snapToGrid w:val="0"/>
          <w:color w:val="auto"/>
          <w:spacing w:val="0"/>
          <w:kern w:val="0"/>
          <w:sz w:val="28"/>
          <w:highlight w:val="none"/>
          <w:lang w:val="en-US" w:eastAsia="zh-CN"/>
        </w:rPr>
        <w:t>编制完成</w:t>
      </w:r>
      <w:r>
        <w:rPr>
          <w:rFonts w:hint="eastAsia" w:ascii="宋体" w:hAnsi="宋体" w:eastAsia="宋体" w:cs="宋体"/>
          <w:snapToGrid w:val="0"/>
          <w:color w:val="auto"/>
          <w:spacing w:val="0"/>
          <w:kern w:val="0"/>
          <w:sz w:val="28"/>
          <w:highlight w:val="none"/>
        </w:rPr>
        <w:t>《</w:t>
      </w:r>
      <w:r>
        <w:rPr>
          <w:rFonts w:hint="eastAsia" w:ascii="宋体" w:hAnsi="宋体" w:eastAsia="宋体" w:cs="宋体"/>
          <w:snapToGrid w:val="0"/>
          <w:color w:val="auto"/>
          <w:spacing w:val="0"/>
          <w:kern w:val="0"/>
          <w:sz w:val="28"/>
          <w:highlight w:val="none"/>
          <w:lang w:eastAsia="zh-CN"/>
        </w:rPr>
        <w:t>中国石化山东泰山石油股份有限公司泰安第十六加油站改造项目设立安全评价报告》，202</w:t>
      </w:r>
      <w:r>
        <w:rPr>
          <w:rFonts w:hint="eastAsia" w:ascii="宋体" w:hAnsi="宋体" w:eastAsia="宋体" w:cs="宋体"/>
          <w:snapToGrid w:val="0"/>
          <w:color w:val="auto"/>
          <w:spacing w:val="0"/>
          <w:kern w:val="0"/>
          <w:sz w:val="28"/>
          <w:highlight w:val="none"/>
          <w:lang w:val="en-US" w:eastAsia="zh-CN"/>
        </w:rPr>
        <w:t>6</w:t>
      </w:r>
      <w:r>
        <w:rPr>
          <w:rFonts w:hint="eastAsia" w:ascii="宋体" w:hAnsi="宋体" w:eastAsia="宋体" w:cs="宋体"/>
          <w:snapToGrid w:val="0"/>
          <w:color w:val="auto"/>
          <w:spacing w:val="0"/>
          <w:kern w:val="0"/>
          <w:sz w:val="28"/>
          <w:highlight w:val="none"/>
          <w:lang w:eastAsia="zh-CN"/>
        </w:rPr>
        <w:t>年</w:t>
      </w:r>
      <w:r>
        <w:rPr>
          <w:rFonts w:hint="eastAsia" w:ascii="宋体" w:hAnsi="宋体" w:eastAsia="宋体" w:cs="宋体"/>
          <w:snapToGrid w:val="0"/>
          <w:color w:val="auto"/>
          <w:spacing w:val="0"/>
          <w:kern w:val="0"/>
          <w:sz w:val="28"/>
          <w:highlight w:val="none"/>
          <w:lang w:val="en-US" w:eastAsia="zh-CN"/>
        </w:rPr>
        <w:t>2</w:t>
      </w:r>
      <w:r>
        <w:rPr>
          <w:rFonts w:hint="eastAsia" w:ascii="宋体" w:hAnsi="宋体" w:eastAsia="宋体" w:cs="宋体"/>
          <w:snapToGrid w:val="0"/>
          <w:color w:val="auto"/>
          <w:spacing w:val="0"/>
          <w:kern w:val="0"/>
          <w:sz w:val="28"/>
          <w:highlight w:val="none"/>
          <w:lang w:eastAsia="zh-CN"/>
        </w:rPr>
        <w:t>月</w:t>
      </w:r>
      <w:r>
        <w:rPr>
          <w:rFonts w:hint="eastAsia" w:ascii="宋体" w:hAnsi="宋体" w:eastAsia="宋体" w:cs="宋体"/>
          <w:snapToGrid w:val="0"/>
          <w:color w:val="auto"/>
          <w:spacing w:val="0"/>
          <w:kern w:val="0"/>
          <w:sz w:val="28"/>
          <w:highlight w:val="none"/>
          <w:lang w:val="en-US" w:eastAsia="zh-CN"/>
        </w:rPr>
        <w:t>13</w:t>
      </w:r>
      <w:r>
        <w:rPr>
          <w:rFonts w:hint="eastAsia" w:ascii="宋体" w:hAnsi="宋体" w:eastAsia="宋体" w:cs="宋体"/>
          <w:snapToGrid w:val="0"/>
          <w:color w:val="auto"/>
          <w:spacing w:val="0"/>
          <w:kern w:val="0"/>
          <w:sz w:val="28"/>
          <w:highlight w:val="none"/>
          <w:lang w:eastAsia="zh-CN"/>
        </w:rPr>
        <w:t>日</w:t>
      </w:r>
      <w:r>
        <w:rPr>
          <w:rFonts w:hint="eastAsia" w:ascii="宋体" w:hAnsi="宋体" w:eastAsia="宋体" w:cs="宋体"/>
          <w:snapToGrid w:val="0"/>
          <w:color w:val="auto"/>
          <w:spacing w:val="0"/>
          <w:kern w:val="0"/>
          <w:sz w:val="28"/>
          <w:highlight w:val="none"/>
          <w:lang w:val="en-US" w:eastAsia="zh-CN"/>
        </w:rPr>
        <w:t>组织</w:t>
      </w:r>
      <w:r>
        <w:rPr>
          <w:rFonts w:hint="eastAsia" w:ascii="宋体" w:hAnsi="宋体" w:eastAsia="宋体" w:cs="宋体"/>
          <w:snapToGrid w:val="0"/>
          <w:color w:val="auto"/>
          <w:spacing w:val="0"/>
          <w:kern w:val="0"/>
          <w:sz w:val="28"/>
          <w:highlight w:val="none"/>
          <w:lang w:eastAsia="zh-CN"/>
        </w:rPr>
        <w:t>了专家评审</w:t>
      </w:r>
      <w:r>
        <w:rPr>
          <w:rFonts w:hint="eastAsia" w:ascii="宋体" w:hAnsi="宋体" w:eastAsia="宋体" w:cs="宋体"/>
          <w:snapToGrid w:val="0"/>
          <w:color w:val="auto"/>
          <w:spacing w:val="0"/>
          <w:kern w:val="0"/>
          <w:sz w:val="28"/>
          <w:highlight w:val="none"/>
          <w:lang w:val="en-US" w:eastAsia="zh-CN"/>
        </w:rPr>
        <w:t>并形成</w:t>
      </w:r>
      <w:r>
        <w:rPr>
          <w:rFonts w:hint="eastAsia" w:ascii="宋体" w:hAnsi="宋体" w:eastAsia="宋体" w:cs="宋体"/>
          <w:snapToGrid w:val="0"/>
          <w:color w:val="auto"/>
          <w:spacing w:val="0"/>
          <w:kern w:val="0"/>
          <w:sz w:val="28"/>
          <w:highlight w:val="none"/>
          <w:lang w:eastAsia="zh-CN"/>
        </w:rPr>
        <w:t>《</w:t>
      </w:r>
      <w:r>
        <w:rPr>
          <w:rFonts w:hint="eastAsia" w:ascii="宋体" w:hAnsi="宋体" w:eastAsia="宋体" w:cs="宋体"/>
          <w:snapToGrid w:val="0"/>
          <w:color w:val="auto"/>
          <w:spacing w:val="0"/>
          <w:kern w:val="0"/>
          <w:sz w:val="28"/>
          <w:highlight w:val="none"/>
          <w:lang w:val="en-US" w:eastAsia="zh-CN"/>
        </w:rPr>
        <w:t>安全条件审查意见</w:t>
      </w:r>
      <w:r>
        <w:rPr>
          <w:rFonts w:hint="eastAsia" w:ascii="宋体" w:hAnsi="宋体" w:eastAsia="宋体" w:cs="宋体"/>
          <w:snapToGrid w:val="0"/>
          <w:color w:val="auto"/>
          <w:spacing w:val="0"/>
          <w:kern w:val="0"/>
          <w:sz w:val="28"/>
          <w:highlight w:val="none"/>
          <w:lang w:eastAsia="zh-CN"/>
        </w:rPr>
        <w:t>》</w:t>
      </w:r>
      <w:r>
        <w:rPr>
          <w:rFonts w:hint="eastAsia" w:ascii="宋体" w:hAnsi="宋体" w:eastAsia="宋体" w:cs="宋体"/>
          <w:snapToGrid w:val="0"/>
          <w:color w:val="auto"/>
          <w:spacing w:val="0"/>
          <w:kern w:val="0"/>
          <w:sz w:val="28"/>
          <w:highlight w:val="none"/>
          <w:lang w:val="en-US" w:eastAsia="zh-CN"/>
        </w:rPr>
        <w:t>，</w:t>
      </w:r>
      <w:r>
        <w:rPr>
          <w:rFonts w:hint="eastAsia" w:ascii="宋体" w:hAnsi="宋体" w:eastAsia="宋体" w:cs="宋体"/>
          <w:snapToGrid w:val="0"/>
          <w:color w:val="auto"/>
          <w:spacing w:val="0"/>
          <w:kern w:val="0"/>
          <w:sz w:val="28"/>
          <w:highlight w:val="none"/>
          <w:lang w:eastAsia="zh-CN"/>
        </w:rPr>
        <w:t>建设单位</w:t>
      </w:r>
      <w:r>
        <w:rPr>
          <w:rFonts w:hint="eastAsia" w:ascii="宋体" w:hAnsi="宋体" w:eastAsia="宋体" w:cs="宋体"/>
          <w:snapToGrid w:val="0"/>
          <w:color w:val="auto"/>
          <w:spacing w:val="0"/>
          <w:kern w:val="0"/>
          <w:sz w:val="28"/>
          <w:highlight w:val="none"/>
          <w:lang w:val="en-US" w:eastAsia="zh-CN"/>
        </w:rPr>
        <w:t>和评价单位</w:t>
      </w:r>
      <w:r>
        <w:rPr>
          <w:rFonts w:hint="eastAsia" w:ascii="宋体" w:hAnsi="宋体" w:eastAsia="宋体" w:cs="宋体"/>
          <w:snapToGrid w:val="0"/>
          <w:color w:val="auto"/>
          <w:spacing w:val="0"/>
          <w:kern w:val="0"/>
          <w:sz w:val="28"/>
          <w:highlight w:val="none"/>
          <w:lang w:eastAsia="zh-CN"/>
        </w:rPr>
        <w:t>已按照审查意见要求完成相关问题整改完善。</w:t>
      </w:r>
    </w:p>
    <w:p w14:paraId="02A0F658">
      <w:pPr>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该项目于202</w:t>
      </w:r>
      <w:r>
        <w:rPr>
          <w:rFonts w:hint="eastAsia" w:ascii="宋体" w:hAnsi="宋体"/>
          <w:snapToGrid w:val="0"/>
          <w:color w:val="auto"/>
          <w:spacing w:val="0"/>
          <w:kern w:val="0"/>
          <w:sz w:val="28"/>
          <w:highlight w:val="none"/>
          <w:lang w:val="en-US" w:eastAsia="zh-CN"/>
        </w:rPr>
        <w:t>6</w:t>
      </w:r>
      <w:r>
        <w:rPr>
          <w:rFonts w:hint="eastAsia" w:ascii="宋体" w:hAnsi="宋体"/>
          <w:snapToGrid w:val="0"/>
          <w:color w:val="auto"/>
          <w:spacing w:val="0"/>
          <w:kern w:val="0"/>
          <w:sz w:val="28"/>
          <w:highlight w:val="none"/>
        </w:rPr>
        <w:t>年</w:t>
      </w:r>
      <w:r>
        <w:rPr>
          <w:rFonts w:hint="eastAsia" w:ascii="宋体" w:hAnsi="宋体"/>
          <w:snapToGrid w:val="0"/>
          <w:color w:val="auto"/>
          <w:spacing w:val="0"/>
          <w:kern w:val="0"/>
          <w:sz w:val="28"/>
          <w:highlight w:val="none"/>
          <w:lang w:val="en-US" w:eastAsia="zh-CN"/>
        </w:rPr>
        <w:t>1</w:t>
      </w:r>
      <w:r>
        <w:rPr>
          <w:rFonts w:hint="eastAsia" w:ascii="宋体" w:hAnsi="宋体"/>
          <w:snapToGrid w:val="0"/>
          <w:color w:val="auto"/>
          <w:spacing w:val="0"/>
          <w:kern w:val="0"/>
          <w:sz w:val="28"/>
          <w:highlight w:val="none"/>
        </w:rPr>
        <w:t>月由</w:t>
      </w:r>
      <w:r>
        <w:rPr>
          <w:rFonts w:hint="eastAsia" w:ascii="宋体" w:hAnsi="宋体"/>
          <w:snapToGrid w:val="0"/>
          <w:color w:val="auto"/>
          <w:spacing w:val="0"/>
          <w:kern w:val="0"/>
          <w:sz w:val="28"/>
          <w:highlight w:val="none"/>
          <w:lang w:eastAsia="zh-CN"/>
        </w:rPr>
        <w:t>哈尔滨天源石化工程设计有限责任公司</w:t>
      </w:r>
      <w:r>
        <w:rPr>
          <w:rFonts w:hint="eastAsia" w:ascii="宋体" w:hAnsi="宋体"/>
          <w:snapToGrid w:val="0"/>
          <w:color w:val="auto"/>
          <w:spacing w:val="0"/>
          <w:kern w:val="0"/>
          <w:sz w:val="28"/>
          <w:highlight w:val="none"/>
        </w:rPr>
        <w:t>出具了《</w:t>
      </w:r>
      <w:r>
        <w:rPr>
          <w:rFonts w:hint="eastAsia" w:ascii="宋体" w:hAnsi="宋体"/>
          <w:snapToGrid w:val="0"/>
          <w:color w:val="auto"/>
          <w:spacing w:val="0"/>
          <w:kern w:val="0"/>
          <w:sz w:val="28"/>
          <w:highlight w:val="none"/>
          <w:lang w:eastAsia="zh-CN"/>
        </w:rPr>
        <w:t>中国石化山东泰山石油股份有限公司泰安第十六加油站改造项目</w:t>
      </w:r>
      <w:r>
        <w:rPr>
          <w:rFonts w:hint="eastAsia" w:ascii="宋体" w:hAnsi="宋体"/>
          <w:snapToGrid w:val="0"/>
          <w:color w:val="auto"/>
          <w:spacing w:val="0"/>
          <w:kern w:val="0"/>
          <w:sz w:val="28"/>
          <w:highlight w:val="none"/>
        </w:rPr>
        <w:t>安全设施设计专篇》</w:t>
      </w:r>
      <w:r>
        <w:rPr>
          <w:rFonts w:hint="eastAsia" w:ascii="宋体" w:hAnsi="宋体"/>
          <w:snapToGrid w:val="0"/>
          <w:color w:val="auto"/>
          <w:spacing w:val="0"/>
          <w:kern w:val="0"/>
          <w:sz w:val="28"/>
          <w:highlight w:val="none"/>
          <w:lang w:val="en-US" w:eastAsia="zh-CN"/>
        </w:rPr>
        <w:t>和施工图</w:t>
      </w:r>
      <w:r>
        <w:rPr>
          <w:rFonts w:hint="eastAsia" w:ascii="宋体" w:hAnsi="宋体"/>
          <w:snapToGrid w:val="0"/>
          <w:color w:val="auto"/>
          <w:spacing w:val="0"/>
          <w:kern w:val="0"/>
          <w:sz w:val="28"/>
          <w:highlight w:val="none"/>
        </w:rPr>
        <w:t>，202</w:t>
      </w:r>
      <w:r>
        <w:rPr>
          <w:rFonts w:hint="eastAsia" w:ascii="宋体" w:hAnsi="宋体"/>
          <w:snapToGrid w:val="0"/>
          <w:color w:val="auto"/>
          <w:spacing w:val="0"/>
          <w:kern w:val="0"/>
          <w:sz w:val="28"/>
          <w:highlight w:val="none"/>
          <w:lang w:val="en-US" w:eastAsia="zh-CN"/>
        </w:rPr>
        <w:t>6</w:t>
      </w:r>
      <w:r>
        <w:rPr>
          <w:rFonts w:hint="eastAsia" w:ascii="宋体" w:hAnsi="宋体"/>
          <w:snapToGrid w:val="0"/>
          <w:color w:val="auto"/>
          <w:spacing w:val="0"/>
          <w:kern w:val="0"/>
          <w:sz w:val="28"/>
          <w:highlight w:val="none"/>
        </w:rPr>
        <w:t>年</w:t>
      </w:r>
      <w:r>
        <w:rPr>
          <w:rFonts w:hint="eastAsia" w:ascii="宋体" w:hAnsi="宋体"/>
          <w:snapToGrid w:val="0"/>
          <w:color w:val="auto"/>
          <w:spacing w:val="0"/>
          <w:kern w:val="0"/>
          <w:sz w:val="28"/>
          <w:highlight w:val="none"/>
          <w:lang w:val="en-US" w:eastAsia="zh-CN"/>
        </w:rPr>
        <w:t>2</w:t>
      </w:r>
      <w:r>
        <w:rPr>
          <w:rFonts w:hint="eastAsia" w:ascii="宋体" w:hAnsi="宋体"/>
          <w:snapToGrid w:val="0"/>
          <w:color w:val="auto"/>
          <w:spacing w:val="0"/>
          <w:kern w:val="0"/>
          <w:sz w:val="28"/>
          <w:highlight w:val="none"/>
        </w:rPr>
        <w:t>月</w:t>
      </w:r>
      <w:r>
        <w:rPr>
          <w:rFonts w:hint="eastAsia" w:ascii="宋体" w:hAnsi="宋体"/>
          <w:snapToGrid w:val="0"/>
          <w:color w:val="auto"/>
          <w:spacing w:val="0"/>
          <w:kern w:val="0"/>
          <w:sz w:val="28"/>
          <w:highlight w:val="none"/>
          <w:lang w:val="en-US" w:eastAsia="zh-CN"/>
        </w:rPr>
        <w:t>13</w:t>
      </w:r>
      <w:r>
        <w:rPr>
          <w:rFonts w:hint="eastAsia" w:ascii="宋体" w:hAnsi="宋体"/>
          <w:snapToGrid w:val="0"/>
          <w:color w:val="auto"/>
          <w:spacing w:val="0"/>
          <w:kern w:val="0"/>
          <w:sz w:val="28"/>
          <w:highlight w:val="none"/>
        </w:rPr>
        <w:t>日通过了专家评审</w:t>
      </w:r>
      <w:r>
        <w:rPr>
          <w:rFonts w:hint="eastAsia" w:ascii="宋体" w:hAnsi="宋体"/>
          <w:snapToGrid w:val="0"/>
          <w:color w:val="auto"/>
          <w:spacing w:val="0"/>
          <w:kern w:val="0"/>
          <w:sz w:val="28"/>
          <w:highlight w:val="none"/>
          <w:lang w:eastAsia="zh-CN"/>
        </w:rPr>
        <w:t>；</w:t>
      </w:r>
      <w:r>
        <w:rPr>
          <w:rFonts w:hint="eastAsia" w:ascii="宋体" w:hAnsi="宋体"/>
          <w:snapToGrid w:val="0"/>
          <w:color w:val="auto"/>
          <w:spacing w:val="0"/>
          <w:kern w:val="0"/>
          <w:sz w:val="28"/>
          <w:highlight w:val="none"/>
          <w:lang w:val="en-US" w:eastAsia="zh-CN"/>
        </w:rPr>
        <w:t>并</w:t>
      </w:r>
      <w:r>
        <w:rPr>
          <w:rFonts w:hint="eastAsia" w:ascii="宋体" w:hAnsi="宋体"/>
          <w:snapToGrid w:val="0"/>
          <w:color w:val="auto"/>
          <w:spacing w:val="0"/>
          <w:kern w:val="0"/>
          <w:sz w:val="28"/>
          <w:highlight w:val="none"/>
        </w:rPr>
        <w:t>于202</w:t>
      </w:r>
      <w:r>
        <w:rPr>
          <w:rFonts w:hint="eastAsia" w:ascii="宋体" w:hAnsi="宋体"/>
          <w:snapToGrid w:val="0"/>
          <w:color w:val="auto"/>
          <w:spacing w:val="0"/>
          <w:kern w:val="0"/>
          <w:sz w:val="28"/>
          <w:highlight w:val="none"/>
          <w:lang w:val="en-US" w:eastAsia="zh-CN"/>
        </w:rPr>
        <w:t>6</w:t>
      </w:r>
      <w:r>
        <w:rPr>
          <w:rFonts w:hint="eastAsia" w:ascii="宋体" w:hAnsi="宋体"/>
          <w:snapToGrid w:val="0"/>
          <w:color w:val="auto"/>
          <w:spacing w:val="0"/>
          <w:kern w:val="0"/>
          <w:sz w:val="28"/>
          <w:highlight w:val="none"/>
        </w:rPr>
        <w:t>年</w:t>
      </w:r>
      <w:r>
        <w:rPr>
          <w:rFonts w:hint="eastAsia" w:ascii="宋体" w:hAnsi="宋体"/>
          <w:snapToGrid w:val="0"/>
          <w:color w:val="auto"/>
          <w:spacing w:val="0"/>
          <w:kern w:val="0"/>
          <w:sz w:val="28"/>
          <w:highlight w:val="none"/>
          <w:lang w:val="en-US" w:eastAsia="zh-CN"/>
        </w:rPr>
        <w:t>2</w:t>
      </w:r>
      <w:r>
        <w:rPr>
          <w:rFonts w:hint="eastAsia" w:ascii="宋体" w:hAnsi="宋体"/>
          <w:snapToGrid w:val="0"/>
          <w:color w:val="auto"/>
          <w:spacing w:val="0"/>
          <w:kern w:val="0"/>
          <w:sz w:val="28"/>
          <w:highlight w:val="none"/>
        </w:rPr>
        <w:t>月</w:t>
      </w:r>
      <w:r>
        <w:rPr>
          <w:rFonts w:hint="eastAsia" w:ascii="宋体" w:hAnsi="宋体"/>
          <w:snapToGrid w:val="0"/>
          <w:color w:val="auto"/>
          <w:spacing w:val="0"/>
          <w:kern w:val="0"/>
          <w:sz w:val="28"/>
          <w:highlight w:val="none"/>
          <w:lang w:val="en-US" w:eastAsia="zh-CN"/>
        </w:rPr>
        <w:t>28</w:t>
      </w:r>
      <w:r>
        <w:rPr>
          <w:rFonts w:hint="eastAsia" w:ascii="宋体" w:hAnsi="宋体"/>
          <w:snapToGrid w:val="0"/>
          <w:color w:val="auto"/>
          <w:spacing w:val="0"/>
          <w:kern w:val="0"/>
          <w:sz w:val="28"/>
          <w:highlight w:val="none"/>
        </w:rPr>
        <w:t>日取得由泰安市</w:t>
      </w:r>
      <w:r>
        <w:rPr>
          <w:rFonts w:hint="eastAsia" w:ascii="宋体" w:hAnsi="宋体"/>
          <w:snapToGrid w:val="0"/>
          <w:color w:val="auto"/>
          <w:spacing w:val="0"/>
          <w:kern w:val="0"/>
          <w:sz w:val="28"/>
          <w:highlight w:val="none"/>
          <w:lang w:val="en-US" w:eastAsia="zh-CN"/>
        </w:rPr>
        <w:t>岱岳区</w:t>
      </w:r>
      <w:r>
        <w:rPr>
          <w:rFonts w:hint="eastAsia" w:ascii="宋体" w:hAnsi="宋体"/>
          <w:snapToGrid w:val="0"/>
          <w:color w:val="auto"/>
          <w:spacing w:val="0"/>
          <w:kern w:val="0"/>
          <w:sz w:val="28"/>
          <w:highlight w:val="none"/>
        </w:rPr>
        <w:t>应急管理局出具的《</w:t>
      </w:r>
      <w:r>
        <w:rPr>
          <w:rFonts w:hint="eastAsia" w:ascii="宋体" w:hAnsi="宋体"/>
          <w:snapToGrid w:val="0"/>
          <w:color w:val="auto"/>
          <w:spacing w:val="0"/>
          <w:kern w:val="0"/>
          <w:sz w:val="28"/>
          <w:highlight w:val="none"/>
          <w:lang w:val="en-US" w:eastAsia="zh-CN"/>
        </w:rPr>
        <w:t>危化品</w:t>
      </w:r>
      <w:r>
        <w:rPr>
          <w:rFonts w:hint="eastAsia" w:ascii="宋体" w:hAnsi="宋体"/>
          <w:snapToGrid w:val="0"/>
          <w:color w:val="auto"/>
          <w:spacing w:val="0"/>
          <w:kern w:val="0"/>
          <w:sz w:val="28"/>
          <w:highlight w:val="none"/>
        </w:rPr>
        <w:t>建设项目安全审查意见书》（泰</w:t>
      </w:r>
      <w:r>
        <w:rPr>
          <w:rFonts w:hint="eastAsia" w:ascii="宋体" w:hAnsi="宋体"/>
          <w:snapToGrid w:val="0"/>
          <w:color w:val="auto"/>
          <w:spacing w:val="0"/>
          <w:kern w:val="0"/>
          <w:sz w:val="28"/>
          <w:highlight w:val="none"/>
          <w:lang w:val="en-US" w:eastAsia="zh-CN"/>
        </w:rPr>
        <w:t>岱</w:t>
      </w:r>
      <w:r>
        <w:rPr>
          <w:rFonts w:hint="eastAsia" w:ascii="宋体" w:hAnsi="宋体"/>
          <w:snapToGrid w:val="0"/>
          <w:color w:val="auto"/>
          <w:spacing w:val="0"/>
          <w:kern w:val="0"/>
          <w:sz w:val="28"/>
          <w:highlight w:val="none"/>
        </w:rPr>
        <w:t>应急危化项目</w:t>
      </w:r>
      <w:r>
        <w:rPr>
          <w:rFonts w:hint="eastAsia" w:ascii="宋体" w:hAnsi="宋体"/>
          <w:snapToGrid w:val="0"/>
          <w:color w:val="auto"/>
          <w:spacing w:val="0"/>
          <w:kern w:val="0"/>
          <w:sz w:val="28"/>
          <w:highlight w:val="none"/>
          <w:lang w:val="en-US" w:eastAsia="zh-CN"/>
        </w:rPr>
        <w:t>安设</w:t>
      </w:r>
      <w:r>
        <w:rPr>
          <w:rFonts w:hint="eastAsia" w:ascii="宋体" w:hAnsi="宋体"/>
          <w:snapToGrid w:val="0"/>
          <w:color w:val="auto"/>
          <w:spacing w:val="0"/>
          <w:kern w:val="0"/>
          <w:sz w:val="28"/>
          <w:highlight w:val="none"/>
        </w:rPr>
        <w:t>审字〔202</w:t>
      </w:r>
      <w:r>
        <w:rPr>
          <w:rFonts w:hint="eastAsia" w:ascii="宋体" w:hAnsi="宋体"/>
          <w:snapToGrid w:val="0"/>
          <w:color w:val="auto"/>
          <w:spacing w:val="0"/>
          <w:kern w:val="0"/>
          <w:sz w:val="28"/>
          <w:highlight w:val="none"/>
          <w:lang w:val="en-US" w:eastAsia="zh-CN"/>
        </w:rPr>
        <w:t>6</w:t>
      </w:r>
      <w:r>
        <w:rPr>
          <w:rFonts w:hint="eastAsia" w:ascii="宋体" w:hAnsi="宋体"/>
          <w:snapToGrid w:val="0"/>
          <w:color w:val="auto"/>
          <w:spacing w:val="0"/>
          <w:kern w:val="0"/>
          <w:sz w:val="28"/>
          <w:highlight w:val="none"/>
        </w:rPr>
        <w:t>〕0</w:t>
      </w:r>
      <w:r>
        <w:rPr>
          <w:rFonts w:hint="eastAsia" w:ascii="宋体" w:hAnsi="宋体"/>
          <w:snapToGrid w:val="0"/>
          <w:color w:val="auto"/>
          <w:spacing w:val="0"/>
          <w:kern w:val="0"/>
          <w:sz w:val="28"/>
          <w:highlight w:val="none"/>
          <w:lang w:val="en-US" w:eastAsia="zh-CN"/>
        </w:rPr>
        <w:t>02</w:t>
      </w:r>
      <w:r>
        <w:rPr>
          <w:rFonts w:hint="eastAsia" w:ascii="宋体" w:hAnsi="宋体"/>
          <w:snapToGrid w:val="0"/>
          <w:color w:val="auto"/>
          <w:spacing w:val="0"/>
          <w:kern w:val="0"/>
          <w:sz w:val="28"/>
          <w:highlight w:val="none"/>
        </w:rPr>
        <w:t>号），同意该项目通过安全审查。</w:t>
      </w:r>
    </w:p>
    <w:p w14:paraId="7059EC56">
      <w:pPr>
        <w:adjustRightInd w:val="0"/>
        <w:snapToGrid w:val="0"/>
        <w:spacing w:line="360" w:lineRule="auto"/>
        <w:ind w:firstLine="560" w:firstLineChars="200"/>
        <w:rPr>
          <w:rFonts w:hint="eastAsia" w:ascii="宋体" w:hAnsi="宋体" w:eastAsia="宋体" w:cs="宋体"/>
          <w:snapToGrid w:val="0"/>
          <w:color w:val="auto"/>
          <w:spacing w:val="0"/>
          <w:kern w:val="0"/>
          <w:sz w:val="28"/>
          <w:highlight w:val="none"/>
          <w:lang w:val="en-US" w:eastAsia="zh-CN"/>
        </w:rPr>
      </w:pPr>
      <w:r>
        <w:rPr>
          <w:rFonts w:hint="eastAsia" w:ascii="宋体" w:hAnsi="宋体" w:eastAsia="宋体" w:cs="宋体"/>
          <w:snapToGrid w:val="0"/>
          <w:color w:val="auto"/>
          <w:spacing w:val="0"/>
          <w:kern w:val="0"/>
          <w:sz w:val="28"/>
          <w:highlight w:val="none"/>
          <w:lang w:val="en-US" w:eastAsia="zh-CN"/>
        </w:rPr>
        <w:t>该项目于2026年5月31日由建设单位组织了工程竣工验收，并出具了</w:t>
      </w:r>
      <w:r>
        <w:rPr>
          <w:rFonts w:hint="eastAsia" w:ascii="宋体" w:hAnsi="宋体" w:eastAsia="宋体" w:cs="宋体"/>
          <w:snapToGrid w:val="0"/>
          <w:color w:val="auto"/>
          <w:spacing w:val="0"/>
          <w:kern w:val="0"/>
          <w:sz w:val="28"/>
          <w:highlight w:val="none"/>
        </w:rPr>
        <w:t>《</w:t>
      </w:r>
      <w:r>
        <w:rPr>
          <w:rFonts w:hint="eastAsia" w:ascii="宋体" w:hAnsi="宋体" w:eastAsia="宋体" w:cs="宋体"/>
          <w:snapToGrid w:val="0"/>
          <w:color w:val="auto"/>
          <w:spacing w:val="0"/>
          <w:kern w:val="0"/>
          <w:sz w:val="28"/>
          <w:highlight w:val="none"/>
          <w:lang w:val="en-US" w:eastAsia="zh-CN"/>
        </w:rPr>
        <w:t>建设工程项目竣工验收报告</w:t>
      </w:r>
      <w:r>
        <w:rPr>
          <w:rFonts w:hint="eastAsia" w:ascii="宋体" w:hAnsi="宋体" w:eastAsia="宋体" w:cs="宋体"/>
          <w:snapToGrid w:val="0"/>
          <w:color w:val="auto"/>
          <w:spacing w:val="0"/>
          <w:kern w:val="0"/>
          <w:sz w:val="28"/>
          <w:highlight w:val="none"/>
        </w:rPr>
        <w:t>》</w:t>
      </w:r>
      <w:r>
        <w:rPr>
          <w:rFonts w:hint="eastAsia" w:ascii="宋体" w:hAnsi="宋体" w:eastAsia="宋体" w:cs="宋体"/>
          <w:snapToGrid w:val="0"/>
          <w:color w:val="auto"/>
          <w:spacing w:val="0"/>
          <w:kern w:val="0"/>
          <w:sz w:val="28"/>
          <w:highlight w:val="none"/>
          <w:lang w:val="en-US" w:eastAsia="zh-CN"/>
        </w:rPr>
        <w:t>，结论为:经泰山石油公司组织现场验收，确认按照施工方案或技术交底要求施工，验收组成员一致同意通过验收；详见报告附件。</w:t>
      </w:r>
    </w:p>
    <w:p w14:paraId="4F701C0A">
      <w:pPr>
        <w:adjustRightInd w:val="0"/>
        <w:snapToGrid w:val="0"/>
        <w:spacing w:line="360" w:lineRule="auto"/>
        <w:ind w:firstLine="560" w:firstLineChars="200"/>
        <w:rPr>
          <w:rFonts w:hint="eastAsia" w:ascii="宋体" w:hAnsi="宋体" w:eastAsia="宋体" w:cs="宋体"/>
          <w:snapToGrid w:val="0"/>
          <w:color w:val="auto"/>
          <w:spacing w:val="0"/>
          <w:kern w:val="0"/>
          <w:sz w:val="28"/>
          <w:highlight w:val="none"/>
        </w:rPr>
      </w:pPr>
      <w:r>
        <w:rPr>
          <w:rFonts w:hint="eastAsia" w:ascii="宋体" w:hAnsi="宋体" w:eastAsia="宋体" w:cs="宋体"/>
          <w:snapToGrid w:val="0"/>
          <w:color w:val="auto"/>
          <w:spacing w:val="0"/>
          <w:kern w:val="0"/>
          <w:sz w:val="28"/>
          <w:highlight w:val="none"/>
        </w:rPr>
        <w:t>加油站于202</w:t>
      </w:r>
      <w:r>
        <w:rPr>
          <w:rFonts w:hint="eastAsia" w:ascii="宋体" w:hAnsi="宋体" w:eastAsia="宋体" w:cs="宋体"/>
          <w:snapToGrid w:val="0"/>
          <w:color w:val="auto"/>
          <w:spacing w:val="0"/>
          <w:kern w:val="0"/>
          <w:sz w:val="28"/>
          <w:highlight w:val="none"/>
          <w:lang w:val="en-US" w:eastAsia="zh-CN"/>
        </w:rPr>
        <w:t>1</w:t>
      </w:r>
      <w:r>
        <w:rPr>
          <w:rFonts w:hint="eastAsia" w:ascii="宋体" w:hAnsi="宋体" w:eastAsia="宋体" w:cs="宋体"/>
          <w:snapToGrid w:val="0"/>
          <w:color w:val="auto"/>
          <w:spacing w:val="0"/>
          <w:kern w:val="0"/>
          <w:sz w:val="28"/>
          <w:highlight w:val="none"/>
        </w:rPr>
        <w:t>年</w:t>
      </w:r>
      <w:r>
        <w:rPr>
          <w:rFonts w:hint="eastAsia" w:ascii="宋体" w:hAnsi="宋体" w:eastAsia="宋体" w:cs="宋体"/>
          <w:snapToGrid w:val="0"/>
          <w:color w:val="auto"/>
          <w:spacing w:val="0"/>
          <w:kern w:val="0"/>
          <w:sz w:val="28"/>
          <w:highlight w:val="none"/>
          <w:lang w:val="en-US" w:eastAsia="zh-CN"/>
        </w:rPr>
        <w:t>12</w:t>
      </w:r>
      <w:r>
        <w:rPr>
          <w:rFonts w:hint="eastAsia" w:ascii="宋体" w:hAnsi="宋体" w:eastAsia="宋体" w:cs="宋体"/>
          <w:snapToGrid w:val="0"/>
          <w:color w:val="auto"/>
          <w:spacing w:val="0"/>
          <w:kern w:val="0"/>
          <w:sz w:val="28"/>
          <w:highlight w:val="none"/>
        </w:rPr>
        <w:t>月</w:t>
      </w:r>
      <w:r>
        <w:rPr>
          <w:rFonts w:hint="eastAsia" w:ascii="宋体" w:hAnsi="宋体" w:eastAsia="宋体" w:cs="宋体"/>
          <w:snapToGrid w:val="0"/>
          <w:color w:val="auto"/>
          <w:spacing w:val="0"/>
          <w:kern w:val="0"/>
          <w:sz w:val="28"/>
          <w:highlight w:val="none"/>
          <w:lang w:val="en-US" w:eastAsia="zh-CN"/>
        </w:rPr>
        <w:t>10</w:t>
      </w:r>
      <w:r>
        <w:rPr>
          <w:rFonts w:hint="eastAsia" w:ascii="宋体" w:hAnsi="宋体" w:eastAsia="宋体" w:cs="宋体"/>
          <w:snapToGrid w:val="0"/>
          <w:color w:val="auto"/>
          <w:spacing w:val="0"/>
          <w:kern w:val="0"/>
          <w:sz w:val="28"/>
          <w:highlight w:val="none"/>
        </w:rPr>
        <w:t>日换发了《成品油零售经营批准证书》，证书编号：鲁油零售证书第37090</w:t>
      </w:r>
      <w:r>
        <w:rPr>
          <w:rFonts w:hint="eastAsia" w:ascii="宋体" w:hAnsi="宋体" w:eastAsia="宋体" w:cs="宋体"/>
          <w:snapToGrid w:val="0"/>
          <w:color w:val="auto"/>
          <w:spacing w:val="0"/>
          <w:kern w:val="0"/>
          <w:sz w:val="28"/>
          <w:highlight w:val="none"/>
          <w:lang w:val="en-US" w:eastAsia="zh-CN"/>
        </w:rPr>
        <w:t>01020</w:t>
      </w:r>
      <w:r>
        <w:rPr>
          <w:rFonts w:hint="eastAsia" w:ascii="宋体" w:hAnsi="宋体" w:eastAsia="宋体" w:cs="宋体"/>
          <w:snapToGrid w:val="0"/>
          <w:color w:val="auto"/>
          <w:spacing w:val="0"/>
          <w:kern w:val="0"/>
          <w:sz w:val="28"/>
          <w:highlight w:val="none"/>
        </w:rPr>
        <w:t>号，证书有效期至2026年</w:t>
      </w:r>
      <w:r>
        <w:rPr>
          <w:rFonts w:hint="eastAsia" w:ascii="宋体" w:hAnsi="宋体" w:eastAsia="宋体" w:cs="宋体"/>
          <w:snapToGrid w:val="0"/>
          <w:color w:val="auto"/>
          <w:spacing w:val="0"/>
          <w:kern w:val="0"/>
          <w:sz w:val="28"/>
          <w:highlight w:val="none"/>
          <w:lang w:val="en-US" w:eastAsia="zh-CN"/>
        </w:rPr>
        <w:t>12</w:t>
      </w:r>
      <w:r>
        <w:rPr>
          <w:rFonts w:hint="eastAsia" w:ascii="宋体" w:hAnsi="宋体" w:eastAsia="宋体" w:cs="宋体"/>
          <w:snapToGrid w:val="0"/>
          <w:color w:val="auto"/>
          <w:spacing w:val="0"/>
          <w:kern w:val="0"/>
          <w:sz w:val="28"/>
          <w:highlight w:val="none"/>
        </w:rPr>
        <w:t>月</w:t>
      </w:r>
      <w:r>
        <w:rPr>
          <w:rFonts w:hint="eastAsia" w:ascii="宋体" w:hAnsi="宋体" w:eastAsia="宋体" w:cs="宋体"/>
          <w:snapToGrid w:val="0"/>
          <w:color w:val="auto"/>
          <w:spacing w:val="0"/>
          <w:kern w:val="0"/>
          <w:sz w:val="28"/>
          <w:highlight w:val="none"/>
          <w:lang w:val="en-US" w:eastAsia="zh-CN"/>
        </w:rPr>
        <w:t>10</w:t>
      </w:r>
      <w:r>
        <w:rPr>
          <w:rFonts w:hint="eastAsia" w:ascii="宋体" w:hAnsi="宋体" w:eastAsia="宋体" w:cs="宋体"/>
          <w:snapToGrid w:val="0"/>
          <w:color w:val="auto"/>
          <w:spacing w:val="0"/>
          <w:kern w:val="0"/>
          <w:sz w:val="28"/>
          <w:highlight w:val="none"/>
        </w:rPr>
        <w:t>日，证书</w:t>
      </w:r>
      <w:r>
        <w:rPr>
          <w:rFonts w:hint="eastAsia" w:ascii="宋体" w:hAnsi="宋体" w:eastAsia="宋体" w:cs="宋体"/>
          <w:snapToGrid w:val="0"/>
          <w:color w:val="auto"/>
          <w:spacing w:val="0"/>
          <w:kern w:val="0"/>
          <w:sz w:val="28"/>
          <w:highlight w:val="none"/>
          <w:lang w:val="en-US" w:eastAsia="zh-CN"/>
        </w:rPr>
        <w:t>详</w:t>
      </w:r>
      <w:r>
        <w:rPr>
          <w:rFonts w:hint="eastAsia" w:ascii="宋体" w:hAnsi="宋体" w:eastAsia="宋体" w:cs="宋体"/>
          <w:snapToGrid w:val="0"/>
          <w:color w:val="auto"/>
          <w:spacing w:val="0"/>
          <w:kern w:val="0"/>
          <w:sz w:val="28"/>
          <w:highlight w:val="none"/>
        </w:rPr>
        <w:t>见附件。</w:t>
      </w:r>
    </w:p>
    <w:p w14:paraId="76B28B8C">
      <w:pPr>
        <w:adjustRightInd w:val="0"/>
        <w:snapToGrid w:val="0"/>
        <w:spacing w:line="360" w:lineRule="auto"/>
        <w:ind w:firstLine="560" w:firstLineChars="200"/>
        <w:rPr>
          <w:rFonts w:hint="eastAsia" w:ascii="宋体" w:hAnsi="宋体" w:eastAsia="宋体" w:cs="宋体"/>
          <w:snapToGrid w:val="0"/>
          <w:color w:val="auto"/>
          <w:spacing w:val="0"/>
          <w:kern w:val="0"/>
          <w:sz w:val="28"/>
          <w:highlight w:val="none"/>
        </w:rPr>
      </w:pPr>
      <w:r>
        <w:rPr>
          <w:rFonts w:hint="eastAsia" w:ascii="宋体" w:hAnsi="宋体" w:eastAsia="宋体" w:cs="宋体"/>
          <w:snapToGrid w:val="0"/>
          <w:color w:val="auto"/>
          <w:spacing w:val="0"/>
          <w:kern w:val="0"/>
          <w:sz w:val="28"/>
          <w:highlight w:val="none"/>
        </w:rPr>
        <w:t>加油站于202</w:t>
      </w:r>
      <w:r>
        <w:rPr>
          <w:rFonts w:hint="eastAsia" w:ascii="宋体" w:hAnsi="宋体" w:eastAsia="宋体" w:cs="宋体"/>
          <w:snapToGrid w:val="0"/>
          <w:color w:val="auto"/>
          <w:spacing w:val="0"/>
          <w:kern w:val="0"/>
          <w:sz w:val="28"/>
          <w:highlight w:val="none"/>
          <w:lang w:val="en-US" w:eastAsia="zh-CN"/>
        </w:rPr>
        <w:t>5</w:t>
      </w:r>
      <w:r>
        <w:rPr>
          <w:rFonts w:hint="eastAsia" w:ascii="宋体" w:hAnsi="宋体" w:eastAsia="宋体" w:cs="宋体"/>
          <w:snapToGrid w:val="0"/>
          <w:color w:val="auto"/>
          <w:spacing w:val="0"/>
          <w:kern w:val="0"/>
          <w:sz w:val="28"/>
          <w:highlight w:val="none"/>
        </w:rPr>
        <w:t>年</w:t>
      </w:r>
      <w:r>
        <w:rPr>
          <w:rFonts w:hint="eastAsia" w:ascii="宋体" w:hAnsi="宋体" w:eastAsia="宋体" w:cs="宋体"/>
          <w:snapToGrid w:val="0"/>
          <w:color w:val="auto"/>
          <w:spacing w:val="0"/>
          <w:kern w:val="0"/>
          <w:sz w:val="28"/>
          <w:highlight w:val="none"/>
          <w:lang w:val="en-US" w:eastAsia="zh-CN"/>
        </w:rPr>
        <w:t>12</w:t>
      </w:r>
      <w:r>
        <w:rPr>
          <w:rFonts w:hint="eastAsia" w:ascii="宋体" w:hAnsi="宋体" w:eastAsia="宋体" w:cs="宋体"/>
          <w:snapToGrid w:val="0"/>
          <w:color w:val="auto"/>
          <w:spacing w:val="0"/>
          <w:kern w:val="0"/>
          <w:sz w:val="28"/>
          <w:highlight w:val="none"/>
        </w:rPr>
        <w:t>月</w:t>
      </w:r>
      <w:r>
        <w:rPr>
          <w:rFonts w:hint="eastAsia" w:ascii="宋体" w:hAnsi="宋体" w:eastAsia="宋体" w:cs="宋体"/>
          <w:snapToGrid w:val="0"/>
          <w:color w:val="auto"/>
          <w:spacing w:val="0"/>
          <w:kern w:val="0"/>
          <w:sz w:val="28"/>
          <w:highlight w:val="none"/>
          <w:lang w:val="en-US" w:eastAsia="zh-CN"/>
        </w:rPr>
        <w:t>17</w:t>
      </w:r>
      <w:r>
        <w:rPr>
          <w:rFonts w:hint="eastAsia" w:ascii="宋体" w:hAnsi="宋体" w:eastAsia="宋体" w:cs="宋体"/>
          <w:snapToGrid w:val="0"/>
          <w:color w:val="auto"/>
          <w:spacing w:val="0"/>
          <w:kern w:val="0"/>
          <w:sz w:val="28"/>
          <w:highlight w:val="none"/>
        </w:rPr>
        <w:t>日换发了《危险化学品经营许可证》，证书编号：</w:t>
      </w:r>
      <w:r>
        <w:rPr>
          <w:rFonts w:hint="eastAsia" w:ascii="宋体" w:hAnsi="宋体" w:eastAsia="宋体" w:cs="宋体"/>
          <w:snapToGrid w:val="0"/>
          <w:color w:val="auto"/>
          <w:spacing w:val="0"/>
          <w:kern w:val="0"/>
          <w:sz w:val="28"/>
          <w:highlight w:val="none"/>
          <w:lang w:val="en-US" w:eastAsia="zh-CN"/>
        </w:rPr>
        <w:t>37090013202500224</w:t>
      </w:r>
      <w:r>
        <w:rPr>
          <w:rFonts w:hint="eastAsia" w:ascii="宋体" w:hAnsi="宋体" w:eastAsia="宋体" w:cs="宋体"/>
          <w:snapToGrid w:val="0"/>
          <w:color w:val="auto"/>
          <w:spacing w:val="0"/>
          <w:kern w:val="0"/>
          <w:sz w:val="28"/>
          <w:highlight w:val="none"/>
        </w:rPr>
        <w:t>，证书有效期至202</w:t>
      </w:r>
      <w:r>
        <w:rPr>
          <w:rFonts w:hint="eastAsia" w:ascii="宋体" w:hAnsi="宋体" w:eastAsia="宋体" w:cs="宋体"/>
          <w:snapToGrid w:val="0"/>
          <w:color w:val="auto"/>
          <w:spacing w:val="0"/>
          <w:kern w:val="0"/>
          <w:sz w:val="28"/>
          <w:highlight w:val="none"/>
          <w:lang w:val="en-US" w:eastAsia="zh-CN"/>
        </w:rPr>
        <w:t>9</w:t>
      </w:r>
      <w:r>
        <w:rPr>
          <w:rFonts w:hint="eastAsia" w:ascii="宋体" w:hAnsi="宋体" w:eastAsia="宋体" w:cs="宋体"/>
          <w:snapToGrid w:val="0"/>
          <w:color w:val="auto"/>
          <w:spacing w:val="0"/>
          <w:kern w:val="0"/>
          <w:sz w:val="28"/>
          <w:highlight w:val="none"/>
        </w:rPr>
        <w:t>年</w:t>
      </w:r>
      <w:r>
        <w:rPr>
          <w:rFonts w:hint="eastAsia" w:ascii="宋体" w:hAnsi="宋体" w:eastAsia="宋体" w:cs="宋体"/>
          <w:snapToGrid w:val="0"/>
          <w:color w:val="auto"/>
          <w:spacing w:val="0"/>
          <w:kern w:val="0"/>
          <w:sz w:val="28"/>
          <w:highlight w:val="none"/>
          <w:lang w:val="en-US" w:eastAsia="zh-CN"/>
        </w:rPr>
        <w:t>1</w:t>
      </w:r>
      <w:r>
        <w:rPr>
          <w:rFonts w:hint="eastAsia" w:ascii="宋体" w:hAnsi="宋体" w:eastAsia="宋体" w:cs="宋体"/>
          <w:snapToGrid w:val="0"/>
          <w:color w:val="auto"/>
          <w:spacing w:val="0"/>
          <w:kern w:val="0"/>
          <w:sz w:val="28"/>
          <w:highlight w:val="none"/>
        </w:rPr>
        <w:t>月</w:t>
      </w:r>
      <w:r>
        <w:rPr>
          <w:rFonts w:hint="eastAsia" w:ascii="宋体" w:hAnsi="宋体" w:eastAsia="宋体" w:cs="宋体"/>
          <w:snapToGrid w:val="0"/>
          <w:color w:val="auto"/>
          <w:spacing w:val="0"/>
          <w:kern w:val="0"/>
          <w:sz w:val="28"/>
          <w:highlight w:val="none"/>
          <w:lang w:val="en-US" w:eastAsia="zh-CN"/>
        </w:rPr>
        <w:t>13</w:t>
      </w:r>
      <w:r>
        <w:rPr>
          <w:rFonts w:hint="eastAsia" w:ascii="宋体" w:hAnsi="宋体" w:eastAsia="宋体" w:cs="宋体"/>
          <w:snapToGrid w:val="0"/>
          <w:color w:val="auto"/>
          <w:spacing w:val="0"/>
          <w:kern w:val="0"/>
          <w:sz w:val="28"/>
          <w:highlight w:val="none"/>
        </w:rPr>
        <w:t>日，证书</w:t>
      </w:r>
      <w:r>
        <w:rPr>
          <w:rFonts w:hint="eastAsia" w:ascii="宋体" w:hAnsi="宋体" w:eastAsia="宋体" w:cs="宋体"/>
          <w:snapToGrid w:val="0"/>
          <w:color w:val="auto"/>
          <w:spacing w:val="0"/>
          <w:kern w:val="0"/>
          <w:sz w:val="28"/>
          <w:highlight w:val="none"/>
          <w:lang w:val="en-US" w:eastAsia="zh-CN"/>
        </w:rPr>
        <w:t>详</w:t>
      </w:r>
      <w:r>
        <w:rPr>
          <w:rFonts w:hint="eastAsia" w:ascii="宋体" w:hAnsi="宋体" w:eastAsia="宋体" w:cs="宋体"/>
          <w:snapToGrid w:val="0"/>
          <w:color w:val="auto"/>
          <w:spacing w:val="0"/>
          <w:kern w:val="0"/>
          <w:sz w:val="28"/>
          <w:highlight w:val="none"/>
        </w:rPr>
        <w:t>见附件。</w:t>
      </w:r>
    </w:p>
    <w:p w14:paraId="7E04D82E">
      <w:pPr>
        <w:adjustRightInd w:val="0"/>
        <w:snapToGrid w:val="0"/>
        <w:spacing w:line="360" w:lineRule="auto"/>
        <w:ind w:firstLine="562" w:firstLineChars="200"/>
        <w:rPr>
          <w:rFonts w:ascii="宋体" w:hAnsi="宋体"/>
          <w:b/>
          <w:bCs/>
          <w:color w:val="auto"/>
          <w:sz w:val="28"/>
          <w:szCs w:val="28"/>
          <w:highlight w:val="none"/>
        </w:rPr>
      </w:pPr>
      <w:r>
        <w:rPr>
          <w:rFonts w:hint="eastAsia" w:ascii="宋体" w:hAnsi="宋体"/>
          <w:b/>
          <w:bCs/>
          <w:color w:val="auto"/>
          <w:sz w:val="28"/>
          <w:szCs w:val="28"/>
          <w:highlight w:val="none"/>
        </w:rPr>
        <w:t>2.2.1.2可燃气体探测器</w:t>
      </w:r>
    </w:p>
    <w:p w14:paraId="09D015B2">
      <w:pPr>
        <w:adjustRightInd w:val="0"/>
        <w:snapToGrid w:val="0"/>
        <w:spacing w:line="360" w:lineRule="auto"/>
        <w:ind w:firstLine="560" w:firstLineChars="200"/>
        <w:rPr>
          <w:rFonts w:hint="eastAsia" w:ascii="宋体" w:hAnsi="宋体" w:eastAsia="宋体" w:cs="宋体"/>
          <w:snapToGrid w:val="0"/>
          <w:color w:val="auto"/>
          <w:spacing w:val="0"/>
          <w:kern w:val="0"/>
          <w:sz w:val="28"/>
          <w:highlight w:val="none"/>
        </w:rPr>
      </w:pPr>
      <w:r>
        <w:rPr>
          <w:rFonts w:hint="eastAsia" w:ascii="宋体" w:hAnsi="宋体" w:eastAsia="宋体" w:cs="宋体"/>
          <w:snapToGrid w:val="0"/>
          <w:color w:val="auto"/>
          <w:spacing w:val="0"/>
          <w:kern w:val="0"/>
          <w:sz w:val="28"/>
          <w:highlight w:val="none"/>
        </w:rPr>
        <w:t>该站</w:t>
      </w:r>
      <w:r>
        <w:rPr>
          <w:rFonts w:hint="eastAsia" w:ascii="宋体" w:hAnsi="宋体" w:eastAsia="宋体" w:cs="宋体"/>
          <w:snapToGrid w:val="0"/>
          <w:color w:val="auto"/>
          <w:spacing w:val="0"/>
          <w:kern w:val="0"/>
          <w:sz w:val="28"/>
          <w:highlight w:val="none"/>
          <w:lang w:val="en-US" w:eastAsia="zh-CN"/>
        </w:rPr>
        <w:t>利旧3</w:t>
      </w:r>
      <w:r>
        <w:rPr>
          <w:rFonts w:hint="eastAsia" w:ascii="宋体" w:hAnsi="宋体" w:eastAsia="宋体" w:cs="宋体"/>
          <w:snapToGrid w:val="0"/>
          <w:color w:val="auto"/>
          <w:spacing w:val="0"/>
          <w:kern w:val="0"/>
          <w:sz w:val="28"/>
          <w:highlight w:val="none"/>
        </w:rPr>
        <w:t>套点型可燃气体探测器。202</w:t>
      </w:r>
      <w:r>
        <w:rPr>
          <w:rFonts w:hint="eastAsia" w:ascii="宋体" w:hAnsi="宋体" w:eastAsia="宋体" w:cs="宋体"/>
          <w:snapToGrid w:val="0"/>
          <w:color w:val="auto"/>
          <w:spacing w:val="0"/>
          <w:kern w:val="0"/>
          <w:sz w:val="28"/>
          <w:highlight w:val="none"/>
          <w:lang w:val="en-US" w:eastAsia="zh-CN"/>
        </w:rPr>
        <w:t>6</w:t>
      </w:r>
      <w:r>
        <w:rPr>
          <w:rFonts w:hint="eastAsia" w:ascii="宋体" w:hAnsi="宋体" w:eastAsia="宋体" w:cs="宋体"/>
          <w:snapToGrid w:val="0"/>
          <w:color w:val="auto"/>
          <w:spacing w:val="0"/>
          <w:kern w:val="0"/>
          <w:sz w:val="28"/>
          <w:highlight w:val="none"/>
        </w:rPr>
        <w:t>年</w:t>
      </w:r>
      <w:r>
        <w:rPr>
          <w:rFonts w:hint="eastAsia" w:ascii="宋体" w:hAnsi="宋体" w:eastAsia="宋体" w:cs="宋体"/>
          <w:snapToGrid w:val="0"/>
          <w:color w:val="auto"/>
          <w:spacing w:val="0"/>
          <w:kern w:val="0"/>
          <w:sz w:val="28"/>
          <w:highlight w:val="none"/>
          <w:lang w:val="en-US" w:eastAsia="zh-CN"/>
        </w:rPr>
        <w:t>05</w:t>
      </w:r>
      <w:r>
        <w:rPr>
          <w:rFonts w:hint="eastAsia" w:ascii="宋体" w:hAnsi="宋体" w:eastAsia="宋体" w:cs="宋体"/>
          <w:snapToGrid w:val="0"/>
          <w:color w:val="auto"/>
          <w:spacing w:val="0"/>
          <w:kern w:val="0"/>
          <w:sz w:val="28"/>
          <w:highlight w:val="none"/>
        </w:rPr>
        <w:t>月</w:t>
      </w:r>
      <w:r>
        <w:rPr>
          <w:rFonts w:hint="eastAsia" w:ascii="宋体" w:hAnsi="宋体" w:eastAsia="宋体" w:cs="宋体"/>
          <w:snapToGrid w:val="0"/>
          <w:color w:val="auto"/>
          <w:spacing w:val="0"/>
          <w:kern w:val="0"/>
          <w:sz w:val="28"/>
          <w:highlight w:val="none"/>
          <w:lang w:val="en-US" w:eastAsia="zh-CN"/>
        </w:rPr>
        <w:t>16日</w:t>
      </w:r>
      <w:r>
        <w:rPr>
          <w:rFonts w:hint="eastAsia" w:ascii="宋体" w:hAnsi="宋体" w:eastAsia="宋体" w:cs="宋体"/>
          <w:snapToGrid w:val="0"/>
          <w:color w:val="auto"/>
          <w:spacing w:val="0"/>
          <w:kern w:val="0"/>
          <w:sz w:val="28"/>
          <w:highlight w:val="none"/>
          <w:lang w:eastAsia="zh-CN"/>
        </w:rPr>
        <w:t>山东双尧测控科技有限公司</w:t>
      </w:r>
      <w:r>
        <w:rPr>
          <w:rFonts w:hint="eastAsia" w:ascii="宋体" w:hAnsi="宋体" w:eastAsia="宋体" w:cs="宋体"/>
          <w:snapToGrid w:val="0"/>
          <w:color w:val="auto"/>
          <w:spacing w:val="0"/>
          <w:kern w:val="0"/>
          <w:sz w:val="28"/>
          <w:highlight w:val="none"/>
        </w:rPr>
        <w:t>对该站可燃气体探测器出具了</w:t>
      </w:r>
      <w:r>
        <w:rPr>
          <w:rFonts w:hint="eastAsia" w:ascii="宋体" w:hAnsi="宋体" w:eastAsia="宋体" w:cs="宋体"/>
          <w:snapToGrid w:val="0"/>
          <w:color w:val="auto"/>
          <w:spacing w:val="0"/>
          <w:kern w:val="0"/>
          <w:sz w:val="28"/>
          <w:highlight w:val="none"/>
          <w:lang w:val="en-US" w:eastAsia="zh-CN"/>
        </w:rPr>
        <w:t>校准证书</w:t>
      </w:r>
      <w:r>
        <w:rPr>
          <w:rFonts w:hint="eastAsia" w:ascii="宋体" w:hAnsi="宋体" w:eastAsia="宋体" w:cs="宋体"/>
          <w:snapToGrid w:val="0"/>
          <w:color w:val="auto"/>
          <w:spacing w:val="0"/>
          <w:kern w:val="0"/>
          <w:sz w:val="28"/>
          <w:highlight w:val="none"/>
        </w:rPr>
        <w:t>，有效期</w:t>
      </w:r>
      <w:r>
        <w:rPr>
          <w:rFonts w:hint="eastAsia" w:ascii="宋体" w:hAnsi="宋体" w:eastAsia="宋体" w:cs="宋体"/>
          <w:snapToGrid w:val="0"/>
          <w:color w:val="auto"/>
          <w:spacing w:val="0"/>
          <w:kern w:val="0"/>
          <w:sz w:val="28"/>
          <w:highlight w:val="none"/>
          <w:lang w:val="en-US" w:eastAsia="zh-CN"/>
        </w:rPr>
        <w:t>12个月</w:t>
      </w:r>
      <w:r>
        <w:rPr>
          <w:rFonts w:hint="eastAsia" w:ascii="宋体" w:hAnsi="宋体" w:eastAsia="宋体" w:cs="宋体"/>
          <w:snapToGrid w:val="0"/>
          <w:color w:val="auto"/>
          <w:spacing w:val="0"/>
          <w:kern w:val="0"/>
          <w:sz w:val="28"/>
          <w:highlight w:val="none"/>
        </w:rPr>
        <w:t>，详见附件。</w:t>
      </w:r>
    </w:p>
    <w:p w14:paraId="097027CE">
      <w:pPr>
        <w:adjustRightInd w:val="0"/>
        <w:snapToGrid w:val="0"/>
        <w:spacing w:line="360" w:lineRule="auto"/>
        <w:ind w:firstLine="562" w:firstLineChars="200"/>
        <w:rPr>
          <w:rFonts w:ascii="宋体" w:hAnsi="宋体"/>
          <w:b/>
          <w:bCs/>
          <w:color w:val="auto"/>
          <w:sz w:val="28"/>
          <w:szCs w:val="28"/>
          <w:highlight w:val="none"/>
        </w:rPr>
      </w:pPr>
      <w:r>
        <w:rPr>
          <w:rFonts w:hint="eastAsia" w:ascii="宋体" w:hAnsi="宋体"/>
          <w:b/>
          <w:bCs/>
          <w:color w:val="auto"/>
          <w:sz w:val="28"/>
          <w:szCs w:val="28"/>
          <w:highlight w:val="none"/>
        </w:rPr>
        <w:t>2.2.1.3防雷检测</w:t>
      </w:r>
    </w:p>
    <w:p w14:paraId="678DC430">
      <w:pPr>
        <w:adjustRightInd w:val="0"/>
        <w:snapToGrid w:val="0"/>
        <w:spacing w:line="360" w:lineRule="auto"/>
        <w:ind w:firstLine="560" w:firstLineChars="200"/>
        <w:rPr>
          <w:rFonts w:hint="default" w:ascii="宋体" w:hAnsi="宋体" w:eastAsia="宋体" w:cs="Times New Roman"/>
          <w:snapToGrid w:val="0"/>
          <w:color w:val="auto"/>
          <w:spacing w:val="0"/>
          <w:kern w:val="0"/>
          <w:sz w:val="28"/>
          <w:highlight w:val="none"/>
          <w:lang w:val="en-US" w:eastAsia="zh-CN"/>
        </w:rPr>
      </w:pPr>
      <w:r>
        <w:rPr>
          <w:rFonts w:hint="eastAsia" w:ascii="宋体" w:hAnsi="宋体" w:eastAsia="宋体" w:cs="Times New Roman"/>
          <w:snapToGrid w:val="0"/>
          <w:color w:val="auto"/>
          <w:spacing w:val="0"/>
          <w:kern w:val="0"/>
          <w:sz w:val="28"/>
          <w:highlight w:val="none"/>
          <w:lang w:eastAsia="zh-CN"/>
        </w:rPr>
        <w:t>202</w:t>
      </w:r>
      <w:r>
        <w:rPr>
          <w:rFonts w:hint="eastAsia" w:ascii="宋体" w:hAnsi="宋体" w:eastAsia="宋体" w:cs="Times New Roman"/>
          <w:snapToGrid w:val="0"/>
          <w:color w:val="auto"/>
          <w:spacing w:val="0"/>
          <w:kern w:val="0"/>
          <w:sz w:val="28"/>
          <w:highlight w:val="none"/>
          <w:lang w:val="en-US" w:eastAsia="zh-CN"/>
        </w:rPr>
        <w:t>6</w:t>
      </w:r>
      <w:r>
        <w:rPr>
          <w:rFonts w:hint="eastAsia" w:ascii="宋体" w:hAnsi="宋体" w:eastAsia="宋体" w:cs="Times New Roman"/>
          <w:snapToGrid w:val="0"/>
          <w:color w:val="auto"/>
          <w:spacing w:val="0"/>
          <w:kern w:val="0"/>
          <w:sz w:val="28"/>
          <w:highlight w:val="none"/>
          <w:lang w:eastAsia="zh-CN"/>
        </w:rPr>
        <w:t>年</w:t>
      </w:r>
      <w:r>
        <w:rPr>
          <w:rFonts w:hint="eastAsia" w:ascii="宋体" w:hAnsi="宋体" w:eastAsia="宋体" w:cs="Times New Roman"/>
          <w:snapToGrid w:val="0"/>
          <w:color w:val="auto"/>
          <w:spacing w:val="0"/>
          <w:kern w:val="0"/>
          <w:sz w:val="28"/>
          <w:highlight w:val="none"/>
          <w:lang w:val="en-US" w:eastAsia="zh-CN"/>
        </w:rPr>
        <w:t xml:space="preserve"> 05</w:t>
      </w:r>
      <w:r>
        <w:rPr>
          <w:rFonts w:hint="eastAsia" w:ascii="宋体" w:hAnsi="宋体" w:eastAsia="宋体" w:cs="Times New Roman"/>
          <w:snapToGrid w:val="0"/>
          <w:color w:val="auto"/>
          <w:spacing w:val="0"/>
          <w:kern w:val="0"/>
          <w:sz w:val="28"/>
          <w:highlight w:val="none"/>
          <w:lang w:eastAsia="zh-CN"/>
        </w:rPr>
        <w:t>月</w:t>
      </w:r>
      <w:r>
        <w:rPr>
          <w:rFonts w:hint="eastAsia" w:ascii="宋体" w:hAnsi="宋体" w:eastAsia="宋体" w:cs="Times New Roman"/>
          <w:snapToGrid w:val="0"/>
          <w:color w:val="auto"/>
          <w:spacing w:val="0"/>
          <w:kern w:val="0"/>
          <w:sz w:val="28"/>
          <w:highlight w:val="none"/>
          <w:lang w:val="en-US" w:eastAsia="zh-CN"/>
        </w:rPr>
        <w:t>28</w:t>
      </w:r>
      <w:r>
        <w:rPr>
          <w:rFonts w:hint="eastAsia" w:ascii="宋体" w:hAnsi="宋体" w:eastAsia="宋体" w:cs="Times New Roman"/>
          <w:snapToGrid w:val="0"/>
          <w:color w:val="auto"/>
          <w:spacing w:val="0"/>
          <w:kern w:val="0"/>
          <w:sz w:val="28"/>
          <w:highlight w:val="none"/>
          <w:lang w:eastAsia="zh-CN"/>
        </w:rPr>
        <w:t>日，山东</w:t>
      </w:r>
      <w:r>
        <w:rPr>
          <w:rFonts w:hint="eastAsia" w:ascii="宋体" w:hAnsi="宋体" w:eastAsia="宋体" w:cs="Times New Roman"/>
          <w:snapToGrid w:val="0"/>
          <w:color w:val="auto"/>
          <w:spacing w:val="0"/>
          <w:kern w:val="0"/>
          <w:sz w:val="28"/>
          <w:highlight w:val="none"/>
          <w:lang w:val="en-US" w:eastAsia="zh-CN"/>
        </w:rPr>
        <w:t>天科防雷工程</w:t>
      </w:r>
      <w:r>
        <w:rPr>
          <w:rFonts w:hint="eastAsia" w:ascii="宋体" w:hAnsi="宋体" w:eastAsia="宋体" w:cs="Times New Roman"/>
          <w:snapToGrid w:val="0"/>
          <w:color w:val="auto"/>
          <w:spacing w:val="0"/>
          <w:kern w:val="0"/>
          <w:sz w:val="28"/>
          <w:highlight w:val="none"/>
          <w:lang w:eastAsia="zh-CN"/>
        </w:rPr>
        <w:t>有限公司对该站的防雷装置进行了检测，出具了《雷电防护装置</w:t>
      </w:r>
      <w:r>
        <w:rPr>
          <w:rFonts w:hint="eastAsia" w:ascii="宋体" w:hAnsi="宋体" w:eastAsia="宋体" w:cs="Times New Roman"/>
          <w:snapToGrid w:val="0"/>
          <w:color w:val="auto"/>
          <w:spacing w:val="0"/>
          <w:kern w:val="0"/>
          <w:sz w:val="28"/>
          <w:highlight w:val="none"/>
          <w:lang w:val="en-US" w:eastAsia="zh-CN"/>
        </w:rPr>
        <w:t>定期</w:t>
      </w:r>
      <w:r>
        <w:rPr>
          <w:rFonts w:hint="eastAsia" w:ascii="宋体" w:hAnsi="宋体" w:eastAsia="宋体" w:cs="Times New Roman"/>
          <w:snapToGrid w:val="0"/>
          <w:color w:val="auto"/>
          <w:spacing w:val="0"/>
          <w:kern w:val="0"/>
          <w:sz w:val="28"/>
          <w:highlight w:val="none"/>
          <w:lang w:eastAsia="zh-CN"/>
        </w:rPr>
        <w:t>检测报告》，报告编号：</w:t>
      </w:r>
      <w:r>
        <w:rPr>
          <w:rFonts w:hint="eastAsia" w:ascii="宋体" w:hAnsi="宋体" w:eastAsia="宋体" w:cs="Times New Roman"/>
          <w:snapToGrid w:val="0"/>
          <w:color w:val="auto"/>
          <w:spacing w:val="0"/>
          <w:kern w:val="0"/>
          <w:sz w:val="28"/>
          <w:highlight w:val="none"/>
          <w:lang w:val="en-US" w:eastAsia="zh-CN"/>
        </w:rPr>
        <w:t>(1122016001)[2026]D-TA0219</w:t>
      </w:r>
      <w:r>
        <w:rPr>
          <w:rFonts w:hint="eastAsia" w:ascii="宋体" w:hAnsi="宋体" w:eastAsia="宋体" w:cs="Times New Roman"/>
          <w:snapToGrid w:val="0"/>
          <w:color w:val="auto"/>
          <w:spacing w:val="0"/>
          <w:kern w:val="0"/>
          <w:sz w:val="28"/>
          <w:highlight w:val="none"/>
          <w:lang w:eastAsia="zh-CN"/>
        </w:rPr>
        <w:t>，检测结论：合格：</w:t>
      </w:r>
      <w:r>
        <w:rPr>
          <w:rFonts w:hint="eastAsia" w:ascii="宋体" w:hAnsi="宋体" w:eastAsia="宋体" w:cs="Times New Roman"/>
          <w:snapToGrid w:val="0"/>
          <w:color w:val="auto"/>
          <w:spacing w:val="0"/>
          <w:kern w:val="0"/>
          <w:sz w:val="28"/>
          <w:highlight w:val="none"/>
          <w:lang w:val="en-US" w:eastAsia="zh-CN"/>
        </w:rPr>
        <w:t>加油站</w:t>
      </w:r>
      <w:r>
        <w:rPr>
          <w:rFonts w:hint="eastAsia" w:ascii="宋体" w:hAnsi="宋体" w:eastAsia="宋体" w:cs="Times New Roman"/>
          <w:snapToGrid w:val="0"/>
          <w:color w:val="auto"/>
          <w:spacing w:val="0"/>
          <w:kern w:val="0"/>
          <w:sz w:val="28"/>
          <w:highlight w:val="none"/>
          <w:lang w:eastAsia="zh-CN"/>
        </w:rPr>
        <w:t>雷电防护装置符合现行国家防雷规范标准要求。有效期至202</w:t>
      </w:r>
      <w:r>
        <w:rPr>
          <w:rFonts w:hint="eastAsia" w:ascii="宋体" w:hAnsi="宋体" w:eastAsia="宋体" w:cs="Times New Roman"/>
          <w:snapToGrid w:val="0"/>
          <w:color w:val="auto"/>
          <w:spacing w:val="0"/>
          <w:kern w:val="0"/>
          <w:sz w:val="28"/>
          <w:highlight w:val="none"/>
          <w:lang w:val="en-US" w:eastAsia="zh-CN"/>
        </w:rPr>
        <w:t>6</w:t>
      </w:r>
      <w:r>
        <w:rPr>
          <w:rFonts w:hint="eastAsia" w:ascii="宋体" w:hAnsi="宋体" w:eastAsia="宋体" w:cs="Times New Roman"/>
          <w:snapToGrid w:val="0"/>
          <w:color w:val="auto"/>
          <w:spacing w:val="0"/>
          <w:kern w:val="0"/>
          <w:sz w:val="28"/>
          <w:highlight w:val="none"/>
          <w:lang w:eastAsia="zh-CN"/>
        </w:rPr>
        <w:t>年</w:t>
      </w:r>
      <w:r>
        <w:rPr>
          <w:rFonts w:hint="eastAsia" w:ascii="宋体" w:hAnsi="宋体" w:eastAsia="宋体" w:cs="Times New Roman"/>
          <w:snapToGrid w:val="0"/>
          <w:color w:val="auto"/>
          <w:spacing w:val="0"/>
          <w:kern w:val="0"/>
          <w:sz w:val="28"/>
          <w:highlight w:val="none"/>
          <w:lang w:val="en-US" w:eastAsia="zh-CN"/>
        </w:rPr>
        <w:t>11</w:t>
      </w:r>
      <w:r>
        <w:rPr>
          <w:rFonts w:hint="eastAsia" w:ascii="宋体" w:hAnsi="宋体" w:eastAsia="宋体" w:cs="Times New Roman"/>
          <w:snapToGrid w:val="0"/>
          <w:color w:val="auto"/>
          <w:spacing w:val="0"/>
          <w:kern w:val="0"/>
          <w:sz w:val="28"/>
          <w:highlight w:val="none"/>
          <w:lang w:eastAsia="zh-CN"/>
        </w:rPr>
        <w:t>月</w:t>
      </w:r>
      <w:r>
        <w:rPr>
          <w:rFonts w:hint="eastAsia" w:ascii="宋体" w:hAnsi="宋体" w:eastAsia="宋体" w:cs="Times New Roman"/>
          <w:snapToGrid w:val="0"/>
          <w:color w:val="auto"/>
          <w:spacing w:val="0"/>
          <w:kern w:val="0"/>
          <w:sz w:val="28"/>
          <w:highlight w:val="none"/>
          <w:lang w:val="en-US" w:eastAsia="zh-CN"/>
        </w:rPr>
        <w:t>27</w:t>
      </w:r>
      <w:r>
        <w:rPr>
          <w:rFonts w:hint="eastAsia" w:ascii="宋体" w:hAnsi="宋体" w:eastAsia="宋体" w:cs="Times New Roman"/>
          <w:snapToGrid w:val="0"/>
          <w:color w:val="auto"/>
          <w:spacing w:val="0"/>
          <w:kern w:val="0"/>
          <w:sz w:val="28"/>
          <w:highlight w:val="none"/>
          <w:lang w:eastAsia="zh-CN"/>
        </w:rPr>
        <w:t>日，</w:t>
      </w:r>
      <w:r>
        <w:rPr>
          <w:rFonts w:hint="eastAsia" w:ascii="宋体" w:hAnsi="宋体" w:eastAsia="宋体" w:cs="Times New Roman"/>
          <w:snapToGrid w:val="0"/>
          <w:color w:val="auto"/>
          <w:spacing w:val="0"/>
          <w:kern w:val="0"/>
          <w:sz w:val="28"/>
          <w:highlight w:val="none"/>
          <w:lang w:val="en-US" w:eastAsia="zh-CN"/>
        </w:rPr>
        <w:t>详见报告附件。</w:t>
      </w:r>
    </w:p>
    <w:p w14:paraId="74903ACA">
      <w:pPr>
        <w:adjustRightInd w:val="0"/>
        <w:snapToGrid w:val="0"/>
        <w:spacing w:line="360" w:lineRule="auto"/>
        <w:ind w:firstLine="562" w:firstLineChars="200"/>
        <w:rPr>
          <w:rFonts w:ascii="宋体" w:hAnsi="宋体"/>
          <w:b/>
          <w:bCs/>
          <w:color w:val="auto"/>
          <w:sz w:val="28"/>
          <w:szCs w:val="28"/>
          <w:highlight w:val="none"/>
        </w:rPr>
      </w:pPr>
      <w:r>
        <w:rPr>
          <w:rFonts w:hint="eastAsia" w:ascii="宋体" w:hAnsi="宋体"/>
          <w:b/>
          <w:bCs/>
          <w:color w:val="auto"/>
          <w:sz w:val="28"/>
          <w:szCs w:val="28"/>
          <w:highlight w:val="none"/>
        </w:rPr>
        <w:t>2.2.1.4</w:t>
      </w:r>
      <w:r>
        <w:rPr>
          <w:rFonts w:ascii="宋体" w:hAnsi="宋体"/>
          <w:b/>
          <w:bCs/>
          <w:color w:val="auto"/>
          <w:sz w:val="28"/>
          <w:szCs w:val="28"/>
          <w:highlight w:val="none"/>
        </w:rPr>
        <w:t>工程消防</w:t>
      </w:r>
      <w:r>
        <w:rPr>
          <w:rFonts w:hint="eastAsia" w:ascii="宋体" w:hAnsi="宋体"/>
          <w:b/>
          <w:bCs/>
          <w:color w:val="auto"/>
          <w:sz w:val="28"/>
          <w:szCs w:val="28"/>
          <w:highlight w:val="none"/>
        </w:rPr>
        <w:t>验收</w:t>
      </w:r>
    </w:p>
    <w:p w14:paraId="7408D5F5">
      <w:pPr>
        <w:adjustRightInd w:val="0"/>
        <w:snapToGrid w:val="0"/>
        <w:spacing w:line="360" w:lineRule="auto"/>
        <w:ind w:firstLine="560" w:firstLineChars="200"/>
        <w:rPr>
          <w:rFonts w:hint="eastAsia" w:ascii="宋体" w:hAnsi="宋体" w:eastAsia="宋体" w:cs="Times New Roman"/>
          <w:snapToGrid w:val="0"/>
          <w:color w:val="auto"/>
          <w:spacing w:val="0"/>
          <w:kern w:val="0"/>
          <w:sz w:val="28"/>
          <w:highlight w:val="none"/>
          <w:lang w:eastAsia="zh-CN"/>
        </w:rPr>
      </w:pPr>
      <w:r>
        <w:rPr>
          <w:rFonts w:hint="eastAsia" w:ascii="宋体" w:hAnsi="宋体" w:eastAsia="宋体" w:cs="Times New Roman"/>
          <w:snapToGrid w:val="0"/>
          <w:color w:val="auto"/>
          <w:spacing w:val="0"/>
          <w:kern w:val="0"/>
          <w:sz w:val="28"/>
          <w:highlight w:val="none"/>
          <w:lang w:eastAsia="zh-CN"/>
        </w:rPr>
        <w:t>该加油站站房、</w:t>
      </w:r>
      <w:r>
        <w:rPr>
          <w:rFonts w:hint="eastAsia" w:ascii="宋体" w:hAnsi="宋体" w:eastAsia="宋体" w:cs="Times New Roman"/>
          <w:snapToGrid w:val="0"/>
          <w:color w:val="auto"/>
          <w:spacing w:val="0"/>
          <w:kern w:val="0"/>
          <w:sz w:val="28"/>
          <w:highlight w:val="none"/>
          <w:lang w:val="en-US" w:eastAsia="zh-CN"/>
        </w:rPr>
        <w:t>罩棚</w:t>
      </w:r>
      <w:r>
        <w:rPr>
          <w:rFonts w:hint="eastAsia" w:ascii="宋体" w:hAnsi="宋体" w:eastAsia="宋体" w:cs="Times New Roman"/>
          <w:snapToGrid w:val="0"/>
          <w:color w:val="auto"/>
          <w:spacing w:val="0"/>
          <w:kern w:val="0"/>
          <w:sz w:val="28"/>
          <w:highlight w:val="none"/>
          <w:lang w:eastAsia="zh-CN"/>
        </w:rPr>
        <w:t>依托原有，</w:t>
      </w:r>
      <w:r>
        <w:rPr>
          <w:rFonts w:hint="eastAsia" w:ascii="宋体" w:hAnsi="宋体" w:eastAsia="宋体" w:cs="Times New Roman"/>
          <w:snapToGrid w:val="0"/>
          <w:color w:val="auto"/>
          <w:spacing w:val="0"/>
          <w:kern w:val="0"/>
          <w:sz w:val="28"/>
          <w:highlight w:val="none"/>
          <w:lang w:val="en-US" w:eastAsia="zh-CN"/>
        </w:rPr>
        <w:t>原加油站于</w:t>
      </w:r>
      <w:r>
        <w:rPr>
          <w:rFonts w:hint="eastAsia" w:ascii="宋体"/>
          <w:color w:val="auto"/>
          <w:kern w:val="0"/>
          <w:sz w:val="28"/>
          <w:szCs w:val="20"/>
          <w:highlight w:val="none"/>
        </w:rPr>
        <w:t>2004年12月25日取得了泰安市公安消防分局签发的《建筑工程消防验收意见书》，证书编号：泰公消验第04095号，</w:t>
      </w:r>
      <w:r>
        <w:rPr>
          <w:rFonts w:hint="eastAsia" w:ascii="宋体" w:hAnsi="宋体" w:eastAsia="宋体" w:cs="Times New Roman"/>
          <w:snapToGrid w:val="0"/>
          <w:color w:val="auto"/>
          <w:spacing w:val="0"/>
          <w:kern w:val="0"/>
          <w:sz w:val="28"/>
          <w:highlight w:val="none"/>
          <w:lang w:eastAsia="zh-CN"/>
        </w:rPr>
        <w:t>结论：</w:t>
      </w:r>
      <w:r>
        <w:rPr>
          <w:rFonts w:hint="eastAsia" w:ascii="宋体" w:hAnsi="宋体" w:eastAsia="宋体" w:cs="Times New Roman"/>
          <w:snapToGrid w:val="0"/>
          <w:color w:val="auto"/>
          <w:spacing w:val="0"/>
          <w:kern w:val="0"/>
          <w:sz w:val="28"/>
          <w:highlight w:val="none"/>
          <w:lang w:val="en-US" w:eastAsia="zh-CN"/>
        </w:rPr>
        <w:t>认为合格，可以投入使用。</w:t>
      </w:r>
      <w:r>
        <w:rPr>
          <w:rFonts w:hint="eastAsia" w:ascii="宋体" w:hAnsi="宋体" w:eastAsia="宋体" w:cs="Times New Roman"/>
          <w:snapToGrid w:val="0"/>
          <w:color w:val="auto"/>
          <w:spacing w:val="0"/>
          <w:kern w:val="0"/>
          <w:sz w:val="28"/>
          <w:highlight w:val="none"/>
          <w:lang w:eastAsia="zh-CN"/>
        </w:rPr>
        <w:t>详见附件。</w:t>
      </w:r>
    </w:p>
    <w:p w14:paraId="0710EFC0">
      <w:pPr>
        <w:adjustRightInd w:val="0"/>
        <w:snapToGrid w:val="0"/>
        <w:spacing w:line="360" w:lineRule="auto"/>
        <w:ind w:firstLine="562" w:firstLineChars="200"/>
        <w:rPr>
          <w:rFonts w:ascii="宋体" w:hAnsi="宋体"/>
          <w:b/>
          <w:bCs/>
          <w:color w:val="auto"/>
          <w:sz w:val="28"/>
          <w:szCs w:val="28"/>
          <w:highlight w:val="none"/>
        </w:rPr>
      </w:pPr>
      <w:r>
        <w:rPr>
          <w:rFonts w:hint="eastAsia" w:ascii="宋体" w:hAnsi="宋体"/>
          <w:b/>
          <w:bCs/>
          <w:color w:val="auto"/>
          <w:sz w:val="28"/>
          <w:szCs w:val="28"/>
          <w:highlight w:val="none"/>
        </w:rPr>
        <w:t>2.2.1.5应急预案</w:t>
      </w:r>
    </w:p>
    <w:p w14:paraId="3001FD42">
      <w:pPr>
        <w:adjustRightInd w:val="0"/>
        <w:snapToGrid w:val="0"/>
        <w:spacing w:line="360" w:lineRule="auto"/>
        <w:ind w:firstLine="560" w:firstLineChars="200"/>
        <w:rPr>
          <w:rFonts w:hint="eastAsia" w:ascii="宋体" w:hAnsi="宋体" w:eastAsia="宋体" w:cs="宋体"/>
          <w:snapToGrid w:val="0"/>
          <w:color w:val="auto"/>
          <w:spacing w:val="0"/>
          <w:kern w:val="0"/>
          <w:sz w:val="28"/>
          <w:highlight w:val="none"/>
          <w:lang w:val="en-US" w:eastAsia="zh-CN"/>
        </w:rPr>
      </w:pPr>
      <w:r>
        <w:rPr>
          <w:rFonts w:hint="eastAsia" w:ascii="宋体" w:hAnsi="宋体" w:eastAsia="宋体" w:cs="宋体"/>
          <w:snapToGrid w:val="0"/>
          <w:color w:val="auto"/>
          <w:spacing w:val="0"/>
          <w:kern w:val="0"/>
          <w:sz w:val="28"/>
          <w:highlight w:val="none"/>
        </w:rPr>
        <w:t>该站制定了生产安全事故应急预案，于</w:t>
      </w:r>
      <w:r>
        <w:rPr>
          <w:rFonts w:hint="eastAsia" w:ascii="宋体" w:hAnsi="宋体" w:eastAsia="宋体" w:cs="宋体"/>
          <w:bCs/>
          <w:color w:val="auto"/>
          <w:sz w:val="28"/>
          <w:szCs w:val="20"/>
          <w:highlight w:val="none"/>
        </w:rPr>
        <w:t>202</w:t>
      </w:r>
      <w:r>
        <w:rPr>
          <w:rFonts w:hint="eastAsia" w:ascii="宋体" w:hAnsi="宋体" w:eastAsia="宋体" w:cs="宋体"/>
          <w:bCs/>
          <w:color w:val="auto"/>
          <w:sz w:val="28"/>
          <w:szCs w:val="20"/>
          <w:highlight w:val="none"/>
          <w:lang w:val="en-US" w:eastAsia="zh-CN"/>
        </w:rPr>
        <w:t>4</w:t>
      </w:r>
      <w:r>
        <w:rPr>
          <w:rFonts w:hint="eastAsia" w:ascii="宋体" w:hAnsi="宋体" w:eastAsia="宋体" w:cs="宋体"/>
          <w:bCs/>
          <w:color w:val="auto"/>
          <w:sz w:val="28"/>
          <w:szCs w:val="20"/>
          <w:highlight w:val="none"/>
        </w:rPr>
        <w:t>年</w:t>
      </w:r>
      <w:r>
        <w:rPr>
          <w:rFonts w:hint="eastAsia" w:ascii="宋体" w:hAnsi="宋体" w:eastAsia="宋体" w:cs="宋体"/>
          <w:bCs/>
          <w:color w:val="auto"/>
          <w:sz w:val="28"/>
          <w:szCs w:val="20"/>
          <w:highlight w:val="none"/>
          <w:lang w:val="en-US" w:eastAsia="zh-CN"/>
        </w:rPr>
        <w:t>10</w:t>
      </w:r>
      <w:r>
        <w:rPr>
          <w:rFonts w:hint="eastAsia" w:ascii="宋体" w:hAnsi="宋体" w:eastAsia="宋体" w:cs="宋体"/>
          <w:bCs/>
          <w:color w:val="auto"/>
          <w:sz w:val="28"/>
          <w:szCs w:val="20"/>
          <w:highlight w:val="none"/>
        </w:rPr>
        <w:t>月</w:t>
      </w:r>
      <w:r>
        <w:rPr>
          <w:rFonts w:hint="eastAsia" w:ascii="宋体" w:hAnsi="宋体" w:eastAsia="宋体" w:cs="宋体"/>
          <w:bCs/>
          <w:color w:val="auto"/>
          <w:sz w:val="28"/>
          <w:szCs w:val="20"/>
          <w:highlight w:val="none"/>
          <w:lang w:val="en-US" w:eastAsia="zh-CN"/>
        </w:rPr>
        <w:t>22</w:t>
      </w:r>
      <w:r>
        <w:rPr>
          <w:rFonts w:hint="eastAsia" w:ascii="宋体" w:hAnsi="宋体" w:eastAsia="宋体" w:cs="宋体"/>
          <w:bCs/>
          <w:color w:val="auto"/>
          <w:sz w:val="28"/>
          <w:szCs w:val="20"/>
          <w:highlight w:val="none"/>
        </w:rPr>
        <w:t>日</w:t>
      </w:r>
      <w:r>
        <w:rPr>
          <w:rFonts w:hint="eastAsia" w:ascii="宋体" w:hAnsi="宋体" w:eastAsia="宋体" w:cs="宋体"/>
          <w:snapToGrid w:val="0"/>
          <w:color w:val="auto"/>
          <w:spacing w:val="0"/>
          <w:kern w:val="0"/>
          <w:sz w:val="28"/>
          <w:highlight w:val="none"/>
          <w:lang w:val="en-US" w:eastAsia="zh-CN"/>
        </w:rPr>
        <w:t>取得泰安市</w:t>
      </w:r>
      <w:r>
        <w:rPr>
          <w:rFonts w:hint="eastAsia" w:ascii="宋体" w:hAnsi="宋体" w:eastAsia="宋体" w:cs="宋体"/>
          <w:snapToGrid w:val="0"/>
          <w:color w:val="auto"/>
          <w:spacing w:val="0"/>
          <w:kern w:val="0"/>
          <w:sz w:val="28"/>
          <w:highlight w:val="none"/>
        </w:rPr>
        <w:t>应急管理局</w:t>
      </w:r>
      <w:r>
        <w:rPr>
          <w:rFonts w:hint="eastAsia" w:ascii="宋体" w:hAnsi="宋体" w:eastAsia="宋体" w:cs="宋体"/>
          <w:snapToGrid w:val="0"/>
          <w:color w:val="auto"/>
          <w:spacing w:val="0"/>
          <w:kern w:val="0"/>
          <w:sz w:val="28"/>
          <w:highlight w:val="none"/>
          <w:lang w:val="en-US" w:eastAsia="zh-CN"/>
        </w:rPr>
        <w:t>出具的</w:t>
      </w:r>
      <w:r>
        <w:rPr>
          <w:rFonts w:hint="eastAsia" w:ascii="宋体" w:hAnsi="宋体" w:eastAsia="宋体" w:cs="宋体"/>
          <w:snapToGrid w:val="0"/>
          <w:color w:val="auto"/>
          <w:spacing w:val="0"/>
          <w:kern w:val="0"/>
          <w:sz w:val="28"/>
          <w:highlight w:val="none"/>
        </w:rPr>
        <w:t>备案</w:t>
      </w:r>
      <w:r>
        <w:rPr>
          <w:rFonts w:hint="eastAsia" w:ascii="宋体" w:hAnsi="宋体" w:eastAsia="宋体" w:cs="宋体"/>
          <w:snapToGrid w:val="0"/>
          <w:color w:val="auto"/>
          <w:spacing w:val="0"/>
          <w:kern w:val="0"/>
          <w:sz w:val="28"/>
          <w:highlight w:val="none"/>
          <w:lang w:val="en-US" w:eastAsia="zh-CN"/>
        </w:rPr>
        <w:t>登记表</w:t>
      </w:r>
      <w:r>
        <w:rPr>
          <w:rFonts w:hint="eastAsia" w:ascii="宋体" w:hAnsi="宋体" w:eastAsia="宋体" w:cs="宋体"/>
          <w:snapToGrid w:val="0"/>
          <w:color w:val="auto"/>
          <w:spacing w:val="0"/>
          <w:kern w:val="0"/>
          <w:sz w:val="28"/>
          <w:highlight w:val="none"/>
          <w:lang w:eastAsia="zh-CN"/>
        </w:rPr>
        <w:t>，</w:t>
      </w:r>
      <w:r>
        <w:rPr>
          <w:rFonts w:hint="eastAsia" w:ascii="宋体" w:hAnsi="宋体" w:eastAsia="宋体" w:cs="宋体"/>
          <w:snapToGrid w:val="0"/>
          <w:color w:val="auto"/>
          <w:spacing w:val="0"/>
          <w:kern w:val="0"/>
          <w:sz w:val="28"/>
          <w:highlight w:val="none"/>
          <w:lang w:val="en-US" w:eastAsia="zh-CN"/>
        </w:rPr>
        <w:t>备案编号：370900-2024-0095，加油站根据演练计划进行了演练，详见附件。</w:t>
      </w:r>
    </w:p>
    <w:p w14:paraId="2672D672">
      <w:pPr>
        <w:adjustRightInd w:val="0"/>
        <w:snapToGrid w:val="0"/>
        <w:spacing w:line="360" w:lineRule="auto"/>
        <w:ind w:firstLine="562" w:firstLineChars="200"/>
        <w:rPr>
          <w:rFonts w:hint="default" w:ascii="宋体" w:hAnsi="宋体" w:eastAsia="宋体"/>
          <w:b/>
          <w:bCs/>
          <w:color w:val="auto"/>
          <w:sz w:val="28"/>
          <w:szCs w:val="28"/>
          <w:highlight w:val="none"/>
          <w:lang w:val="en-US" w:eastAsia="zh-CN"/>
        </w:rPr>
      </w:pPr>
      <w:r>
        <w:rPr>
          <w:rFonts w:hint="eastAsia" w:ascii="宋体" w:hAnsi="宋体"/>
          <w:b/>
          <w:bCs/>
          <w:color w:val="auto"/>
          <w:sz w:val="28"/>
          <w:szCs w:val="28"/>
          <w:highlight w:val="none"/>
        </w:rPr>
        <w:t>2.2.1.6安全生产责任险</w:t>
      </w:r>
    </w:p>
    <w:p w14:paraId="3B96F5D1">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Times New Roman"/>
          <w:snapToGrid w:val="0"/>
          <w:color w:val="auto"/>
          <w:spacing w:val="0"/>
          <w:kern w:val="0"/>
          <w:sz w:val="28"/>
          <w:highlight w:val="none"/>
        </w:rPr>
      </w:pPr>
      <w:r>
        <w:rPr>
          <w:rFonts w:hint="eastAsia" w:ascii="宋体" w:hAnsi="宋体" w:eastAsia="宋体" w:cs="Times New Roman"/>
          <w:snapToGrid w:val="0"/>
          <w:color w:val="auto"/>
          <w:spacing w:val="0"/>
          <w:kern w:val="0"/>
          <w:sz w:val="28"/>
          <w:highlight w:val="none"/>
        </w:rPr>
        <w:t>该站在</w:t>
      </w:r>
      <w:r>
        <w:rPr>
          <w:rFonts w:hint="eastAsia" w:ascii="宋体" w:hAnsi="宋体" w:eastAsia="宋体" w:cs="Times New Roman"/>
          <w:snapToGrid w:val="0"/>
          <w:color w:val="auto"/>
          <w:spacing w:val="0"/>
          <w:kern w:val="0"/>
          <w:sz w:val="28"/>
          <w:highlight w:val="none"/>
          <w:lang w:val="en-US" w:eastAsia="zh-CN"/>
        </w:rPr>
        <w:t>中国太平洋</w:t>
      </w:r>
      <w:r>
        <w:rPr>
          <w:rFonts w:hint="eastAsia" w:ascii="宋体" w:hAnsi="宋体" w:eastAsia="宋体" w:cs="Times New Roman"/>
          <w:snapToGrid w:val="0"/>
          <w:color w:val="auto"/>
          <w:spacing w:val="0"/>
          <w:kern w:val="0"/>
          <w:sz w:val="28"/>
          <w:highlight w:val="none"/>
          <w:lang w:eastAsia="zh-CN"/>
        </w:rPr>
        <w:t>财产保险股份有限公司</w:t>
      </w:r>
      <w:r>
        <w:rPr>
          <w:rFonts w:hint="eastAsia" w:ascii="宋体" w:hAnsi="宋体" w:eastAsia="宋体" w:cs="Times New Roman"/>
          <w:snapToGrid w:val="0"/>
          <w:color w:val="auto"/>
          <w:spacing w:val="0"/>
          <w:kern w:val="0"/>
          <w:sz w:val="28"/>
          <w:highlight w:val="none"/>
          <w:lang w:val="en-US" w:eastAsia="zh-CN"/>
        </w:rPr>
        <w:t>济南中心支公司</w:t>
      </w:r>
      <w:r>
        <w:rPr>
          <w:rFonts w:hint="eastAsia" w:ascii="宋体" w:hAnsi="宋体" w:eastAsia="宋体" w:cs="Times New Roman"/>
          <w:snapToGrid w:val="0"/>
          <w:color w:val="auto"/>
          <w:spacing w:val="0"/>
          <w:kern w:val="0"/>
          <w:sz w:val="28"/>
          <w:highlight w:val="none"/>
        </w:rPr>
        <w:t>缴纳了安全生产责任保险，保单号</w:t>
      </w:r>
      <w:r>
        <w:rPr>
          <w:rFonts w:hint="eastAsia" w:ascii="宋体" w:hAnsi="宋体" w:eastAsia="宋体" w:cs="Times New Roman"/>
          <w:snapToGrid w:val="0"/>
          <w:color w:val="auto"/>
          <w:spacing w:val="0"/>
          <w:kern w:val="0"/>
          <w:sz w:val="28"/>
          <w:highlight w:val="none"/>
          <w:lang w:val="en-US" w:eastAsia="zh-CN"/>
        </w:rPr>
        <w:t>AJINOKL1NT26QAAAAA4B</w:t>
      </w:r>
      <w:r>
        <w:rPr>
          <w:rFonts w:hint="eastAsia" w:ascii="宋体" w:hAnsi="宋体" w:eastAsia="宋体" w:cs="Times New Roman"/>
          <w:snapToGrid w:val="0"/>
          <w:color w:val="auto"/>
          <w:spacing w:val="0"/>
          <w:kern w:val="0"/>
          <w:sz w:val="28"/>
          <w:highlight w:val="none"/>
        </w:rPr>
        <w:t>，保险期间自202</w:t>
      </w:r>
      <w:r>
        <w:rPr>
          <w:rFonts w:hint="eastAsia" w:ascii="宋体" w:hAnsi="宋体" w:eastAsia="宋体" w:cs="Times New Roman"/>
          <w:snapToGrid w:val="0"/>
          <w:color w:val="auto"/>
          <w:spacing w:val="0"/>
          <w:kern w:val="0"/>
          <w:sz w:val="28"/>
          <w:highlight w:val="none"/>
          <w:lang w:val="en-US" w:eastAsia="zh-CN"/>
        </w:rPr>
        <w:t>6</w:t>
      </w:r>
      <w:r>
        <w:rPr>
          <w:rFonts w:hint="eastAsia" w:ascii="宋体" w:hAnsi="宋体" w:eastAsia="宋体" w:cs="Times New Roman"/>
          <w:snapToGrid w:val="0"/>
          <w:color w:val="auto"/>
          <w:spacing w:val="0"/>
          <w:kern w:val="0"/>
          <w:sz w:val="28"/>
          <w:highlight w:val="none"/>
        </w:rPr>
        <w:t>年</w:t>
      </w:r>
      <w:r>
        <w:rPr>
          <w:rFonts w:hint="eastAsia" w:ascii="宋体" w:hAnsi="宋体" w:eastAsia="宋体" w:cs="Times New Roman"/>
          <w:snapToGrid w:val="0"/>
          <w:color w:val="auto"/>
          <w:spacing w:val="0"/>
          <w:kern w:val="0"/>
          <w:sz w:val="28"/>
          <w:highlight w:val="none"/>
          <w:lang w:val="en-US" w:eastAsia="zh-CN"/>
        </w:rPr>
        <w:t>1</w:t>
      </w:r>
      <w:r>
        <w:rPr>
          <w:rFonts w:hint="eastAsia" w:ascii="宋体" w:hAnsi="宋体" w:eastAsia="宋体" w:cs="Times New Roman"/>
          <w:snapToGrid w:val="0"/>
          <w:color w:val="auto"/>
          <w:spacing w:val="0"/>
          <w:kern w:val="0"/>
          <w:sz w:val="28"/>
          <w:highlight w:val="none"/>
        </w:rPr>
        <w:t>月</w:t>
      </w:r>
      <w:r>
        <w:rPr>
          <w:rFonts w:hint="eastAsia" w:ascii="宋体" w:hAnsi="宋体" w:eastAsia="宋体" w:cs="Times New Roman"/>
          <w:snapToGrid w:val="0"/>
          <w:color w:val="auto"/>
          <w:spacing w:val="0"/>
          <w:kern w:val="0"/>
          <w:sz w:val="28"/>
          <w:highlight w:val="none"/>
          <w:lang w:val="en-US" w:eastAsia="zh-CN"/>
        </w:rPr>
        <w:t>29</w:t>
      </w:r>
      <w:r>
        <w:rPr>
          <w:rFonts w:hint="eastAsia" w:ascii="宋体" w:hAnsi="宋体" w:eastAsia="宋体" w:cs="Times New Roman"/>
          <w:snapToGrid w:val="0"/>
          <w:color w:val="auto"/>
          <w:spacing w:val="0"/>
          <w:kern w:val="0"/>
          <w:sz w:val="28"/>
          <w:highlight w:val="none"/>
        </w:rPr>
        <w:t>日至202</w:t>
      </w:r>
      <w:r>
        <w:rPr>
          <w:rFonts w:hint="eastAsia" w:ascii="宋体" w:hAnsi="宋体" w:eastAsia="宋体" w:cs="Times New Roman"/>
          <w:snapToGrid w:val="0"/>
          <w:color w:val="auto"/>
          <w:spacing w:val="0"/>
          <w:kern w:val="0"/>
          <w:sz w:val="28"/>
          <w:highlight w:val="none"/>
          <w:lang w:val="en-US" w:eastAsia="zh-CN"/>
        </w:rPr>
        <w:t>7</w:t>
      </w:r>
      <w:r>
        <w:rPr>
          <w:rFonts w:hint="eastAsia" w:ascii="宋体" w:hAnsi="宋体" w:eastAsia="宋体" w:cs="Times New Roman"/>
          <w:snapToGrid w:val="0"/>
          <w:color w:val="auto"/>
          <w:spacing w:val="0"/>
          <w:kern w:val="0"/>
          <w:sz w:val="28"/>
          <w:highlight w:val="none"/>
        </w:rPr>
        <w:t>年</w:t>
      </w:r>
      <w:r>
        <w:rPr>
          <w:rFonts w:hint="eastAsia" w:ascii="宋体" w:hAnsi="宋体" w:eastAsia="宋体" w:cs="Times New Roman"/>
          <w:snapToGrid w:val="0"/>
          <w:color w:val="auto"/>
          <w:spacing w:val="0"/>
          <w:kern w:val="0"/>
          <w:sz w:val="28"/>
          <w:highlight w:val="none"/>
          <w:lang w:val="en-US" w:eastAsia="zh-CN"/>
        </w:rPr>
        <w:t>1</w:t>
      </w:r>
      <w:r>
        <w:rPr>
          <w:rFonts w:hint="eastAsia" w:ascii="宋体" w:hAnsi="宋体" w:eastAsia="宋体" w:cs="Times New Roman"/>
          <w:snapToGrid w:val="0"/>
          <w:color w:val="auto"/>
          <w:spacing w:val="0"/>
          <w:kern w:val="0"/>
          <w:sz w:val="28"/>
          <w:highlight w:val="none"/>
        </w:rPr>
        <w:t>月</w:t>
      </w:r>
      <w:r>
        <w:rPr>
          <w:rFonts w:hint="eastAsia" w:ascii="宋体" w:hAnsi="宋体" w:eastAsia="宋体" w:cs="Times New Roman"/>
          <w:snapToGrid w:val="0"/>
          <w:color w:val="auto"/>
          <w:spacing w:val="0"/>
          <w:kern w:val="0"/>
          <w:sz w:val="28"/>
          <w:highlight w:val="none"/>
          <w:lang w:val="en-US" w:eastAsia="zh-CN"/>
        </w:rPr>
        <w:t>28</w:t>
      </w:r>
      <w:r>
        <w:rPr>
          <w:rFonts w:hint="eastAsia" w:ascii="宋体" w:hAnsi="宋体" w:eastAsia="宋体" w:cs="Times New Roman"/>
          <w:snapToGrid w:val="0"/>
          <w:color w:val="auto"/>
          <w:spacing w:val="0"/>
          <w:kern w:val="0"/>
          <w:sz w:val="28"/>
          <w:highlight w:val="none"/>
        </w:rPr>
        <w:t>日。</w:t>
      </w:r>
    </w:p>
    <w:p w14:paraId="2CF3212D">
      <w:pPr>
        <w:adjustRightInd w:val="0"/>
        <w:snapToGrid w:val="0"/>
        <w:spacing w:line="360" w:lineRule="auto"/>
        <w:ind w:firstLine="562" w:firstLineChars="200"/>
        <w:rPr>
          <w:rFonts w:hint="default" w:ascii="宋体" w:hAnsi="宋体" w:eastAsia="宋体"/>
          <w:b/>
          <w:bCs/>
          <w:color w:val="auto"/>
          <w:sz w:val="28"/>
          <w:szCs w:val="28"/>
          <w:highlight w:val="none"/>
          <w:lang w:val="en-US" w:eastAsia="zh-CN"/>
        </w:rPr>
      </w:pPr>
      <w:r>
        <w:rPr>
          <w:rFonts w:hint="eastAsia" w:ascii="宋体" w:hAnsi="宋体"/>
          <w:b/>
          <w:bCs/>
          <w:color w:val="auto"/>
          <w:sz w:val="28"/>
          <w:szCs w:val="28"/>
          <w:highlight w:val="none"/>
        </w:rPr>
        <w:t>2.2.1.</w:t>
      </w:r>
      <w:r>
        <w:rPr>
          <w:rFonts w:hint="eastAsia" w:ascii="宋体" w:hAnsi="宋体"/>
          <w:b/>
          <w:bCs/>
          <w:color w:val="auto"/>
          <w:sz w:val="28"/>
          <w:szCs w:val="28"/>
          <w:highlight w:val="none"/>
          <w:lang w:val="en-US" w:eastAsia="zh-CN"/>
        </w:rPr>
        <w:t>8土地手续和规划许可</w:t>
      </w:r>
    </w:p>
    <w:p w14:paraId="66E1A7C7">
      <w:pPr>
        <w:adjustRightInd w:val="0"/>
        <w:snapToGrid w:val="0"/>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中国</w:t>
      </w:r>
      <w:r>
        <w:rPr>
          <w:rFonts w:hint="eastAsia" w:ascii="宋体" w:hAnsi="宋体" w:cs="宋体"/>
          <w:color w:val="auto"/>
          <w:sz w:val="28"/>
          <w:szCs w:val="28"/>
          <w:highlight w:val="none"/>
        </w:rPr>
        <w:t>石化山东泰山石油股份有限公司于2004年07月22日取得了《建设用地规划许可证》，编号：（2004）鲁09-00-0042，详见附件。</w:t>
      </w:r>
    </w:p>
    <w:p w14:paraId="0FA0515E">
      <w:pPr>
        <w:adjustRightInd w:val="0"/>
        <w:snapToGrid w:val="0"/>
        <w:spacing w:line="360" w:lineRule="auto"/>
        <w:ind w:firstLine="560" w:firstLineChars="200"/>
        <w:rPr>
          <w:rFonts w:hint="eastAsia" w:ascii="宋体"/>
          <w:color w:val="auto"/>
          <w:kern w:val="0"/>
          <w:sz w:val="28"/>
          <w:szCs w:val="20"/>
          <w:highlight w:val="none"/>
        </w:rPr>
      </w:pPr>
      <w:r>
        <w:rPr>
          <w:rFonts w:hint="eastAsia" w:ascii="宋体"/>
          <w:color w:val="auto"/>
          <w:kern w:val="0"/>
          <w:sz w:val="28"/>
          <w:szCs w:val="20"/>
          <w:highlight w:val="none"/>
        </w:rPr>
        <w:t>中国石化山东泰山石油股份有限公司于2004年9月取得了泰安市岱岳区人民政府签发的《国有土地使用证》，证书编号：岱岳国用（2004第303号），</w:t>
      </w:r>
      <w:r>
        <w:rPr>
          <w:rFonts w:hint="eastAsia" w:ascii="宋体"/>
          <w:color w:val="auto"/>
          <w:kern w:val="0"/>
          <w:sz w:val="28"/>
          <w:szCs w:val="20"/>
          <w:highlight w:val="none"/>
          <w:lang w:val="en-US" w:eastAsia="zh-CN"/>
        </w:rPr>
        <w:t>使用终止日期：2043年3月7日，</w:t>
      </w:r>
      <w:r>
        <w:rPr>
          <w:rFonts w:hint="eastAsia" w:ascii="宋体"/>
          <w:color w:val="auto"/>
          <w:kern w:val="0"/>
          <w:sz w:val="28"/>
          <w:szCs w:val="20"/>
          <w:highlight w:val="none"/>
        </w:rPr>
        <w:t>详见附件。</w:t>
      </w:r>
    </w:p>
    <w:bookmarkEnd w:id="1"/>
    <w:bookmarkEnd w:id="2"/>
    <w:p w14:paraId="6F4B4EF5">
      <w:pPr>
        <w:keepNext w:val="0"/>
        <w:keepLines w:val="0"/>
        <w:pageBreakBefore/>
        <w:widowControl w:val="0"/>
        <w:kinsoku/>
        <w:wordWrap/>
        <w:overflowPunct/>
        <w:topLinePunct w:val="0"/>
        <w:autoSpaceDE/>
        <w:autoSpaceDN/>
        <w:bidi w:val="0"/>
        <w:adjustRightInd w:val="0"/>
        <w:snapToGrid w:val="0"/>
        <w:spacing w:line="360" w:lineRule="auto"/>
        <w:ind w:firstLine="0" w:firstLineChars="0"/>
        <w:jc w:val="center"/>
        <w:textAlignment w:val="auto"/>
        <w:outlineLvl w:val="0"/>
        <w:rPr>
          <w:rFonts w:hint="eastAsia" w:ascii="黑体" w:eastAsia="黑体"/>
          <w:color w:val="auto"/>
          <w:sz w:val="32"/>
          <w:szCs w:val="32"/>
          <w:highlight w:val="none"/>
        </w:rPr>
      </w:pPr>
      <w:bookmarkStart w:id="5" w:name="_Toc24743"/>
      <w:bookmarkStart w:id="6" w:name="_Toc80"/>
      <w:r>
        <w:rPr>
          <w:rFonts w:hint="eastAsia" w:ascii="黑体" w:hAnsi="Times New Roman" w:eastAsia="黑体" w:cs="Times New Roman"/>
          <w:b/>
          <w:bCs/>
          <w:color w:val="auto"/>
          <w:spacing w:val="6"/>
          <w:kern w:val="44"/>
          <w:sz w:val="32"/>
          <w:szCs w:val="32"/>
          <w:highlight w:val="none"/>
          <w:lang w:val="en-US" w:eastAsia="zh-CN" w:bidi="ar-SA"/>
        </w:rPr>
        <w:t>4 安全经营条件</w:t>
      </w:r>
      <w:bookmarkEnd w:id="5"/>
    </w:p>
    <w:p w14:paraId="046D0A49">
      <w:pPr>
        <w:pStyle w:val="2"/>
        <w:adjustRightInd w:val="0"/>
        <w:snapToGrid w:val="0"/>
        <w:spacing w:before="0" w:after="0" w:line="360" w:lineRule="auto"/>
        <w:jc w:val="center"/>
        <w:rPr>
          <w:rFonts w:hint="eastAsia" w:ascii="楷体_GB2312" w:eastAsia="楷体_GB2312"/>
          <w:color w:val="auto"/>
          <w:highlight w:val="none"/>
        </w:rPr>
      </w:pPr>
      <w:bookmarkStart w:id="7" w:name="_Toc1376"/>
      <w:r>
        <w:rPr>
          <w:rFonts w:hint="eastAsia" w:ascii="楷体_GB2312" w:eastAsia="楷体_GB2312"/>
          <w:color w:val="auto"/>
          <w:highlight w:val="none"/>
        </w:rPr>
        <w:t>4.1 评价单元划分</w:t>
      </w:r>
      <w:bookmarkEnd w:id="7"/>
    </w:p>
    <w:p w14:paraId="02BF5E13">
      <w:pPr>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根据</w:t>
      </w:r>
      <w:r>
        <w:rPr>
          <w:rFonts w:hint="eastAsia" w:ascii="宋体" w:hAnsi="宋体"/>
          <w:snapToGrid w:val="0"/>
          <w:color w:val="auto"/>
          <w:spacing w:val="0"/>
          <w:kern w:val="0"/>
          <w:sz w:val="28"/>
          <w:highlight w:val="none"/>
          <w:lang w:eastAsia="zh-CN"/>
        </w:rPr>
        <w:t>中国石化山东泰山石油股份有限公司泰安第十六加油站改造项目</w:t>
      </w:r>
      <w:r>
        <w:rPr>
          <w:rFonts w:hint="eastAsia" w:ascii="宋体" w:hAnsi="宋体"/>
          <w:snapToGrid w:val="0"/>
          <w:color w:val="auto"/>
          <w:spacing w:val="0"/>
          <w:kern w:val="0"/>
          <w:sz w:val="28"/>
          <w:highlight w:val="none"/>
        </w:rPr>
        <w:t>的特点，本次安全评价划分为4个单元，即安全管理、站址选择及总平面布置、加油工艺及设施、其它设施。</w:t>
      </w:r>
    </w:p>
    <w:p w14:paraId="16F41552">
      <w:pPr>
        <w:pStyle w:val="2"/>
        <w:adjustRightInd w:val="0"/>
        <w:snapToGrid w:val="0"/>
        <w:spacing w:before="0" w:after="0" w:line="360" w:lineRule="auto"/>
        <w:jc w:val="center"/>
        <w:rPr>
          <w:rFonts w:hint="eastAsia" w:ascii="楷体_GB2312" w:eastAsia="楷体_GB2312"/>
          <w:color w:val="auto"/>
          <w:highlight w:val="none"/>
        </w:rPr>
      </w:pPr>
      <w:bookmarkStart w:id="8" w:name="_Toc9399"/>
      <w:r>
        <w:rPr>
          <w:rFonts w:hint="eastAsia" w:ascii="楷体_GB2312" w:eastAsia="楷体_GB2312"/>
          <w:color w:val="auto"/>
          <w:highlight w:val="none"/>
        </w:rPr>
        <w:t>4.2 评价方法选择</w:t>
      </w:r>
      <w:bookmarkEnd w:id="8"/>
    </w:p>
    <w:p w14:paraId="1F014C01">
      <w:pPr>
        <w:adjustRightInd w:val="0"/>
        <w:snapToGrid w:val="0"/>
        <w:spacing w:line="360" w:lineRule="auto"/>
        <w:ind w:firstLine="562" w:firstLineChars="200"/>
        <w:outlineLvl w:val="2"/>
        <w:rPr>
          <w:rFonts w:hint="eastAsia" w:ascii="黑体" w:hAnsi="宋体" w:eastAsia="黑体"/>
          <w:b/>
          <w:color w:val="auto"/>
          <w:sz w:val="28"/>
          <w:szCs w:val="28"/>
          <w:highlight w:val="none"/>
        </w:rPr>
      </w:pPr>
      <w:r>
        <w:rPr>
          <w:rFonts w:hint="eastAsia" w:ascii="黑体" w:hAnsi="宋体" w:eastAsia="黑体"/>
          <w:b/>
          <w:color w:val="auto"/>
          <w:sz w:val="28"/>
          <w:szCs w:val="28"/>
          <w:highlight w:val="none"/>
        </w:rPr>
        <w:t>4.2.1 评价方法选用表</w:t>
      </w:r>
    </w:p>
    <w:p w14:paraId="7CAA906B">
      <w:pPr>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首先,我们运用安全检查表的方法对本项目的设计进行检查，确定本项目的总体安全性。然后，根据各评价单元的特点选择适合的评价方法进行评价，具体方法选择见表4.2-1。</w:t>
      </w:r>
    </w:p>
    <w:p w14:paraId="00719922">
      <w:pPr>
        <w:pStyle w:val="28"/>
        <w:adjustRightInd w:val="0"/>
        <w:snapToGrid w:val="0"/>
        <w:spacing w:line="360" w:lineRule="auto"/>
        <w:outlineLvl w:val="9"/>
        <w:rPr>
          <w:rFonts w:hint="eastAsia"/>
          <w:color w:val="auto"/>
          <w:highlight w:val="none"/>
        </w:rPr>
      </w:pPr>
      <w:r>
        <w:rPr>
          <w:rFonts w:hint="eastAsia"/>
          <w:color w:val="auto"/>
          <w:highlight w:val="none"/>
        </w:rPr>
        <w:t>表4.2-1 评价方法选用表</w:t>
      </w:r>
    </w:p>
    <w:tbl>
      <w:tblPr>
        <w:tblStyle w:val="1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30"/>
        <w:gridCol w:w="3196"/>
        <w:gridCol w:w="3762"/>
      </w:tblGrid>
      <w:tr w14:paraId="5BBB4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254" w:type="pct"/>
            <w:noWrap w:val="0"/>
            <w:vAlign w:val="center"/>
          </w:tcPr>
          <w:p w14:paraId="10352484">
            <w:pPr>
              <w:pStyle w:val="30"/>
              <w:adjustRightInd w:val="0"/>
              <w:spacing w:line="360" w:lineRule="auto"/>
              <w:rPr>
                <w:rFonts w:hint="eastAsia" w:ascii="宋体" w:hAnsi="宋体"/>
                <w:snapToGrid/>
                <w:color w:val="auto"/>
                <w:kern w:val="2"/>
                <w:highlight w:val="none"/>
              </w:rPr>
            </w:pPr>
            <w:r>
              <w:rPr>
                <w:rFonts w:hint="eastAsia" w:ascii="宋体" w:hAnsi="宋体"/>
                <w:snapToGrid/>
                <w:color w:val="auto"/>
                <w:kern w:val="2"/>
                <w:highlight w:val="none"/>
              </w:rPr>
              <w:t>序号</w:t>
            </w:r>
          </w:p>
        </w:tc>
        <w:tc>
          <w:tcPr>
            <w:tcW w:w="1720" w:type="pct"/>
            <w:noWrap w:val="0"/>
            <w:vAlign w:val="center"/>
          </w:tcPr>
          <w:p w14:paraId="6A592B0E">
            <w:pPr>
              <w:pStyle w:val="30"/>
              <w:adjustRightInd w:val="0"/>
              <w:spacing w:line="360" w:lineRule="auto"/>
              <w:rPr>
                <w:rFonts w:hint="eastAsia" w:ascii="宋体" w:hAnsi="宋体"/>
                <w:snapToGrid/>
                <w:color w:val="auto"/>
                <w:kern w:val="2"/>
                <w:highlight w:val="none"/>
              </w:rPr>
            </w:pPr>
            <w:r>
              <w:rPr>
                <w:rFonts w:hint="eastAsia" w:ascii="宋体" w:hAnsi="宋体"/>
                <w:snapToGrid/>
                <w:color w:val="auto"/>
                <w:kern w:val="2"/>
                <w:highlight w:val="none"/>
              </w:rPr>
              <w:t>评价单元名称</w:t>
            </w:r>
          </w:p>
        </w:tc>
        <w:tc>
          <w:tcPr>
            <w:tcW w:w="2024" w:type="pct"/>
            <w:noWrap w:val="0"/>
            <w:vAlign w:val="center"/>
          </w:tcPr>
          <w:p w14:paraId="758B3DF2">
            <w:pPr>
              <w:pStyle w:val="30"/>
              <w:adjustRightInd w:val="0"/>
              <w:spacing w:line="360" w:lineRule="auto"/>
              <w:rPr>
                <w:rFonts w:hint="eastAsia" w:ascii="宋体" w:hAnsi="宋体"/>
                <w:snapToGrid/>
                <w:color w:val="auto"/>
                <w:kern w:val="2"/>
                <w:highlight w:val="none"/>
              </w:rPr>
            </w:pPr>
            <w:r>
              <w:rPr>
                <w:rFonts w:hint="eastAsia" w:ascii="宋体" w:hAnsi="宋体"/>
                <w:snapToGrid/>
                <w:color w:val="auto"/>
                <w:kern w:val="2"/>
                <w:highlight w:val="none"/>
              </w:rPr>
              <w:t>采用的评价方法</w:t>
            </w:r>
          </w:p>
        </w:tc>
      </w:tr>
      <w:tr w14:paraId="35C0D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1254" w:type="pct"/>
            <w:noWrap w:val="0"/>
            <w:vAlign w:val="center"/>
          </w:tcPr>
          <w:p w14:paraId="208C68E8">
            <w:pPr>
              <w:pStyle w:val="30"/>
              <w:adjustRightInd w:val="0"/>
              <w:spacing w:line="360" w:lineRule="auto"/>
              <w:rPr>
                <w:rFonts w:hint="eastAsia" w:ascii="宋体" w:hAnsi="宋体"/>
                <w:snapToGrid/>
                <w:color w:val="auto"/>
                <w:kern w:val="2"/>
                <w:sz w:val="24"/>
                <w:highlight w:val="none"/>
              </w:rPr>
            </w:pPr>
            <w:r>
              <w:rPr>
                <w:rFonts w:hint="eastAsia" w:ascii="宋体" w:hAnsi="宋体"/>
                <w:snapToGrid/>
                <w:color w:val="auto"/>
                <w:kern w:val="2"/>
                <w:sz w:val="24"/>
                <w:highlight w:val="none"/>
              </w:rPr>
              <w:t>P</w:t>
            </w:r>
            <w:r>
              <w:rPr>
                <w:rFonts w:hint="eastAsia" w:ascii="宋体" w:hAnsi="宋体"/>
                <w:snapToGrid/>
                <w:color w:val="auto"/>
                <w:kern w:val="2"/>
                <w:sz w:val="24"/>
                <w:highlight w:val="none"/>
                <w:vertAlign w:val="subscript"/>
              </w:rPr>
              <w:t>1</w:t>
            </w:r>
          </w:p>
        </w:tc>
        <w:tc>
          <w:tcPr>
            <w:tcW w:w="1720" w:type="pct"/>
            <w:noWrap w:val="0"/>
            <w:vAlign w:val="center"/>
          </w:tcPr>
          <w:p w14:paraId="5486113F">
            <w:pPr>
              <w:adjustRightInd w:val="0"/>
              <w:snapToGrid w:val="0"/>
              <w:spacing w:line="360" w:lineRule="auto"/>
              <w:jc w:val="center"/>
              <w:rPr>
                <w:rFonts w:hint="eastAsia" w:ascii="宋体" w:hAnsi="宋体"/>
                <w:color w:val="auto"/>
                <w:highlight w:val="none"/>
              </w:rPr>
            </w:pPr>
            <w:r>
              <w:rPr>
                <w:rFonts w:hint="eastAsia"/>
                <w:color w:val="auto"/>
                <w:szCs w:val="28"/>
                <w:highlight w:val="none"/>
              </w:rPr>
              <w:t>安全管理</w:t>
            </w:r>
          </w:p>
        </w:tc>
        <w:tc>
          <w:tcPr>
            <w:tcW w:w="2024" w:type="pct"/>
            <w:noWrap w:val="0"/>
            <w:vAlign w:val="center"/>
          </w:tcPr>
          <w:p w14:paraId="477E1B2C">
            <w:pPr>
              <w:pStyle w:val="30"/>
              <w:adjustRightInd w:val="0"/>
              <w:spacing w:line="360" w:lineRule="auto"/>
              <w:rPr>
                <w:rFonts w:hint="eastAsia" w:ascii="宋体" w:hAnsi="宋体"/>
                <w:snapToGrid/>
                <w:color w:val="auto"/>
                <w:kern w:val="2"/>
                <w:highlight w:val="none"/>
              </w:rPr>
            </w:pPr>
            <w:r>
              <w:rPr>
                <w:rFonts w:hint="eastAsia" w:ascii="宋体" w:hAnsi="宋体"/>
                <w:snapToGrid/>
                <w:color w:val="auto"/>
                <w:kern w:val="2"/>
                <w:highlight w:val="none"/>
              </w:rPr>
              <w:t>安全检查表</w:t>
            </w:r>
          </w:p>
        </w:tc>
      </w:tr>
      <w:tr w14:paraId="14A52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254" w:type="pct"/>
            <w:noWrap w:val="0"/>
            <w:vAlign w:val="center"/>
          </w:tcPr>
          <w:p w14:paraId="645001F6">
            <w:pPr>
              <w:pStyle w:val="30"/>
              <w:adjustRightInd w:val="0"/>
              <w:spacing w:line="360" w:lineRule="auto"/>
              <w:rPr>
                <w:rFonts w:hint="eastAsia" w:ascii="宋体" w:hAnsi="宋体"/>
                <w:snapToGrid/>
                <w:color w:val="auto"/>
                <w:kern w:val="2"/>
                <w:sz w:val="24"/>
                <w:highlight w:val="none"/>
              </w:rPr>
            </w:pPr>
            <w:r>
              <w:rPr>
                <w:rFonts w:hint="eastAsia" w:ascii="宋体" w:hAnsi="宋体"/>
                <w:snapToGrid/>
                <w:color w:val="auto"/>
                <w:kern w:val="2"/>
                <w:sz w:val="24"/>
                <w:highlight w:val="none"/>
              </w:rPr>
              <w:t>P</w:t>
            </w:r>
            <w:r>
              <w:rPr>
                <w:rFonts w:hint="eastAsia" w:ascii="宋体" w:hAnsi="宋体"/>
                <w:snapToGrid/>
                <w:color w:val="auto"/>
                <w:kern w:val="2"/>
                <w:sz w:val="24"/>
                <w:highlight w:val="none"/>
                <w:vertAlign w:val="subscript"/>
              </w:rPr>
              <w:t>2</w:t>
            </w:r>
          </w:p>
        </w:tc>
        <w:tc>
          <w:tcPr>
            <w:tcW w:w="1720" w:type="pct"/>
            <w:noWrap w:val="0"/>
            <w:vAlign w:val="center"/>
          </w:tcPr>
          <w:p w14:paraId="14B1321D">
            <w:pPr>
              <w:adjustRightInd w:val="0"/>
              <w:snapToGrid w:val="0"/>
              <w:spacing w:line="360" w:lineRule="auto"/>
              <w:jc w:val="center"/>
              <w:rPr>
                <w:rFonts w:hint="eastAsia" w:ascii="宋体" w:hAnsi="宋体"/>
                <w:color w:val="auto"/>
                <w:highlight w:val="none"/>
              </w:rPr>
            </w:pPr>
            <w:r>
              <w:rPr>
                <w:rFonts w:hint="eastAsia"/>
                <w:color w:val="auto"/>
                <w:szCs w:val="28"/>
                <w:highlight w:val="none"/>
              </w:rPr>
              <w:t>站址选择</w:t>
            </w:r>
            <w:r>
              <w:rPr>
                <w:rFonts w:hint="eastAsia" w:ascii="宋体" w:hAnsi="宋体"/>
                <w:color w:val="auto"/>
                <w:highlight w:val="none"/>
              </w:rPr>
              <w:t>总平面布置</w:t>
            </w:r>
          </w:p>
        </w:tc>
        <w:tc>
          <w:tcPr>
            <w:tcW w:w="2024" w:type="pct"/>
            <w:noWrap w:val="0"/>
            <w:vAlign w:val="center"/>
          </w:tcPr>
          <w:p w14:paraId="00A3DAAF">
            <w:pPr>
              <w:pStyle w:val="30"/>
              <w:adjustRightInd w:val="0"/>
              <w:spacing w:line="360" w:lineRule="auto"/>
              <w:rPr>
                <w:rFonts w:hint="eastAsia" w:ascii="宋体" w:hAnsi="宋体"/>
                <w:snapToGrid/>
                <w:color w:val="auto"/>
                <w:kern w:val="2"/>
                <w:highlight w:val="none"/>
              </w:rPr>
            </w:pPr>
            <w:r>
              <w:rPr>
                <w:rFonts w:hint="eastAsia" w:ascii="宋体" w:hAnsi="宋体"/>
                <w:snapToGrid/>
                <w:color w:val="auto"/>
                <w:kern w:val="2"/>
                <w:highlight w:val="none"/>
              </w:rPr>
              <w:t>安全检查表</w:t>
            </w:r>
          </w:p>
        </w:tc>
      </w:tr>
      <w:tr w14:paraId="76461C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254" w:type="pct"/>
            <w:noWrap w:val="0"/>
            <w:vAlign w:val="center"/>
          </w:tcPr>
          <w:p w14:paraId="17E67DF1">
            <w:pPr>
              <w:pStyle w:val="30"/>
              <w:adjustRightInd w:val="0"/>
              <w:spacing w:line="360" w:lineRule="auto"/>
              <w:rPr>
                <w:rFonts w:hint="eastAsia" w:ascii="宋体" w:hAnsi="宋体"/>
                <w:snapToGrid/>
                <w:color w:val="auto"/>
                <w:kern w:val="2"/>
                <w:sz w:val="24"/>
                <w:highlight w:val="none"/>
              </w:rPr>
            </w:pPr>
            <w:r>
              <w:rPr>
                <w:rFonts w:hint="eastAsia" w:ascii="宋体" w:hAnsi="宋体"/>
                <w:snapToGrid/>
                <w:color w:val="auto"/>
                <w:kern w:val="2"/>
                <w:sz w:val="24"/>
                <w:highlight w:val="none"/>
              </w:rPr>
              <w:t>P</w:t>
            </w:r>
            <w:r>
              <w:rPr>
                <w:rFonts w:hint="eastAsia" w:ascii="宋体" w:hAnsi="宋体"/>
                <w:snapToGrid/>
                <w:color w:val="auto"/>
                <w:kern w:val="2"/>
                <w:sz w:val="24"/>
                <w:highlight w:val="none"/>
                <w:vertAlign w:val="subscript"/>
              </w:rPr>
              <w:t>3</w:t>
            </w:r>
          </w:p>
        </w:tc>
        <w:tc>
          <w:tcPr>
            <w:tcW w:w="1720" w:type="pct"/>
            <w:noWrap w:val="0"/>
            <w:vAlign w:val="center"/>
          </w:tcPr>
          <w:p w14:paraId="3ED410AE">
            <w:pPr>
              <w:adjustRightInd w:val="0"/>
              <w:snapToGrid w:val="0"/>
              <w:spacing w:line="360" w:lineRule="auto"/>
              <w:jc w:val="center"/>
              <w:rPr>
                <w:rFonts w:hint="eastAsia" w:ascii="宋体" w:hAnsi="宋体"/>
                <w:color w:val="auto"/>
                <w:highlight w:val="none"/>
              </w:rPr>
            </w:pPr>
            <w:r>
              <w:rPr>
                <w:rFonts w:hint="eastAsia"/>
                <w:color w:val="auto"/>
                <w:szCs w:val="28"/>
                <w:highlight w:val="none"/>
              </w:rPr>
              <w:t>加油工艺及设施</w:t>
            </w:r>
          </w:p>
        </w:tc>
        <w:tc>
          <w:tcPr>
            <w:tcW w:w="2024" w:type="pct"/>
            <w:noWrap w:val="0"/>
            <w:vAlign w:val="center"/>
          </w:tcPr>
          <w:p w14:paraId="080D0637">
            <w:pPr>
              <w:pStyle w:val="30"/>
              <w:adjustRightInd w:val="0"/>
              <w:spacing w:line="360" w:lineRule="auto"/>
              <w:rPr>
                <w:rFonts w:hint="eastAsia" w:ascii="宋体" w:hAnsi="宋体"/>
                <w:snapToGrid/>
                <w:color w:val="auto"/>
                <w:kern w:val="2"/>
                <w:szCs w:val="21"/>
                <w:highlight w:val="none"/>
              </w:rPr>
            </w:pPr>
            <w:r>
              <w:rPr>
                <w:rFonts w:hint="eastAsia" w:ascii="宋体" w:hAnsi="宋体"/>
                <w:snapToGrid/>
                <w:color w:val="auto"/>
                <w:kern w:val="2"/>
                <w:szCs w:val="21"/>
                <w:highlight w:val="none"/>
              </w:rPr>
              <w:t>安全检查表、PHA、事故树</w:t>
            </w:r>
          </w:p>
        </w:tc>
      </w:tr>
      <w:tr w14:paraId="51049E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1254" w:type="pct"/>
            <w:noWrap w:val="0"/>
            <w:vAlign w:val="center"/>
          </w:tcPr>
          <w:p w14:paraId="3FB8F3EA">
            <w:pPr>
              <w:pStyle w:val="30"/>
              <w:adjustRightInd w:val="0"/>
              <w:spacing w:line="360" w:lineRule="auto"/>
              <w:rPr>
                <w:rFonts w:hint="eastAsia" w:ascii="宋体" w:hAnsi="宋体"/>
                <w:snapToGrid/>
                <w:color w:val="auto"/>
                <w:kern w:val="2"/>
                <w:sz w:val="24"/>
                <w:highlight w:val="none"/>
              </w:rPr>
            </w:pPr>
            <w:r>
              <w:rPr>
                <w:rFonts w:hint="eastAsia" w:ascii="宋体" w:hAnsi="宋体"/>
                <w:snapToGrid/>
                <w:color w:val="auto"/>
                <w:kern w:val="2"/>
                <w:sz w:val="24"/>
                <w:highlight w:val="none"/>
              </w:rPr>
              <w:t>P</w:t>
            </w:r>
            <w:r>
              <w:rPr>
                <w:rFonts w:hint="eastAsia" w:ascii="宋体" w:hAnsi="宋体"/>
                <w:snapToGrid/>
                <w:color w:val="auto"/>
                <w:kern w:val="2"/>
                <w:sz w:val="24"/>
                <w:highlight w:val="none"/>
                <w:vertAlign w:val="subscript"/>
              </w:rPr>
              <w:t>4</w:t>
            </w:r>
          </w:p>
        </w:tc>
        <w:tc>
          <w:tcPr>
            <w:tcW w:w="1720" w:type="pct"/>
            <w:noWrap w:val="0"/>
            <w:vAlign w:val="center"/>
          </w:tcPr>
          <w:p w14:paraId="6FE16854">
            <w:pPr>
              <w:adjustRightInd w:val="0"/>
              <w:snapToGrid w:val="0"/>
              <w:spacing w:line="360" w:lineRule="auto"/>
              <w:jc w:val="center"/>
              <w:rPr>
                <w:rFonts w:hint="eastAsia" w:ascii="宋体" w:hAnsi="宋体"/>
                <w:color w:val="auto"/>
                <w:highlight w:val="none"/>
              </w:rPr>
            </w:pPr>
            <w:r>
              <w:rPr>
                <w:rFonts w:hint="eastAsia" w:ascii="宋体" w:hAnsi="宋体"/>
                <w:color w:val="auto"/>
                <w:szCs w:val="28"/>
                <w:highlight w:val="none"/>
              </w:rPr>
              <w:t>其它设施</w:t>
            </w:r>
          </w:p>
        </w:tc>
        <w:tc>
          <w:tcPr>
            <w:tcW w:w="2024" w:type="pct"/>
            <w:noWrap w:val="0"/>
            <w:vAlign w:val="center"/>
          </w:tcPr>
          <w:p w14:paraId="6F935087">
            <w:pPr>
              <w:widowControl/>
              <w:adjustRightInd w:val="0"/>
              <w:snapToGrid w:val="0"/>
              <w:spacing w:line="360" w:lineRule="auto"/>
              <w:jc w:val="center"/>
              <w:rPr>
                <w:rFonts w:hint="eastAsia" w:ascii="宋体" w:hAnsi="宋体"/>
                <w:color w:val="auto"/>
                <w:highlight w:val="none"/>
              </w:rPr>
            </w:pPr>
            <w:r>
              <w:rPr>
                <w:rFonts w:hint="eastAsia" w:ascii="宋体" w:hAnsi="宋体"/>
                <w:color w:val="auto"/>
                <w:highlight w:val="none"/>
              </w:rPr>
              <w:t>安全检查表</w:t>
            </w:r>
          </w:p>
        </w:tc>
      </w:tr>
    </w:tbl>
    <w:p w14:paraId="52244562">
      <w:pPr>
        <w:adjustRightInd w:val="0"/>
        <w:snapToGrid w:val="0"/>
        <w:spacing w:line="360" w:lineRule="auto"/>
        <w:ind w:firstLine="562" w:firstLineChars="200"/>
        <w:outlineLvl w:val="2"/>
        <w:rPr>
          <w:rFonts w:hint="eastAsia" w:ascii="黑体" w:hAnsi="宋体" w:eastAsia="黑体"/>
          <w:b/>
          <w:color w:val="auto"/>
          <w:sz w:val="28"/>
          <w:szCs w:val="28"/>
          <w:highlight w:val="none"/>
        </w:rPr>
      </w:pPr>
      <w:r>
        <w:rPr>
          <w:rFonts w:hint="eastAsia" w:ascii="黑体" w:hAnsi="宋体" w:eastAsia="黑体"/>
          <w:b/>
          <w:color w:val="auto"/>
          <w:sz w:val="28"/>
          <w:szCs w:val="28"/>
          <w:highlight w:val="none"/>
        </w:rPr>
        <w:t>4.2.2 评价方法选用说明</w:t>
      </w:r>
    </w:p>
    <w:p w14:paraId="067385CA">
      <w:pPr>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（1）对上述4个评价单元采用安全检查表法，判断设计、安装中涉及的安全设施及对策措施的充分性。</w:t>
      </w:r>
    </w:p>
    <w:p w14:paraId="77066E07">
      <w:pPr>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（2）对上述4个评价单元存在的危险、有害因素采用预先危险性分析法（PHA），预测各危险、有害因素的固有危险、有害程度。</w:t>
      </w:r>
    </w:p>
    <w:p w14:paraId="15355F2F">
      <w:pPr>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（3）通过事故树分析详细查明系统各种固有、潜在的危险因素或事故原因，为项目正式运营制定安全技术对策、采取安全管理措施和事故分析提供依据。</w:t>
      </w:r>
    </w:p>
    <w:p w14:paraId="38B6AE04">
      <w:pPr>
        <w:pStyle w:val="2"/>
        <w:adjustRightInd w:val="0"/>
        <w:snapToGrid w:val="0"/>
        <w:spacing w:before="0" w:after="0" w:line="360" w:lineRule="auto"/>
        <w:jc w:val="center"/>
        <w:rPr>
          <w:rFonts w:hint="eastAsia" w:ascii="楷体_GB2312" w:eastAsia="楷体_GB2312"/>
          <w:color w:val="auto"/>
          <w:highlight w:val="none"/>
        </w:rPr>
      </w:pPr>
    </w:p>
    <w:bookmarkEnd w:id="6"/>
    <w:p w14:paraId="3B8B7285">
      <w:pPr>
        <w:widowControl/>
        <w:spacing w:line="360" w:lineRule="auto"/>
        <w:jc w:val="center"/>
        <w:textAlignment w:val="baseline"/>
        <w:rPr>
          <w:rFonts w:hint="eastAsia" w:ascii="黑体" w:hAnsi="黑体" w:eastAsia="黑体" w:cs="黑体"/>
          <w:color w:val="auto"/>
          <w:kern w:val="0"/>
          <w:sz w:val="24"/>
          <w:szCs w:val="24"/>
          <w:u w:color="000000"/>
          <w:lang w:val="en-US" w:eastAsia="zh-CN"/>
        </w:rPr>
      </w:pPr>
      <w:r>
        <w:rPr>
          <w:rFonts w:hint="eastAsia" w:ascii="黑体" w:hAnsi="黑体" w:eastAsia="黑体" w:cs="黑体"/>
          <w:b/>
          <w:color w:val="auto"/>
          <w:sz w:val="28"/>
          <w:szCs w:val="28"/>
          <w:highlight w:val="none"/>
        </w:rPr>
        <w:br w:type="page"/>
      </w:r>
    </w:p>
    <w:p w14:paraId="4A5CE8F0">
      <w:pPr>
        <w:pStyle w:val="10"/>
        <w:rPr>
          <w:rFonts w:hint="eastAsia"/>
          <w:lang w:val="en-US" w:eastAsia="zh-CN"/>
        </w:rPr>
      </w:pPr>
      <w:r>
        <w:rPr>
          <w:rFonts w:hint="eastAsia"/>
          <w:lang w:val="en-US" w:eastAsia="zh-CN"/>
        </w:rPr>
        <w:drawing>
          <wp:inline distT="0" distB="0" distL="114300" distR="114300">
            <wp:extent cx="5721985" cy="4291330"/>
            <wp:effectExtent l="0" t="0" r="8255" b="6350"/>
            <wp:docPr id="5" name="图片 5" descr="8d34ba076da6c8b1317da4393243e4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d34ba076da6c8b1317da4393243e40d"/>
                    <pic:cNvPicPr>
                      <a:picLocks noChangeAspect="1"/>
                    </pic:cNvPicPr>
                  </pic:nvPicPr>
                  <pic:blipFill>
                    <a:blip r:embed="rId4"/>
                    <a:stretch>
                      <a:fillRect/>
                    </a:stretch>
                  </pic:blipFill>
                  <pic:spPr>
                    <a:xfrm>
                      <a:off x="0" y="0"/>
                      <a:ext cx="5721985" cy="4291330"/>
                    </a:xfrm>
                    <a:prstGeom prst="rect">
                      <a:avLst/>
                    </a:prstGeom>
                  </pic:spPr>
                </pic:pic>
              </a:graphicData>
            </a:graphic>
          </wp:inline>
        </w:drawing>
      </w:r>
      <w:r>
        <w:rPr>
          <w:rFonts w:hint="eastAsia"/>
          <w:lang w:val="en-US" w:eastAsia="zh-CN"/>
        </w:rPr>
        <w:drawing>
          <wp:inline distT="0" distB="0" distL="114300" distR="114300">
            <wp:extent cx="5721985" cy="4291330"/>
            <wp:effectExtent l="0" t="0" r="8255" b="6350"/>
            <wp:docPr id="6" name="图片 6" descr="b916c7cebbcbbbe0d8af707af5668f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b916c7cebbcbbbe0d8af707af5668fbd"/>
                    <pic:cNvPicPr>
                      <a:picLocks noChangeAspect="1"/>
                    </pic:cNvPicPr>
                  </pic:nvPicPr>
                  <pic:blipFill>
                    <a:blip r:embed="rId5"/>
                    <a:stretch>
                      <a:fillRect/>
                    </a:stretch>
                  </pic:blipFill>
                  <pic:spPr>
                    <a:xfrm>
                      <a:off x="0" y="0"/>
                      <a:ext cx="5721985" cy="4291330"/>
                    </a:xfrm>
                    <a:prstGeom prst="rect">
                      <a:avLst/>
                    </a:prstGeom>
                  </pic:spPr>
                </pic:pic>
              </a:graphicData>
            </a:graphic>
          </wp:inline>
        </w:drawing>
      </w:r>
    </w:p>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xZWMwZmRjMzZlYzM2NWRiYjJmYjFkYTJjZWJiMTcifQ=="/>
  </w:docVars>
  <w:rsids>
    <w:rsidRoot w:val="35CC29B8"/>
    <w:rsid w:val="03CC63D7"/>
    <w:rsid w:val="04F76473"/>
    <w:rsid w:val="07A11E1A"/>
    <w:rsid w:val="09D5345C"/>
    <w:rsid w:val="0A1C5EDC"/>
    <w:rsid w:val="0A27015B"/>
    <w:rsid w:val="0A5D5908"/>
    <w:rsid w:val="0B976389"/>
    <w:rsid w:val="0BD51C61"/>
    <w:rsid w:val="0EDC1223"/>
    <w:rsid w:val="12386C7D"/>
    <w:rsid w:val="13D12EE6"/>
    <w:rsid w:val="141A7924"/>
    <w:rsid w:val="153C4810"/>
    <w:rsid w:val="160D5A33"/>
    <w:rsid w:val="16BC1C2B"/>
    <w:rsid w:val="1C4A2E55"/>
    <w:rsid w:val="1DE92E23"/>
    <w:rsid w:val="1DFD0355"/>
    <w:rsid w:val="1E1E483E"/>
    <w:rsid w:val="1F5B398D"/>
    <w:rsid w:val="1FF73CD4"/>
    <w:rsid w:val="22CB7136"/>
    <w:rsid w:val="284F788D"/>
    <w:rsid w:val="2A9D36CA"/>
    <w:rsid w:val="2CBC252D"/>
    <w:rsid w:val="2E5E68CC"/>
    <w:rsid w:val="2EC41433"/>
    <w:rsid w:val="2F917EEC"/>
    <w:rsid w:val="305C2962"/>
    <w:rsid w:val="31297B3A"/>
    <w:rsid w:val="355F439E"/>
    <w:rsid w:val="35CC29B8"/>
    <w:rsid w:val="361E3E5D"/>
    <w:rsid w:val="37A6654A"/>
    <w:rsid w:val="386A7D3B"/>
    <w:rsid w:val="38B36882"/>
    <w:rsid w:val="3BB85D78"/>
    <w:rsid w:val="3C176B62"/>
    <w:rsid w:val="420C1409"/>
    <w:rsid w:val="43CB4C37"/>
    <w:rsid w:val="4706325F"/>
    <w:rsid w:val="47290367"/>
    <w:rsid w:val="48FE4AE5"/>
    <w:rsid w:val="4ECC7680"/>
    <w:rsid w:val="4F5D6EDB"/>
    <w:rsid w:val="537F016A"/>
    <w:rsid w:val="563D798B"/>
    <w:rsid w:val="567C6788"/>
    <w:rsid w:val="579A241E"/>
    <w:rsid w:val="58840D76"/>
    <w:rsid w:val="58A8560A"/>
    <w:rsid w:val="5C8B1D2D"/>
    <w:rsid w:val="5D511379"/>
    <w:rsid w:val="60FB542C"/>
    <w:rsid w:val="620622D4"/>
    <w:rsid w:val="62DF5092"/>
    <w:rsid w:val="636808F8"/>
    <w:rsid w:val="64FD4259"/>
    <w:rsid w:val="68A06CD2"/>
    <w:rsid w:val="69194288"/>
    <w:rsid w:val="6A640607"/>
    <w:rsid w:val="6AD40467"/>
    <w:rsid w:val="6B3179BA"/>
    <w:rsid w:val="6BF95CAB"/>
    <w:rsid w:val="6C4D48B3"/>
    <w:rsid w:val="6D0669CA"/>
    <w:rsid w:val="6FDF53A7"/>
    <w:rsid w:val="717A11AE"/>
    <w:rsid w:val="72FD2CFB"/>
    <w:rsid w:val="74AE7C8C"/>
    <w:rsid w:val="76511CAD"/>
    <w:rsid w:val="769C7074"/>
    <w:rsid w:val="7772596D"/>
    <w:rsid w:val="788E5851"/>
    <w:rsid w:val="7AB02F22"/>
    <w:rsid w:val="7B7179AA"/>
    <w:rsid w:val="7C9C2DAE"/>
    <w:rsid w:val="7DCC38D1"/>
    <w:rsid w:val="7DD14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line="560" w:lineRule="exact"/>
      <w:ind w:firstLine="200"/>
      <w:jc w:val="center"/>
      <w:outlineLvl w:val="1"/>
    </w:pPr>
    <w:rPr>
      <w:rFonts w:eastAsia="楷体_GB2312"/>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ind w:firstLine="420"/>
    </w:pPr>
  </w:style>
  <w:style w:type="paragraph" w:styleId="4">
    <w:name w:val="annotation text"/>
    <w:basedOn w:val="1"/>
    <w:qFormat/>
    <w:uiPriority w:val="99"/>
    <w:pPr>
      <w:ind w:firstLine="200" w:firstLineChars="200"/>
      <w:jc w:val="left"/>
    </w:pPr>
    <w:rPr>
      <w:sz w:val="28"/>
      <w:szCs w:val="20"/>
      <w:u w:color="000000"/>
    </w:rPr>
  </w:style>
  <w:style w:type="paragraph" w:styleId="5">
    <w:name w:val="Body Text"/>
    <w:basedOn w:val="1"/>
    <w:qFormat/>
    <w:uiPriority w:val="99"/>
    <w:pPr>
      <w:widowControl/>
      <w:spacing w:line="520" w:lineRule="exact"/>
      <w:ind w:firstLine="200" w:firstLineChars="200"/>
      <w:textAlignment w:val="baseline"/>
    </w:pPr>
    <w:rPr>
      <w:rFonts w:ascii="宋体" w:hAnsi="宋体"/>
      <w:color w:val="000000"/>
      <w:spacing w:val="10"/>
      <w:kern w:val="0"/>
      <w:sz w:val="24"/>
      <w:szCs w:val="24"/>
      <w:u w:color="000000"/>
    </w:rPr>
  </w:style>
  <w:style w:type="paragraph" w:styleId="6">
    <w:name w:val="Body Text Indent"/>
    <w:basedOn w:val="1"/>
    <w:next w:val="7"/>
    <w:qFormat/>
    <w:uiPriority w:val="0"/>
    <w:pPr>
      <w:spacing w:after="120"/>
      <w:ind w:left="420" w:leftChars="200"/>
    </w:pPr>
  </w:style>
  <w:style w:type="paragraph" w:styleId="7">
    <w:name w:val="Body Text First Indent"/>
    <w:basedOn w:val="5"/>
    <w:next w:val="1"/>
    <w:qFormat/>
    <w:uiPriority w:val="0"/>
    <w:pPr>
      <w:ind w:firstLine="420" w:firstLineChars="100"/>
    </w:pPr>
    <w:rPr>
      <w:b/>
      <w:u w:val="single"/>
    </w:rPr>
  </w:style>
  <w:style w:type="paragraph" w:styleId="8">
    <w:name w:val="Plain Text"/>
    <w:basedOn w:val="1"/>
    <w:unhideWhenUsed/>
    <w:qFormat/>
    <w:uiPriority w:val="99"/>
    <w:rPr>
      <w:rFonts w:ascii="宋体" w:hAnsi="Courier New"/>
      <w:kern w:val="0"/>
      <w:sz w:val="20"/>
      <w:szCs w:val="20"/>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2"/>
    <w:basedOn w:val="6"/>
    <w:qFormat/>
    <w:uiPriority w:val="0"/>
    <w:pPr>
      <w:ind w:firstLine="420" w:firstLineChars="200"/>
    </w:pPr>
    <w:rPr>
      <w:rFonts w:ascii="宋体" w:hAnsi="宋体"/>
      <w:spacing w:val="8"/>
      <w:kern w:val="2"/>
      <w:sz w:val="21"/>
      <w:szCs w:val="24"/>
    </w:rPr>
  </w:style>
  <w:style w:type="character" w:styleId="13">
    <w:name w:val="annotation reference"/>
    <w:qFormat/>
    <w:uiPriority w:val="99"/>
    <w:rPr>
      <w:sz w:val="21"/>
      <w:szCs w:val="21"/>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
    <w:name w:val="111"/>
    <w:basedOn w:val="16"/>
    <w:qFormat/>
    <w:uiPriority w:val="0"/>
    <w:pPr>
      <w:widowControl/>
      <w:spacing w:beforeAutospacing="0" w:afterAutospacing="0"/>
      <w:jc w:val="left"/>
    </w:pPr>
    <w:rPr>
      <w:rFonts w:ascii="宋体" w:hAnsi="宋体" w:eastAsia="宋体" w:cs="宋体"/>
      <w:kern w:val="0"/>
      <w:sz w:val="24"/>
      <w:szCs w:val="24"/>
    </w:rPr>
  </w:style>
  <w:style w:type="paragraph" w:customStyle="1" w:styleId="16">
    <w:name w:val="题目"/>
    <w:basedOn w:val="1"/>
    <w:qFormat/>
    <w:uiPriority w:val="0"/>
    <w:pPr>
      <w:jc w:val="center"/>
      <w:outlineLvl w:val="0"/>
    </w:pPr>
    <w:rPr>
      <w:rFonts w:ascii="黑体" w:hAnsi="黑体" w:eastAsia="黑体"/>
      <w:sz w:val="32"/>
      <w:szCs w:val="32"/>
    </w:rPr>
  </w:style>
  <w:style w:type="paragraph" w:customStyle="1" w:styleId="17">
    <w:name w:val="Table Text"/>
    <w:basedOn w:val="1"/>
    <w:semiHidden/>
    <w:qFormat/>
    <w:uiPriority w:val="0"/>
    <w:rPr>
      <w:rFonts w:ascii="宋体" w:hAnsi="宋体" w:eastAsia="宋体" w:cs="宋体"/>
      <w:sz w:val="20"/>
      <w:szCs w:val="20"/>
      <w:lang w:val="en-US" w:eastAsia="en-US" w:bidi="ar-SA"/>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6评价正文"/>
    <w:qFormat/>
    <w:uiPriority w:val="0"/>
    <w:pPr>
      <w:spacing w:line="520" w:lineRule="exact"/>
      <w:ind w:firstLine="200" w:firstLineChars="200"/>
      <w:jc w:val="both"/>
    </w:pPr>
    <w:rPr>
      <w:rFonts w:ascii="Times New Roman" w:hAnsi="Times New Roman" w:eastAsia="宋体" w:cs="Times New Roman"/>
      <w:sz w:val="28"/>
      <w:lang w:val="en-US" w:eastAsia="zh-CN" w:bidi="ar-SA"/>
    </w:rPr>
  </w:style>
  <w:style w:type="paragraph" w:customStyle="1" w:styleId="20">
    <w:name w:val="1评价标题"/>
    <w:qFormat/>
    <w:uiPriority w:val="0"/>
    <w:pPr>
      <w:pageBreakBefore/>
      <w:spacing w:before="100" w:beforeLines="100" w:after="100" w:afterLines="100" w:line="520" w:lineRule="exact"/>
      <w:jc w:val="center"/>
      <w:outlineLvl w:val="0"/>
    </w:pPr>
    <w:rPr>
      <w:rFonts w:ascii="Times New Roman" w:hAnsi="Times New Roman" w:eastAsia="黑体" w:cs="Times New Roman"/>
      <w:kern w:val="2"/>
      <w:sz w:val="32"/>
      <w:szCs w:val="21"/>
      <w:lang w:val="en-US" w:eastAsia="zh-CN" w:bidi="ar-SA"/>
    </w:rPr>
  </w:style>
  <w:style w:type="paragraph" w:customStyle="1" w:styleId="21">
    <w:name w:val="5标题评价表格"/>
    <w:qFormat/>
    <w:uiPriority w:val="0"/>
    <w:pPr>
      <w:spacing w:line="520" w:lineRule="exact"/>
      <w:jc w:val="center"/>
      <w:outlineLvl w:val="4"/>
    </w:pPr>
    <w:rPr>
      <w:rFonts w:ascii="Times New Roman" w:hAnsi="Times New Roman" w:eastAsia="黑体" w:cs="Times New Roman"/>
      <w:kern w:val="2"/>
      <w:sz w:val="24"/>
      <w:szCs w:val="28"/>
      <w:u w:color="000000"/>
      <w:lang w:val="en-US" w:eastAsia="zh-CN" w:bidi="ar-SA"/>
    </w:rPr>
  </w:style>
  <w:style w:type="paragraph" w:customStyle="1" w:styleId="22">
    <w:name w:val="5内容评价表格"/>
    <w:qFormat/>
    <w:uiPriority w:val="0"/>
    <w:pPr>
      <w:spacing w:line="300" w:lineRule="exact"/>
      <w:jc w:val="center"/>
    </w:pPr>
    <w:rPr>
      <w:rFonts w:ascii="Times New Roman" w:hAnsi="Times New Roman" w:eastAsia="宋体" w:cs="Times New Roman"/>
      <w:kern w:val="2"/>
      <w:sz w:val="21"/>
      <w:szCs w:val="21"/>
      <w:u w:color="000000"/>
      <w:lang w:val="en-US" w:eastAsia="zh-CN" w:bidi="ar-SA"/>
    </w:rPr>
  </w:style>
  <w:style w:type="paragraph" w:customStyle="1" w:styleId="23">
    <w:name w:val="7评价备注"/>
    <w:qFormat/>
    <w:uiPriority w:val="0"/>
    <w:pPr>
      <w:spacing w:line="400" w:lineRule="exact"/>
      <w:ind w:firstLine="200" w:firstLineChars="200"/>
    </w:pPr>
    <w:rPr>
      <w:rFonts w:ascii="Times New Roman" w:hAnsi="Times New Roman" w:eastAsia="黑体" w:cs="Times New Roman"/>
      <w:spacing w:val="4"/>
      <w:kern w:val="2"/>
      <w:sz w:val="21"/>
      <w:szCs w:val="24"/>
      <w:lang w:val="en-US" w:eastAsia="zh-CN" w:bidi="ar-SA"/>
    </w:rPr>
  </w:style>
  <w:style w:type="paragraph" w:customStyle="1" w:styleId="24">
    <w:name w:val="3评价标题"/>
    <w:qFormat/>
    <w:uiPriority w:val="0"/>
    <w:pPr>
      <w:spacing w:line="520" w:lineRule="exact"/>
      <w:ind w:firstLine="200" w:firstLineChars="200"/>
      <w:outlineLvl w:val="2"/>
    </w:pPr>
    <w:rPr>
      <w:rFonts w:ascii="Times New Roman" w:hAnsi="Times New Roman" w:eastAsia="黑体" w:cs="Times New Roman"/>
      <w:sz w:val="28"/>
      <w:u w:color="000000"/>
      <w:lang w:val="en-US" w:eastAsia="zh-CN" w:bidi="ar-SA"/>
    </w:rPr>
  </w:style>
  <w:style w:type="paragraph" w:customStyle="1" w:styleId="25">
    <w:name w:val="表内文字"/>
    <w:basedOn w:val="8"/>
    <w:qFormat/>
    <w:uiPriority w:val="0"/>
    <w:pPr>
      <w:spacing w:line="320" w:lineRule="exact"/>
      <w:jc w:val="center"/>
    </w:pPr>
    <w:rPr>
      <w:rFonts w:ascii="Times New Roman" w:hAnsi="Times New Roman"/>
      <w:kern w:val="2"/>
      <w:sz w:val="21"/>
      <w:szCs w:val="21"/>
      <w:u w:color="000000"/>
    </w:rPr>
  </w:style>
  <w:style w:type="paragraph" w:customStyle="1" w:styleId="26">
    <w:name w:val="5表格内容"/>
    <w:basedOn w:val="27"/>
    <w:qFormat/>
    <w:uiPriority w:val="0"/>
    <w:pPr>
      <w:spacing w:beforeLines="0" w:line="300" w:lineRule="exact"/>
    </w:pPr>
    <w:rPr>
      <w:rFonts w:eastAsia="宋体"/>
      <w:color w:val="auto"/>
      <w:sz w:val="21"/>
      <w:szCs w:val="21"/>
    </w:rPr>
  </w:style>
  <w:style w:type="paragraph" w:customStyle="1" w:styleId="27">
    <w:name w:val="表名"/>
    <w:basedOn w:val="8"/>
    <w:qFormat/>
    <w:uiPriority w:val="0"/>
    <w:pPr>
      <w:spacing w:beforeLines="50" w:line="360" w:lineRule="exact"/>
      <w:jc w:val="center"/>
    </w:pPr>
    <w:rPr>
      <w:rFonts w:ascii="Times New Roman" w:hAnsi="Times New Roman" w:eastAsia="黑体"/>
      <w:color w:val="000000"/>
      <w:kern w:val="2"/>
      <w:sz w:val="24"/>
      <w:szCs w:val="28"/>
      <w:u w:color="000000"/>
    </w:rPr>
  </w:style>
  <w:style w:type="paragraph" w:customStyle="1" w:styleId="28">
    <w:name w:val="6表格标题"/>
    <w:basedOn w:val="29"/>
    <w:qFormat/>
    <w:uiPriority w:val="0"/>
    <w:pPr>
      <w:widowControl/>
      <w:spacing w:line="520" w:lineRule="exact"/>
      <w:jc w:val="center"/>
      <w:outlineLvl w:val="4"/>
    </w:pPr>
    <w:rPr>
      <w:color w:val="FF0000"/>
    </w:rPr>
  </w:style>
  <w:style w:type="paragraph" w:customStyle="1" w:styleId="29">
    <w:name w:val="评价表格标题"/>
    <w:qFormat/>
    <w:uiPriority w:val="99"/>
    <w:pPr>
      <w:spacing w:line="400" w:lineRule="exact"/>
      <w:jc w:val="center"/>
    </w:pPr>
    <w:rPr>
      <w:rFonts w:ascii="Times New Roman" w:hAnsi="Times New Roman" w:eastAsia="黑体" w:cs="Times New Roman"/>
      <w:color w:val="000000"/>
      <w:sz w:val="24"/>
      <w:szCs w:val="24"/>
      <w:lang w:val="en-US" w:eastAsia="zh-CN" w:bidi="ar-SA"/>
    </w:rPr>
  </w:style>
  <w:style w:type="paragraph" w:customStyle="1" w:styleId="30">
    <w:name w:val="正文1"/>
    <w:basedOn w:val="1"/>
    <w:qFormat/>
    <w:uiPriority w:val="0"/>
    <w:pPr>
      <w:snapToGrid w:val="0"/>
      <w:spacing w:line="360" w:lineRule="exact"/>
      <w:jc w:val="center"/>
    </w:pPr>
    <w:rPr>
      <w:snapToGrid w:val="0"/>
      <w:kern w:val="21"/>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3958</Words>
  <Characters>4577</Characters>
  <Lines>0</Lines>
  <Paragraphs>0</Paragraphs>
  <TotalTime>0</TotalTime>
  <ScaleCrop>false</ScaleCrop>
  <LinksUpToDate>false</LinksUpToDate>
  <CharactersWithSpaces>4592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2023-09-27T02:48:00Z</dcterms:created>
  <dc:creator>天舞</dc:creator>
  <cp:lastModifiedBy>A</cp:lastModifiedBy>
  <dcterms:modified xsi:type="dcterms:W3CDTF">2026-06-29T04:50:25Z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158E41C4130D45F7BB2A42425FB8946B_11</vt:lpwstr>
  </property>
  <property fmtid="{D5CDD505-2E9C-101B-9397-08002B2CF9AE}" pid="4" name="KSOTemplateDocerSaveRecord">
    <vt:lpwstr>eyJoZGlkIjoiMDljOTcxNjNhZDBjMjhkNDI1NDUxNmZjNjcwNDIwYjMiLCJ1c2VySWQiOiI0NDUyNjk3NzEifQ==</vt:lpwstr>
  </property>
</Properties>
</file>