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B9779">
      <w:pPr>
        <w:jc w:val="center"/>
        <w:rPr>
          <w:rFonts w:hint="eastAsia" w:ascii="黑体" w:hAnsi="黑体" w:eastAsia="黑体" w:cs="黑体"/>
          <w:sz w:val="28"/>
          <w:szCs w:val="28"/>
        </w:rPr>
      </w:pPr>
      <w:r>
        <w:rPr>
          <w:rFonts w:hint="eastAsia" w:ascii="黑体" w:hAnsi="黑体" w:eastAsia="黑体" w:cs="黑体"/>
          <w:sz w:val="28"/>
          <w:szCs w:val="28"/>
        </w:rPr>
        <w:t>安全评价项目信息表</w:t>
      </w:r>
    </w:p>
    <w:p w14:paraId="2E2E7E1F">
      <w:pPr>
        <w:rPr>
          <w:rFonts w:hint="eastAsia"/>
          <w:sz w:val="21"/>
          <w:szCs w:val="21"/>
          <w:lang w:val="en-US" w:eastAsia="zh-CN"/>
        </w:rPr>
      </w:pPr>
      <w:r>
        <w:rPr>
          <w:rFonts w:hint="eastAsia"/>
          <w:sz w:val="21"/>
          <w:szCs w:val="21"/>
          <w:lang w:val="en-US" w:eastAsia="zh-CN"/>
        </w:rPr>
        <w:t>项目编号：</w:t>
      </w:r>
    </w:p>
    <w:tbl>
      <w:tblPr>
        <w:tblStyle w:val="9"/>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68" w:type="dxa"/>
          <w:left w:w="108" w:type="dxa"/>
          <w:bottom w:w="68" w:type="dxa"/>
          <w:right w:w="108" w:type="dxa"/>
        </w:tblCellMar>
      </w:tblPr>
      <w:tblGrid>
        <w:gridCol w:w="1854"/>
        <w:gridCol w:w="2214"/>
        <w:gridCol w:w="2378"/>
        <w:gridCol w:w="2953"/>
      </w:tblGrid>
      <w:tr w14:paraId="332239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2F45E6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项目名称</w:t>
            </w:r>
          </w:p>
        </w:tc>
        <w:tc>
          <w:tcPr>
            <w:tcW w:w="7545" w:type="dxa"/>
            <w:gridSpan w:val="3"/>
            <w:tcBorders>
              <w:tl2br w:val="nil"/>
              <w:tr2bl w:val="nil"/>
            </w:tcBorders>
            <w:shd w:val="clear" w:color="auto" w:fill="auto"/>
            <w:vAlign w:val="center"/>
          </w:tcPr>
          <w:p w14:paraId="5F0EE62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rPr>
            </w:pPr>
            <w:r>
              <w:rPr>
                <w:rFonts w:hint="eastAsia"/>
                <w:color w:val="000000"/>
                <w:szCs w:val="21"/>
                <w:lang w:val="en-US" w:eastAsia="zh-CN"/>
              </w:rPr>
              <w:t>山东复圣化工有限公司二车间“三化改造”及除尘设施改造提升项目安全设施竣工验收评价</w:t>
            </w:r>
          </w:p>
        </w:tc>
      </w:tr>
      <w:tr w14:paraId="1F3FA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966" w:hRule="atLeast"/>
          <w:jc w:val="center"/>
        </w:trPr>
        <w:tc>
          <w:tcPr>
            <w:tcW w:w="1854" w:type="dxa"/>
            <w:tcBorders>
              <w:tl2br w:val="nil"/>
              <w:tr2bl w:val="nil"/>
            </w:tcBorders>
            <w:shd w:val="clear" w:color="auto" w:fill="auto"/>
            <w:vAlign w:val="center"/>
          </w:tcPr>
          <w:p w14:paraId="591D3CED">
            <w:pPr>
              <w:autoSpaceDE w:val="0"/>
              <w:autoSpaceDN w:val="0"/>
              <w:adjustRightInd w:val="0"/>
              <w:snapToGrid w:val="0"/>
              <w:spacing w:line="240" w:lineRule="auto"/>
              <w:ind w:firstLine="0" w:firstLineChars="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项目简介</w:t>
            </w:r>
          </w:p>
        </w:tc>
        <w:tc>
          <w:tcPr>
            <w:tcW w:w="7545" w:type="dxa"/>
            <w:gridSpan w:val="3"/>
            <w:tcBorders>
              <w:tl2br w:val="nil"/>
              <w:tr2bl w:val="nil"/>
            </w:tcBorders>
            <w:shd w:val="clear" w:color="auto" w:fill="auto"/>
            <w:noWrap/>
            <w:vAlign w:val="center"/>
          </w:tcPr>
          <w:p w14:paraId="2072520D">
            <w:pPr>
              <w:pStyle w:val="24"/>
              <w:adjustRightInd w:val="0"/>
              <w:snapToGrid w:val="0"/>
              <w:jc w:val="left"/>
              <w:rPr>
                <w:rFonts w:hint="eastAsia" w:ascii="宋体" w:hAnsi="宋体" w:cs="宋体" w:eastAsiaTheme="minorEastAsia"/>
                <w:b w:val="0"/>
                <w:bCs w:val="0"/>
                <w:color w:val="auto"/>
                <w:kern w:val="0"/>
                <w:sz w:val="21"/>
                <w:szCs w:val="21"/>
                <w:highlight w:val="none"/>
                <w:lang w:eastAsia="zh-CN"/>
              </w:rPr>
            </w:pPr>
            <w:r>
              <w:rPr>
                <w:rFonts w:hint="eastAsia"/>
                <w:color w:val="auto"/>
                <w:lang w:val="en-US" w:eastAsia="zh-CN"/>
              </w:rPr>
              <w:t>依托原有二氯异氰尿酸悬浊液自流入转鼓抽滤，滤饼经皮带输送至中和混料器，滤液进入环保污水处理站处理；将碳酸钠吨包运至碳酸钠自动上料料仓，经罗次风机引风将环境空气和碳酸钠粉风送至四楼碳酸钠料仓，再经小碱仓称重后用皮带送至中和混料器与二氯异氰尿酸滤饼混合，反应生成二氯异氰尿酸钠湿品，通过进料U型钛螺旋经细混机细混后，再经送入流化床干燥烘干，经振动流化床干燥后，干燥后的粉剂经物料输送系统送至造粒前料仓，再经造粒机造粒后，通过振动筛筛分后装吨袋，吨包自动称重包装后由单轨吊转运至物料暂存区。</w:t>
            </w:r>
          </w:p>
        </w:tc>
      </w:tr>
      <w:tr w14:paraId="24236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3634F0C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评价人员</w:t>
            </w:r>
          </w:p>
        </w:tc>
        <w:tc>
          <w:tcPr>
            <w:tcW w:w="4592" w:type="dxa"/>
            <w:gridSpan w:val="2"/>
            <w:tcBorders>
              <w:tl2br w:val="nil"/>
              <w:tr2bl w:val="nil"/>
            </w:tcBorders>
            <w:shd w:val="clear" w:color="auto" w:fill="auto"/>
            <w:noWrap/>
            <w:vAlign w:val="center"/>
          </w:tcPr>
          <w:p w14:paraId="7AFCBB5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姓  名</w:t>
            </w:r>
          </w:p>
        </w:tc>
        <w:tc>
          <w:tcPr>
            <w:tcW w:w="2953" w:type="dxa"/>
            <w:tcBorders>
              <w:tl2br w:val="nil"/>
              <w:tr2bl w:val="nil"/>
            </w:tcBorders>
            <w:shd w:val="clear" w:color="auto" w:fill="auto"/>
            <w:noWrap/>
            <w:vAlign w:val="center"/>
          </w:tcPr>
          <w:p w14:paraId="4459B1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备注</w:t>
            </w:r>
          </w:p>
        </w:tc>
      </w:tr>
      <w:tr w14:paraId="07127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20029CA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w:t>
            </w:r>
          </w:p>
        </w:tc>
        <w:tc>
          <w:tcPr>
            <w:tcW w:w="4592" w:type="dxa"/>
            <w:gridSpan w:val="2"/>
            <w:tcBorders>
              <w:tl2br w:val="nil"/>
              <w:tr2bl w:val="nil"/>
            </w:tcBorders>
            <w:shd w:val="clear" w:color="auto" w:fill="auto"/>
            <w:noWrap/>
            <w:vAlign w:val="center"/>
          </w:tcPr>
          <w:p w14:paraId="054FFDF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13B5539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068D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restart"/>
            <w:tcBorders>
              <w:tl2br w:val="nil"/>
              <w:tr2bl w:val="nil"/>
            </w:tcBorders>
            <w:shd w:val="clear" w:color="auto" w:fill="auto"/>
            <w:vAlign w:val="center"/>
          </w:tcPr>
          <w:p w14:paraId="5BB9D89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项目组成员</w:t>
            </w:r>
          </w:p>
        </w:tc>
        <w:tc>
          <w:tcPr>
            <w:tcW w:w="4592" w:type="dxa"/>
            <w:gridSpan w:val="2"/>
            <w:tcBorders>
              <w:tl2br w:val="nil"/>
              <w:tr2bl w:val="nil"/>
            </w:tcBorders>
            <w:shd w:val="clear" w:color="auto" w:fill="auto"/>
            <w:noWrap/>
            <w:vAlign w:val="center"/>
          </w:tcPr>
          <w:p w14:paraId="08442A67">
            <w:pPr>
              <w:spacing w:line="360" w:lineRule="auto"/>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szCs w:val="21"/>
              </w:rPr>
              <w:t>王 静</w:t>
            </w:r>
          </w:p>
        </w:tc>
        <w:tc>
          <w:tcPr>
            <w:tcW w:w="2953" w:type="dxa"/>
            <w:tcBorders>
              <w:tl2br w:val="nil"/>
              <w:tr2bl w:val="nil"/>
            </w:tcBorders>
            <w:shd w:val="clear" w:color="auto" w:fill="auto"/>
            <w:noWrap/>
            <w:vAlign w:val="center"/>
          </w:tcPr>
          <w:p w14:paraId="38A9161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51D2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4BBF44E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0A5C369D">
            <w:pPr>
              <w:spacing w:line="360" w:lineRule="auto"/>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szCs w:val="21"/>
              </w:rPr>
              <w:t>刘卫国</w:t>
            </w:r>
          </w:p>
        </w:tc>
        <w:tc>
          <w:tcPr>
            <w:tcW w:w="2953" w:type="dxa"/>
            <w:tcBorders>
              <w:tl2br w:val="nil"/>
              <w:tr2bl w:val="nil"/>
            </w:tcBorders>
            <w:shd w:val="clear" w:color="auto" w:fill="auto"/>
            <w:noWrap/>
            <w:vAlign w:val="center"/>
          </w:tcPr>
          <w:p w14:paraId="252EC6F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2F889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D09BAD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01431AE7">
            <w:pPr>
              <w:spacing w:line="360" w:lineRule="auto"/>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szCs w:val="21"/>
                <w:lang w:val="en-US" w:eastAsia="zh-CN"/>
              </w:rPr>
              <w:t>赵云峰</w:t>
            </w:r>
          </w:p>
        </w:tc>
        <w:tc>
          <w:tcPr>
            <w:tcW w:w="2953" w:type="dxa"/>
            <w:tcBorders>
              <w:tl2br w:val="nil"/>
              <w:tr2bl w:val="nil"/>
            </w:tcBorders>
            <w:shd w:val="clear" w:color="auto" w:fill="auto"/>
            <w:noWrap/>
            <w:vAlign w:val="center"/>
          </w:tcPr>
          <w:p w14:paraId="5892932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C126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57244E7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57E32863">
            <w:pPr>
              <w:spacing w:line="360" w:lineRule="auto"/>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color w:val="000000"/>
                <w:szCs w:val="21"/>
              </w:rPr>
              <w:t xml:space="preserve">马琳琳 </w:t>
            </w:r>
          </w:p>
        </w:tc>
        <w:tc>
          <w:tcPr>
            <w:tcW w:w="2953" w:type="dxa"/>
            <w:tcBorders>
              <w:tl2br w:val="nil"/>
              <w:tr2bl w:val="nil"/>
            </w:tcBorders>
            <w:shd w:val="clear" w:color="auto" w:fill="auto"/>
            <w:noWrap/>
            <w:vAlign w:val="center"/>
          </w:tcPr>
          <w:p w14:paraId="6DD091F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27B4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D776A54">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报告编制人</w:t>
            </w:r>
          </w:p>
        </w:tc>
        <w:tc>
          <w:tcPr>
            <w:tcW w:w="4592" w:type="dxa"/>
            <w:gridSpan w:val="2"/>
            <w:tcBorders>
              <w:tl2br w:val="nil"/>
              <w:tr2bl w:val="nil"/>
            </w:tcBorders>
            <w:shd w:val="clear" w:color="auto" w:fill="auto"/>
            <w:noWrap/>
            <w:vAlign w:val="center"/>
          </w:tcPr>
          <w:p w14:paraId="4C20FD21">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79A2C8F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D33E9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D943057">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报告审核人</w:t>
            </w:r>
          </w:p>
        </w:tc>
        <w:tc>
          <w:tcPr>
            <w:tcW w:w="4592" w:type="dxa"/>
            <w:gridSpan w:val="2"/>
            <w:tcBorders>
              <w:tl2br w:val="nil"/>
              <w:tr2bl w:val="nil"/>
            </w:tcBorders>
            <w:shd w:val="clear" w:color="auto" w:fill="auto"/>
            <w:noWrap/>
            <w:vAlign w:val="center"/>
          </w:tcPr>
          <w:p w14:paraId="32611B2D">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赵燕</w:t>
            </w:r>
          </w:p>
        </w:tc>
        <w:tc>
          <w:tcPr>
            <w:tcW w:w="2953" w:type="dxa"/>
            <w:tcBorders>
              <w:tl2br w:val="nil"/>
              <w:tr2bl w:val="nil"/>
            </w:tcBorders>
            <w:shd w:val="clear" w:color="auto" w:fill="auto"/>
            <w:noWrap/>
            <w:vAlign w:val="center"/>
          </w:tcPr>
          <w:p w14:paraId="5AA1439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2BD6F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384A69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过程控制负责人</w:t>
            </w:r>
          </w:p>
        </w:tc>
        <w:tc>
          <w:tcPr>
            <w:tcW w:w="4592" w:type="dxa"/>
            <w:gridSpan w:val="2"/>
            <w:tcBorders>
              <w:tl2br w:val="nil"/>
              <w:tr2bl w:val="nil"/>
            </w:tcBorders>
            <w:shd w:val="clear" w:color="auto" w:fill="auto"/>
            <w:noWrap/>
            <w:vAlign w:val="center"/>
          </w:tcPr>
          <w:p w14:paraId="77C469F2">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刘云红</w:t>
            </w:r>
          </w:p>
        </w:tc>
        <w:tc>
          <w:tcPr>
            <w:tcW w:w="2953" w:type="dxa"/>
            <w:tcBorders>
              <w:tl2br w:val="nil"/>
              <w:tr2bl w:val="nil"/>
            </w:tcBorders>
            <w:shd w:val="clear" w:color="auto" w:fill="auto"/>
            <w:noWrap/>
            <w:vAlign w:val="center"/>
          </w:tcPr>
          <w:p w14:paraId="6425764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765BAD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54" w:type="dxa"/>
            <w:tcBorders>
              <w:tl2br w:val="nil"/>
              <w:tr2bl w:val="nil"/>
            </w:tcBorders>
            <w:shd w:val="clear" w:color="auto" w:fill="auto"/>
            <w:vAlign w:val="center"/>
          </w:tcPr>
          <w:p w14:paraId="6E51160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技术负责人</w:t>
            </w:r>
          </w:p>
        </w:tc>
        <w:tc>
          <w:tcPr>
            <w:tcW w:w="4592" w:type="dxa"/>
            <w:gridSpan w:val="2"/>
            <w:tcBorders>
              <w:tl2br w:val="nil"/>
              <w:tr2bl w:val="nil"/>
            </w:tcBorders>
            <w:shd w:val="clear" w:color="auto" w:fill="auto"/>
            <w:noWrap/>
            <w:vAlign w:val="center"/>
          </w:tcPr>
          <w:p w14:paraId="412D6BDB">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孙虎</w:t>
            </w:r>
          </w:p>
        </w:tc>
        <w:tc>
          <w:tcPr>
            <w:tcW w:w="2953" w:type="dxa"/>
            <w:tcBorders>
              <w:tl2br w:val="nil"/>
              <w:tr2bl w:val="nil"/>
            </w:tcBorders>
            <w:shd w:val="clear" w:color="auto" w:fill="auto"/>
            <w:noWrap/>
            <w:vAlign w:val="center"/>
          </w:tcPr>
          <w:p w14:paraId="1A98D6A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1DE885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restart"/>
            <w:tcBorders>
              <w:tl2br w:val="nil"/>
              <w:tr2bl w:val="nil"/>
            </w:tcBorders>
            <w:shd w:val="clear" w:color="auto" w:fill="auto"/>
            <w:vAlign w:val="center"/>
          </w:tcPr>
          <w:p w14:paraId="0ED39F2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技术专家</w:t>
            </w:r>
          </w:p>
          <w:p w14:paraId="54D3B77C">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或有关技术人员</w:t>
            </w:r>
          </w:p>
        </w:tc>
        <w:tc>
          <w:tcPr>
            <w:tcW w:w="4592" w:type="dxa"/>
            <w:gridSpan w:val="2"/>
            <w:tcBorders>
              <w:tl2br w:val="nil"/>
              <w:tr2bl w:val="nil"/>
            </w:tcBorders>
            <w:shd w:val="clear" w:color="auto" w:fill="auto"/>
            <w:noWrap/>
            <w:vAlign w:val="center"/>
          </w:tcPr>
          <w:p w14:paraId="285EDAC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01DE44E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FBF8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25DAA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506D401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66078C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4590A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5D61292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5974AE2C">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5951DB7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B8E1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24AA97A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92" w:type="dxa"/>
            <w:gridSpan w:val="2"/>
            <w:tcBorders>
              <w:tl2br w:val="nil"/>
              <w:tr2bl w:val="nil"/>
            </w:tcBorders>
            <w:shd w:val="clear" w:color="auto" w:fill="auto"/>
            <w:noWrap/>
            <w:vAlign w:val="center"/>
          </w:tcPr>
          <w:p w14:paraId="0959ECE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53" w:type="dxa"/>
            <w:tcBorders>
              <w:tl2br w:val="nil"/>
              <w:tr2bl w:val="nil"/>
            </w:tcBorders>
            <w:shd w:val="clear" w:color="auto" w:fill="auto"/>
            <w:noWrap/>
            <w:vAlign w:val="center"/>
          </w:tcPr>
          <w:p w14:paraId="5AB2ECF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C3EFD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restart"/>
            <w:tcBorders>
              <w:tl2br w:val="nil"/>
              <w:tr2bl w:val="nil"/>
            </w:tcBorders>
            <w:shd w:val="clear" w:color="auto" w:fill="auto"/>
            <w:vAlign w:val="center"/>
          </w:tcPr>
          <w:p w14:paraId="373D0D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到现场开展安全</w:t>
            </w:r>
          </w:p>
          <w:p w14:paraId="2F4CEAB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评价工作情况</w:t>
            </w:r>
          </w:p>
        </w:tc>
        <w:tc>
          <w:tcPr>
            <w:tcW w:w="2214" w:type="dxa"/>
            <w:tcBorders>
              <w:tl2br w:val="nil"/>
              <w:tr2bl w:val="nil"/>
            </w:tcBorders>
            <w:shd w:val="clear" w:color="auto" w:fill="auto"/>
            <w:noWrap/>
            <w:vAlign w:val="center"/>
          </w:tcPr>
          <w:p w14:paraId="0DA27BC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时  间</w:t>
            </w:r>
          </w:p>
        </w:tc>
        <w:tc>
          <w:tcPr>
            <w:tcW w:w="2378" w:type="dxa"/>
            <w:tcBorders>
              <w:tl2br w:val="nil"/>
              <w:tr2bl w:val="nil"/>
            </w:tcBorders>
            <w:shd w:val="clear" w:color="auto" w:fill="auto"/>
            <w:noWrap/>
            <w:vAlign w:val="center"/>
          </w:tcPr>
          <w:p w14:paraId="1421A71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到现场主要人员</w:t>
            </w:r>
          </w:p>
        </w:tc>
        <w:tc>
          <w:tcPr>
            <w:tcW w:w="2953" w:type="dxa"/>
            <w:tcBorders>
              <w:tl2br w:val="nil"/>
              <w:tr2bl w:val="nil"/>
            </w:tcBorders>
            <w:shd w:val="clear" w:color="auto" w:fill="auto"/>
            <w:noWrap/>
            <w:vAlign w:val="center"/>
          </w:tcPr>
          <w:p w14:paraId="1C92C45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主要任务</w:t>
            </w:r>
          </w:p>
        </w:tc>
      </w:tr>
      <w:tr w14:paraId="6F3AB4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EE806A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7E41D2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2025.12.5</w:t>
            </w:r>
          </w:p>
        </w:tc>
        <w:tc>
          <w:tcPr>
            <w:tcW w:w="2378" w:type="dxa"/>
            <w:tcBorders>
              <w:tl2br w:val="nil"/>
              <w:tr2bl w:val="nil"/>
            </w:tcBorders>
            <w:shd w:val="clear" w:color="auto" w:fill="auto"/>
            <w:noWrap/>
            <w:vAlign w:val="center"/>
          </w:tcPr>
          <w:p w14:paraId="2EE280D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2E0A453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初访</w:t>
            </w:r>
          </w:p>
        </w:tc>
      </w:tr>
      <w:tr w14:paraId="0AA219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56F5374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54ED758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2026.4.15</w:t>
            </w:r>
          </w:p>
        </w:tc>
        <w:tc>
          <w:tcPr>
            <w:tcW w:w="2378" w:type="dxa"/>
            <w:tcBorders>
              <w:tl2br w:val="nil"/>
              <w:tr2bl w:val="nil"/>
            </w:tcBorders>
            <w:shd w:val="clear" w:color="auto" w:fill="auto"/>
            <w:noWrap/>
            <w:vAlign w:val="center"/>
          </w:tcPr>
          <w:p w14:paraId="73B503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5426880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现场考察</w:t>
            </w:r>
          </w:p>
        </w:tc>
      </w:tr>
      <w:tr w14:paraId="1741F1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1432D14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6F20C698">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2026.4.20</w:t>
            </w:r>
          </w:p>
        </w:tc>
        <w:tc>
          <w:tcPr>
            <w:tcW w:w="2378" w:type="dxa"/>
            <w:tcBorders>
              <w:tl2br w:val="nil"/>
              <w:tr2bl w:val="nil"/>
            </w:tcBorders>
            <w:shd w:val="clear" w:color="auto" w:fill="auto"/>
            <w:noWrap/>
            <w:vAlign w:val="center"/>
          </w:tcPr>
          <w:p w14:paraId="04E4ED3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2FBD9281">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现场检查</w:t>
            </w:r>
          </w:p>
        </w:tc>
      </w:tr>
      <w:tr w14:paraId="4C41B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54" w:type="dxa"/>
            <w:vMerge w:val="continue"/>
            <w:tcBorders>
              <w:tl2br w:val="nil"/>
              <w:tr2bl w:val="nil"/>
            </w:tcBorders>
            <w:shd w:val="clear" w:color="auto" w:fill="auto"/>
            <w:vAlign w:val="center"/>
          </w:tcPr>
          <w:p w14:paraId="7A10055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214" w:type="dxa"/>
            <w:tcBorders>
              <w:tl2br w:val="nil"/>
              <w:tr2bl w:val="nil"/>
            </w:tcBorders>
            <w:shd w:val="clear" w:color="auto" w:fill="auto"/>
            <w:noWrap/>
            <w:vAlign w:val="center"/>
          </w:tcPr>
          <w:p w14:paraId="0A09B08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2026.5.15</w:t>
            </w:r>
          </w:p>
        </w:tc>
        <w:tc>
          <w:tcPr>
            <w:tcW w:w="2378" w:type="dxa"/>
            <w:tcBorders>
              <w:tl2br w:val="nil"/>
              <w:tr2bl w:val="nil"/>
            </w:tcBorders>
            <w:shd w:val="clear" w:color="auto" w:fill="auto"/>
            <w:noWrap/>
            <w:vAlign w:val="center"/>
          </w:tcPr>
          <w:p w14:paraId="4C632E3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53" w:type="dxa"/>
            <w:tcBorders>
              <w:tl2br w:val="nil"/>
              <w:tr2bl w:val="nil"/>
            </w:tcBorders>
            <w:shd w:val="clear" w:color="auto" w:fill="auto"/>
            <w:noWrap/>
            <w:vAlign w:val="center"/>
          </w:tcPr>
          <w:p w14:paraId="69E636B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现场核查</w:t>
            </w:r>
          </w:p>
        </w:tc>
      </w:tr>
      <w:tr w14:paraId="756B45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9399" w:type="dxa"/>
            <w:gridSpan w:val="4"/>
            <w:tcBorders>
              <w:tl2br w:val="nil"/>
              <w:tr2bl w:val="nil"/>
            </w:tcBorders>
            <w:shd w:val="clear" w:color="auto" w:fill="auto"/>
            <w:vAlign w:val="center"/>
          </w:tcPr>
          <w:p w14:paraId="08E1CC7D">
            <w:pPr>
              <w:autoSpaceDE w:val="0"/>
              <w:autoSpaceDN w:val="0"/>
              <w:adjustRightInd w:val="0"/>
              <w:snapToGrid w:val="0"/>
              <w:spacing w:line="240" w:lineRule="auto"/>
              <w:ind w:firstLine="0" w:firstLineChars="0"/>
              <w:jc w:val="left"/>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安全评价报告提交时间：2026.6.10</w:t>
            </w:r>
          </w:p>
        </w:tc>
      </w:tr>
      <w:tr w14:paraId="1FFD00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9399" w:type="dxa"/>
            <w:gridSpan w:val="4"/>
            <w:tcBorders>
              <w:tl2br w:val="nil"/>
              <w:tr2bl w:val="nil"/>
            </w:tcBorders>
            <w:shd w:val="clear" w:color="auto" w:fill="auto"/>
            <w:vAlign w:val="center"/>
          </w:tcPr>
          <w:p w14:paraId="3D278980">
            <w:pPr>
              <w:autoSpaceDE w:val="0"/>
              <w:autoSpaceDN w:val="0"/>
              <w:adjustRightInd w:val="0"/>
              <w:snapToGrid w:val="0"/>
              <w:spacing w:line="24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有必要公开的其它内容：</w:t>
            </w:r>
          </w:p>
        </w:tc>
      </w:tr>
    </w:tbl>
    <w:p w14:paraId="35DA6351">
      <w:pPr>
        <w:pStyle w:val="17"/>
        <w:widowControl w:val="0"/>
        <w:adjustRightInd w:val="0"/>
        <w:snapToGrid w:val="0"/>
        <w:spacing w:line="360" w:lineRule="auto"/>
        <w:ind w:firstLine="560"/>
        <w:rPr>
          <w:rFonts w:ascii="宋体"/>
          <w:color w:val="auto"/>
          <w:highlight w:val="none"/>
        </w:rPr>
      </w:pPr>
    </w:p>
    <w:p w14:paraId="4E292D80">
      <w:pPr>
        <w:pageBreakBefore/>
        <w:widowControl w:val="0"/>
        <w:spacing w:before="312" w:beforeLines="100" w:after="312" w:afterLines="100" w:line="360" w:lineRule="auto"/>
        <w:jc w:val="center"/>
        <w:outlineLvl w:val="0"/>
        <w:rPr>
          <w:rFonts w:ascii="Times New Roman" w:hAnsi="Times New Roman" w:eastAsia="黑体" w:cs="Times New Roman"/>
          <w:color w:val="auto"/>
          <w:kern w:val="2"/>
          <w:sz w:val="32"/>
          <w:szCs w:val="21"/>
          <w:lang w:val="zh-CN" w:eastAsia="zh-CN" w:bidi="ar-SA"/>
        </w:rPr>
      </w:pPr>
      <w:bookmarkStart w:id="0" w:name="_Toc462405313"/>
      <w:bookmarkStart w:id="1" w:name="_Toc492708655"/>
      <w:bookmarkStart w:id="2" w:name="_Toc483746065"/>
      <w:bookmarkStart w:id="3" w:name="_Toc462405377"/>
      <w:bookmarkStart w:id="4" w:name="_Toc17625"/>
      <w:bookmarkStart w:id="5" w:name="_Toc462405588"/>
      <w:bookmarkStart w:id="6" w:name="_Toc39158198"/>
      <w:r>
        <w:rPr>
          <w:rFonts w:hint="eastAsia" w:ascii="Times New Roman" w:hAnsi="Times New Roman" w:eastAsia="黑体" w:cs="Times New Roman"/>
          <w:color w:val="auto"/>
          <w:kern w:val="2"/>
          <w:sz w:val="32"/>
          <w:szCs w:val="21"/>
          <w:lang w:val="zh-CN" w:eastAsia="zh-CN" w:bidi="ar-SA"/>
        </w:rPr>
        <w:t>第二章</w:t>
      </w:r>
      <w:r>
        <w:rPr>
          <w:rFonts w:hint="eastAsia" w:ascii="Times New Roman" w:hAnsi="Times New Roman" w:eastAsia="黑体" w:cs="Times New Roman"/>
          <w:color w:val="auto"/>
          <w:kern w:val="2"/>
          <w:sz w:val="32"/>
          <w:szCs w:val="21"/>
          <w:lang w:val="en-US" w:eastAsia="zh-CN" w:bidi="ar-SA"/>
        </w:rPr>
        <w:t xml:space="preserve"> </w:t>
      </w:r>
      <w:r>
        <w:rPr>
          <w:rFonts w:hint="eastAsia" w:ascii="Times New Roman" w:hAnsi="Times New Roman" w:eastAsia="黑体" w:cs="Times New Roman"/>
          <w:color w:val="auto"/>
          <w:kern w:val="2"/>
          <w:sz w:val="32"/>
          <w:szCs w:val="21"/>
          <w:lang w:val="zh-CN" w:eastAsia="zh-CN" w:bidi="ar-SA"/>
        </w:rPr>
        <w:t>概况</w:t>
      </w:r>
      <w:bookmarkEnd w:id="0"/>
      <w:bookmarkEnd w:id="1"/>
      <w:bookmarkEnd w:id="2"/>
      <w:bookmarkEnd w:id="3"/>
      <w:bookmarkEnd w:id="4"/>
      <w:bookmarkEnd w:id="5"/>
      <w:bookmarkEnd w:id="6"/>
    </w:p>
    <w:p w14:paraId="03D6A01B">
      <w:pPr>
        <w:spacing w:before="156" w:beforeLines="50" w:after="156" w:afterLines="50" w:line="360" w:lineRule="auto"/>
        <w:jc w:val="center"/>
        <w:outlineLvl w:val="1"/>
        <w:rPr>
          <w:rFonts w:ascii="Times New Roman" w:hAnsi="Times New Roman" w:eastAsia="楷体_GB2312" w:cs="Times New Roman"/>
          <w:b/>
          <w:color w:val="auto"/>
          <w:kern w:val="2"/>
          <w:sz w:val="32"/>
          <w:szCs w:val="32"/>
          <w:lang w:val="en-US" w:eastAsia="zh-CN" w:bidi="ar-SA"/>
        </w:rPr>
      </w:pPr>
      <w:bookmarkStart w:id="7" w:name="_Toc39158199"/>
      <w:bookmarkStart w:id="8" w:name="_Toc462405378"/>
      <w:bookmarkStart w:id="9" w:name="_Toc462405314"/>
      <w:bookmarkStart w:id="10" w:name="_Toc492708656"/>
      <w:bookmarkStart w:id="11" w:name="_Toc483746066"/>
      <w:bookmarkStart w:id="12" w:name="_Toc462405589"/>
      <w:bookmarkStart w:id="13" w:name="_Toc9708"/>
      <w:r>
        <w:rPr>
          <w:rFonts w:hint="eastAsia" w:ascii="Times New Roman" w:hAnsi="Times New Roman" w:eastAsia="楷体_GB2312" w:cs="Times New Roman"/>
          <w:b/>
          <w:color w:val="auto"/>
          <w:kern w:val="2"/>
          <w:sz w:val="32"/>
          <w:szCs w:val="32"/>
          <w:lang w:val="zh-CN" w:eastAsia="zh-CN" w:bidi="ar-SA"/>
        </w:rPr>
        <w:t xml:space="preserve">第一节 </w:t>
      </w:r>
      <w:bookmarkEnd w:id="7"/>
      <w:bookmarkEnd w:id="8"/>
      <w:bookmarkEnd w:id="9"/>
      <w:bookmarkEnd w:id="10"/>
      <w:bookmarkEnd w:id="11"/>
      <w:bookmarkEnd w:id="12"/>
      <w:r>
        <w:rPr>
          <w:rFonts w:hint="eastAsia" w:ascii="Times New Roman" w:hAnsi="Times New Roman" w:eastAsia="楷体_GB2312" w:cs="Times New Roman"/>
          <w:b/>
          <w:color w:val="auto"/>
          <w:kern w:val="2"/>
          <w:sz w:val="32"/>
          <w:szCs w:val="32"/>
          <w:lang w:val="en-US" w:eastAsia="zh-CN" w:bidi="ar-SA"/>
        </w:rPr>
        <w:t>建设单位基本情况</w:t>
      </w:r>
      <w:bookmarkEnd w:id="13"/>
    </w:p>
    <w:p w14:paraId="5971DA67">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bookmarkStart w:id="14" w:name="_Toc39158200"/>
      <w:r>
        <w:rPr>
          <w:rFonts w:hint="eastAsia" w:ascii="Times New Roman" w:hAnsi="Times New Roman" w:eastAsia="黑体" w:cs="Times New Roman"/>
          <w:color w:val="auto"/>
          <w:sz w:val="28"/>
          <w:u w:color="000000"/>
          <w:lang w:val="en-US" w:eastAsia="zh-CN" w:bidi="ar-SA"/>
        </w:rPr>
        <w:t>一、单位名称、性质及负责人</w:t>
      </w:r>
      <w:bookmarkEnd w:id="14"/>
    </w:p>
    <w:p w14:paraId="781EF49D">
      <w:pPr>
        <w:adjustRightInd w:val="0"/>
        <w:snapToGrid w:val="0"/>
        <w:spacing w:line="360" w:lineRule="auto"/>
        <w:ind w:firstLine="560" w:firstLineChars="200"/>
        <w:rPr>
          <w:rFonts w:hint="eastAsia" w:ascii="宋体" w:hAnsi="宋体" w:eastAsia="宋体" w:cs="宋体"/>
          <w:color w:val="auto"/>
          <w:sz w:val="28"/>
          <w:szCs w:val="21"/>
          <w:lang w:eastAsia="zh-CN"/>
        </w:rPr>
      </w:pPr>
      <w:r>
        <w:rPr>
          <w:rFonts w:hint="eastAsia" w:ascii="宋体" w:hAnsi="宋体" w:eastAsia="宋体" w:cs="宋体"/>
          <w:color w:val="auto"/>
          <w:sz w:val="28"/>
          <w:szCs w:val="21"/>
        </w:rPr>
        <w:t>建设单位：</w:t>
      </w:r>
      <w:r>
        <w:rPr>
          <w:rFonts w:hint="eastAsia" w:ascii="宋体" w:hAnsi="宋体" w:eastAsia="宋体" w:cs="宋体"/>
          <w:color w:val="auto"/>
          <w:sz w:val="28"/>
          <w:szCs w:val="21"/>
          <w:lang w:eastAsia="zh-CN"/>
        </w:rPr>
        <w:t>山东复圣化工有限公司</w:t>
      </w:r>
    </w:p>
    <w:p w14:paraId="503965CC">
      <w:pPr>
        <w:adjustRightInd w:val="0"/>
        <w:snapToGrid w:val="0"/>
        <w:spacing w:line="360" w:lineRule="auto"/>
        <w:ind w:firstLine="560" w:firstLineChars="200"/>
        <w:rPr>
          <w:rFonts w:hint="eastAsia" w:ascii="宋体" w:hAnsi="宋体" w:eastAsia="宋体" w:cs="宋体"/>
          <w:color w:val="auto"/>
          <w:sz w:val="28"/>
          <w:szCs w:val="21"/>
        </w:rPr>
      </w:pPr>
      <w:r>
        <w:rPr>
          <w:rFonts w:hint="eastAsia" w:ascii="宋体" w:hAnsi="宋体" w:eastAsia="宋体" w:cs="宋体"/>
          <w:color w:val="auto"/>
          <w:sz w:val="28"/>
          <w:szCs w:val="21"/>
        </w:rPr>
        <w:t>注册地址：</w:t>
      </w:r>
      <w:r>
        <w:rPr>
          <w:rFonts w:hint="eastAsia" w:ascii="宋体" w:hAnsi="宋体" w:eastAsia="宋体" w:cs="宋体"/>
          <w:color w:val="auto"/>
          <w:sz w:val="28"/>
          <w:szCs w:val="21"/>
          <w:lang w:val="en-US" w:eastAsia="zh-CN"/>
        </w:rPr>
        <w:t>泰安市宁阳县经济开发区葛石路南首路东</w:t>
      </w:r>
    </w:p>
    <w:p w14:paraId="753377F4">
      <w:pPr>
        <w:adjustRightInd w:val="0"/>
        <w:snapToGrid w:val="0"/>
        <w:spacing w:line="360" w:lineRule="auto"/>
        <w:ind w:firstLine="560" w:firstLineChars="200"/>
        <w:rPr>
          <w:rFonts w:hint="eastAsia" w:ascii="宋体" w:hAnsi="宋体" w:eastAsia="宋体" w:cs="宋体"/>
          <w:color w:val="auto"/>
          <w:sz w:val="28"/>
          <w:szCs w:val="21"/>
        </w:rPr>
      </w:pPr>
      <w:r>
        <w:rPr>
          <w:rFonts w:hint="eastAsia" w:ascii="宋体" w:hAnsi="宋体" w:eastAsia="宋体" w:cs="宋体"/>
          <w:color w:val="auto"/>
          <w:sz w:val="28"/>
          <w:szCs w:val="21"/>
        </w:rPr>
        <w:t>法定代表人：</w:t>
      </w:r>
      <w:r>
        <w:rPr>
          <w:rFonts w:hint="eastAsia" w:ascii="宋体" w:hAnsi="宋体" w:eastAsia="宋体" w:cs="宋体"/>
          <w:color w:val="auto"/>
          <w:sz w:val="28"/>
          <w:szCs w:val="21"/>
          <w:lang w:val="en-US" w:eastAsia="zh-CN"/>
        </w:rPr>
        <w:t>张清乾</w:t>
      </w:r>
    </w:p>
    <w:p w14:paraId="72855E94">
      <w:pPr>
        <w:adjustRightInd w:val="0"/>
        <w:snapToGrid w:val="0"/>
        <w:spacing w:line="360" w:lineRule="auto"/>
        <w:ind w:firstLine="560" w:firstLineChars="200"/>
        <w:rPr>
          <w:rFonts w:hint="eastAsia" w:ascii="宋体" w:hAnsi="宋体" w:eastAsia="宋体" w:cs="宋体"/>
          <w:color w:val="auto"/>
          <w:sz w:val="28"/>
          <w:szCs w:val="21"/>
        </w:rPr>
      </w:pPr>
      <w:r>
        <w:rPr>
          <w:rFonts w:hint="eastAsia" w:ascii="宋体" w:hAnsi="宋体" w:eastAsia="宋体" w:cs="宋体"/>
          <w:color w:val="auto"/>
          <w:sz w:val="28"/>
          <w:szCs w:val="21"/>
        </w:rPr>
        <w:t>注册资本：</w:t>
      </w:r>
      <w:r>
        <w:rPr>
          <w:rFonts w:hint="eastAsia" w:ascii="宋体" w:hAnsi="宋体" w:eastAsia="宋体" w:cs="宋体"/>
          <w:color w:val="auto"/>
          <w:sz w:val="28"/>
          <w:szCs w:val="21"/>
          <w:lang w:val="en-US" w:eastAsia="zh-CN"/>
        </w:rPr>
        <w:t>5000</w:t>
      </w:r>
      <w:r>
        <w:rPr>
          <w:rFonts w:hint="eastAsia" w:ascii="宋体" w:hAnsi="宋体" w:eastAsia="宋体" w:cs="宋体"/>
          <w:color w:val="auto"/>
          <w:sz w:val="28"/>
          <w:szCs w:val="21"/>
        </w:rPr>
        <w:t>万(元)</w:t>
      </w:r>
    </w:p>
    <w:p w14:paraId="2E925E22">
      <w:pPr>
        <w:adjustRightInd w:val="0"/>
        <w:snapToGrid w:val="0"/>
        <w:spacing w:line="360" w:lineRule="auto"/>
        <w:ind w:firstLine="560" w:firstLineChars="200"/>
        <w:rPr>
          <w:rFonts w:hint="eastAsia" w:ascii="宋体" w:hAnsi="宋体" w:eastAsia="宋体" w:cs="宋体"/>
          <w:color w:val="auto"/>
          <w:sz w:val="28"/>
          <w:szCs w:val="21"/>
        </w:rPr>
      </w:pPr>
      <w:r>
        <w:rPr>
          <w:rFonts w:hint="eastAsia" w:ascii="宋体" w:hAnsi="宋体" w:eastAsia="宋体" w:cs="宋体"/>
          <w:color w:val="auto"/>
          <w:sz w:val="28"/>
          <w:szCs w:val="21"/>
        </w:rPr>
        <w:t>公司类型：其他有限责任公司</w:t>
      </w:r>
    </w:p>
    <w:p w14:paraId="10A6479B">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二、项目基本情况</w:t>
      </w:r>
    </w:p>
    <w:p w14:paraId="51243543">
      <w:pPr>
        <w:adjustRightInd w:val="0"/>
        <w:snapToGrid w:val="0"/>
        <w:spacing w:line="360" w:lineRule="auto"/>
        <w:ind w:firstLine="560" w:firstLineChars="200"/>
        <w:rPr>
          <w:rFonts w:hint="eastAsia" w:ascii="宋体" w:hAnsi="宋体" w:eastAsia="宋体" w:cs="宋体"/>
          <w:color w:val="auto"/>
          <w:sz w:val="28"/>
          <w:szCs w:val="21"/>
          <w:lang w:eastAsia="zh-CN"/>
        </w:rPr>
      </w:pPr>
      <w:r>
        <w:rPr>
          <w:rFonts w:hint="eastAsia" w:ascii="宋体" w:hAnsi="宋体" w:eastAsia="宋体" w:cs="宋体"/>
          <w:color w:val="auto"/>
          <w:sz w:val="28"/>
          <w:szCs w:val="21"/>
        </w:rPr>
        <w:t>项目名称：</w:t>
      </w:r>
      <w:r>
        <w:rPr>
          <w:rFonts w:hint="eastAsia" w:ascii="宋体" w:hAnsi="宋体" w:eastAsia="宋体" w:cs="宋体"/>
          <w:color w:val="auto"/>
          <w:sz w:val="28"/>
          <w:szCs w:val="21"/>
          <w:lang w:val="en-US" w:eastAsia="zh-CN"/>
        </w:rPr>
        <w:t>二车间“三化改造”及除尘设施改造提升项目</w:t>
      </w:r>
    </w:p>
    <w:p w14:paraId="34F03119">
      <w:pPr>
        <w:adjustRightInd w:val="0"/>
        <w:snapToGrid w:val="0"/>
        <w:spacing w:line="360" w:lineRule="auto"/>
        <w:ind w:firstLine="560" w:firstLineChars="200"/>
        <w:rPr>
          <w:rFonts w:hint="eastAsia" w:ascii="宋体" w:hAnsi="宋体" w:eastAsia="宋体" w:cs="宋体"/>
          <w:color w:val="auto"/>
          <w:sz w:val="28"/>
          <w:szCs w:val="21"/>
          <w:lang w:val="en-US"/>
        </w:rPr>
      </w:pPr>
      <w:r>
        <w:rPr>
          <w:rFonts w:hint="eastAsia" w:ascii="宋体" w:hAnsi="宋体" w:eastAsia="宋体" w:cs="宋体"/>
          <w:color w:val="auto"/>
          <w:sz w:val="28"/>
          <w:szCs w:val="21"/>
        </w:rPr>
        <w:t>建设地点：</w:t>
      </w:r>
      <w:r>
        <w:rPr>
          <w:rFonts w:hint="eastAsia" w:ascii="宋体" w:hAnsi="宋体" w:eastAsia="宋体" w:cs="宋体"/>
          <w:color w:val="auto"/>
          <w:sz w:val="28"/>
          <w:szCs w:val="21"/>
          <w:lang w:eastAsia="zh-CN"/>
        </w:rPr>
        <w:t>山东复圣化工有限公司</w:t>
      </w:r>
      <w:r>
        <w:rPr>
          <w:rFonts w:hint="eastAsia" w:ascii="宋体" w:hAnsi="宋体" w:eastAsia="宋体" w:cs="宋体"/>
          <w:color w:val="auto"/>
          <w:sz w:val="28"/>
          <w:szCs w:val="21"/>
          <w:lang w:val="en-US" w:eastAsia="zh-CN"/>
        </w:rPr>
        <w:t>厂区内</w:t>
      </w:r>
    </w:p>
    <w:p w14:paraId="798C8498">
      <w:pPr>
        <w:adjustRightInd w:val="0"/>
        <w:snapToGrid w:val="0"/>
        <w:spacing w:line="360" w:lineRule="auto"/>
        <w:ind w:firstLine="560" w:firstLineChars="200"/>
        <w:rPr>
          <w:rFonts w:hint="eastAsia" w:ascii="宋体" w:hAnsi="宋体" w:eastAsia="宋体" w:cs="宋体"/>
          <w:color w:val="auto"/>
          <w:sz w:val="28"/>
          <w:szCs w:val="21"/>
          <w:lang w:eastAsia="zh-CN"/>
        </w:rPr>
      </w:pPr>
      <w:r>
        <w:rPr>
          <w:rFonts w:hint="eastAsia" w:ascii="宋体" w:hAnsi="宋体" w:eastAsia="宋体" w:cs="宋体"/>
          <w:color w:val="auto"/>
          <w:sz w:val="28"/>
          <w:szCs w:val="21"/>
        </w:rPr>
        <w:t>建设单位：</w:t>
      </w:r>
      <w:r>
        <w:rPr>
          <w:rFonts w:hint="eastAsia" w:ascii="宋体" w:hAnsi="宋体" w:eastAsia="宋体" w:cs="宋体"/>
          <w:color w:val="auto"/>
          <w:sz w:val="28"/>
          <w:szCs w:val="21"/>
          <w:lang w:eastAsia="zh-CN"/>
        </w:rPr>
        <w:t>山东复圣化工有限公司</w:t>
      </w:r>
    </w:p>
    <w:p w14:paraId="765F4815">
      <w:pPr>
        <w:adjustRightInd w:val="0"/>
        <w:snapToGrid w:val="0"/>
        <w:spacing w:line="360" w:lineRule="auto"/>
        <w:ind w:firstLine="560" w:firstLineChars="200"/>
        <w:rPr>
          <w:rFonts w:hint="eastAsia" w:ascii="宋体" w:hAnsi="宋体" w:eastAsia="宋体" w:cs="宋体"/>
          <w:color w:val="auto"/>
          <w:sz w:val="28"/>
          <w:szCs w:val="21"/>
          <w:lang w:val="en-US" w:eastAsia="zh-CN"/>
        </w:rPr>
      </w:pPr>
      <w:r>
        <w:rPr>
          <w:rFonts w:hint="eastAsia" w:ascii="宋体" w:hAnsi="宋体" w:eastAsia="宋体" w:cs="宋体"/>
          <w:color w:val="auto"/>
          <w:sz w:val="28"/>
          <w:szCs w:val="21"/>
        </w:rPr>
        <w:t>法定代表人：</w:t>
      </w:r>
      <w:r>
        <w:rPr>
          <w:rFonts w:hint="eastAsia" w:ascii="宋体" w:hAnsi="宋体" w:eastAsia="宋体" w:cs="宋体"/>
          <w:color w:val="auto"/>
          <w:sz w:val="28"/>
          <w:szCs w:val="21"/>
          <w:lang w:val="en-US" w:eastAsia="zh-CN"/>
        </w:rPr>
        <w:t>张清乾</w:t>
      </w:r>
    </w:p>
    <w:p w14:paraId="132ACC9B">
      <w:pPr>
        <w:adjustRightInd w:val="0"/>
        <w:snapToGrid w:val="0"/>
        <w:spacing w:line="360" w:lineRule="auto"/>
        <w:ind w:firstLine="560" w:firstLineChars="200"/>
        <w:rPr>
          <w:rFonts w:hint="eastAsia" w:ascii="宋体" w:hAnsi="宋体" w:eastAsia="宋体" w:cs="宋体"/>
          <w:color w:val="auto"/>
          <w:sz w:val="28"/>
          <w:szCs w:val="21"/>
        </w:rPr>
      </w:pPr>
      <w:r>
        <w:rPr>
          <w:rFonts w:hint="eastAsia" w:ascii="宋体" w:hAnsi="宋体" w:eastAsia="宋体" w:cs="宋体"/>
          <w:color w:val="auto"/>
          <w:sz w:val="28"/>
          <w:szCs w:val="21"/>
        </w:rPr>
        <w:t>项目性质：</w:t>
      </w:r>
      <w:r>
        <w:rPr>
          <w:rFonts w:hint="eastAsia" w:ascii="宋体" w:hAnsi="宋体" w:eastAsia="宋体" w:cs="宋体"/>
          <w:color w:val="auto"/>
          <w:sz w:val="28"/>
          <w:szCs w:val="21"/>
          <w:lang w:val="en-US" w:eastAsia="zh-CN"/>
        </w:rPr>
        <w:t>改建危险化学品建设项目</w:t>
      </w:r>
    </w:p>
    <w:p w14:paraId="5EF99653">
      <w:pPr>
        <w:adjustRightInd w:val="0"/>
        <w:snapToGrid w:val="0"/>
        <w:spacing w:line="360" w:lineRule="auto"/>
        <w:ind w:firstLine="560" w:firstLineChars="200"/>
        <w:rPr>
          <w:rFonts w:hint="eastAsia" w:ascii="宋体" w:hAnsi="宋体" w:eastAsia="宋体" w:cs="宋体"/>
          <w:color w:val="auto"/>
          <w:sz w:val="28"/>
          <w:szCs w:val="21"/>
        </w:rPr>
      </w:pPr>
      <w:r>
        <w:rPr>
          <w:rFonts w:hint="eastAsia" w:ascii="宋体" w:hAnsi="宋体" w:eastAsia="宋体" w:cs="宋体"/>
          <w:color w:val="auto"/>
          <w:sz w:val="28"/>
          <w:szCs w:val="21"/>
        </w:rPr>
        <w:t>项目投资：总投资约</w:t>
      </w:r>
      <w:r>
        <w:rPr>
          <w:rFonts w:hint="eastAsia" w:ascii="宋体" w:hAnsi="宋体" w:eastAsia="宋体" w:cs="宋体"/>
          <w:color w:val="auto"/>
          <w:sz w:val="28"/>
          <w:szCs w:val="21"/>
          <w:lang w:val="en-US" w:eastAsia="zh-CN"/>
        </w:rPr>
        <w:t>2000</w:t>
      </w:r>
      <w:r>
        <w:rPr>
          <w:rFonts w:hint="eastAsia" w:ascii="宋体" w:hAnsi="宋体" w:eastAsia="宋体" w:cs="宋体"/>
          <w:color w:val="auto"/>
          <w:sz w:val="28"/>
          <w:szCs w:val="21"/>
        </w:rPr>
        <w:t>万元</w:t>
      </w:r>
    </w:p>
    <w:p w14:paraId="67F8BEFD">
      <w:pPr>
        <w:adjustRightInd w:val="0"/>
        <w:snapToGrid w:val="0"/>
        <w:spacing w:line="360" w:lineRule="auto"/>
        <w:ind w:firstLine="560" w:firstLineChars="200"/>
        <w:rPr>
          <w:rFonts w:hint="eastAsia" w:ascii="宋体" w:hAnsi="宋体" w:eastAsia="宋体" w:cs="宋体"/>
          <w:color w:val="auto"/>
          <w:sz w:val="28"/>
          <w:szCs w:val="21"/>
        </w:rPr>
      </w:pPr>
      <w:r>
        <w:rPr>
          <w:rFonts w:hint="eastAsia" w:ascii="宋体" w:hAnsi="宋体" w:eastAsia="宋体" w:cs="宋体"/>
          <w:color w:val="auto"/>
          <w:sz w:val="28"/>
          <w:szCs w:val="21"/>
        </w:rPr>
        <w:t>建设内容：</w:t>
      </w:r>
      <w:r>
        <w:rPr>
          <w:rFonts w:hint="eastAsia" w:ascii="宋体" w:hAnsi="宋体" w:eastAsia="宋体" w:cs="宋体"/>
          <w:color w:val="auto"/>
          <w:sz w:val="28"/>
          <w:szCs w:val="21"/>
          <w:lang w:val="en-US" w:eastAsia="zh-CN"/>
        </w:rPr>
        <w:t>为实现生产装置的机械化、自动化，改善现场作业环境，降低能源消耗，不新增产能情况下对二氯异氰尿酸钠项目进行技术改造。项目租赁山东克林化工有限公司土地，拆除原有二车间南干燥造粒间东半部建筑物1200㎡，并原址新建厂房2120㎡，配套配电室和空氮站。对照《化工企业氯气安全技术规范》(GB11984-2024)将液氯储存气化装置进行隐患整改。项目使用原料二氯异氰尿酸自产，纯碱外购。主要购置物料暂存釜、转鼓抽滤、中和粗混机、细混机、流化床干燥、造粒自动上料系统、造粒机、振动筛等。依托原有二车间氯化工序将反应好的二氯异氰尿酸悬浊液经泵打入新厂房暂存釜，经转鼓抽滤，滤饼经皮带输送至中和粗混机，和经自动上料输送来的纯碱混合反应后，经细混机再经流化床干燥烘干后，风送至造粒机造粒。项目投产后，将人工包装改成机械化传输。项目年新增综合能源消费量-4.18tce(当量值)、-10.25(等价值)。新上负压抽吸和除尘系统，解决空间无组织气体和飘逸粉尘排放</w:t>
      </w:r>
      <w:r>
        <w:rPr>
          <w:rFonts w:hint="eastAsia" w:ascii="宋体" w:hAnsi="宋体" w:eastAsia="宋体" w:cs="宋体"/>
          <w:color w:val="auto"/>
          <w:sz w:val="28"/>
          <w:szCs w:val="21"/>
        </w:rPr>
        <w:t>。</w:t>
      </w:r>
    </w:p>
    <w:p w14:paraId="5A0434BB">
      <w:pPr>
        <w:adjustRightInd w:val="0"/>
        <w:snapToGrid w:val="0"/>
        <w:spacing w:line="360" w:lineRule="auto"/>
        <w:ind w:firstLine="560" w:firstLineChars="200"/>
        <w:rPr>
          <w:rFonts w:hint="eastAsia" w:ascii="宋体" w:hAnsi="宋体" w:eastAsia="宋体" w:cs="宋体"/>
          <w:color w:val="auto"/>
          <w:sz w:val="28"/>
          <w:szCs w:val="21"/>
        </w:rPr>
      </w:pPr>
      <w:r>
        <w:rPr>
          <w:rFonts w:hint="eastAsia" w:ascii="宋体" w:hAnsi="宋体" w:eastAsia="宋体" w:cs="宋体"/>
          <w:color w:val="auto"/>
          <w:sz w:val="28"/>
          <w:szCs w:val="21"/>
        </w:rPr>
        <w:t>劳动定员：本项目劳动定员为</w:t>
      </w:r>
      <w:r>
        <w:rPr>
          <w:rFonts w:hint="eastAsia" w:ascii="宋体" w:hAnsi="宋体" w:eastAsia="宋体" w:cs="宋体"/>
          <w:color w:val="auto"/>
          <w:sz w:val="28"/>
          <w:szCs w:val="21"/>
          <w:lang w:val="en-US" w:eastAsia="zh-CN"/>
        </w:rPr>
        <w:t>33</w:t>
      </w:r>
      <w:r>
        <w:rPr>
          <w:rFonts w:hint="eastAsia" w:ascii="宋体" w:hAnsi="宋体" w:eastAsia="宋体" w:cs="宋体"/>
          <w:color w:val="auto"/>
          <w:sz w:val="28"/>
          <w:szCs w:val="21"/>
        </w:rPr>
        <w:t>人，</w:t>
      </w:r>
      <w:r>
        <w:rPr>
          <w:rFonts w:hint="eastAsia" w:ascii="宋体" w:hAnsi="宋体" w:eastAsia="宋体" w:cs="宋体"/>
          <w:color w:val="auto"/>
          <w:sz w:val="28"/>
          <w:szCs w:val="21"/>
          <w:lang w:val="en-US" w:eastAsia="zh-CN"/>
        </w:rPr>
        <w:t>管理人员依托公司</w:t>
      </w:r>
      <w:r>
        <w:rPr>
          <w:rFonts w:hint="eastAsia" w:ascii="宋体" w:hAnsi="宋体" w:eastAsia="宋体" w:cs="宋体"/>
          <w:color w:val="auto"/>
          <w:sz w:val="28"/>
          <w:szCs w:val="21"/>
        </w:rPr>
        <w:t>原有人员，操作人员均从公司中按照工艺技术要求进行选拔调配，不新增劳动人员，操作</w:t>
      </w:r>
      <w:r>
        <w:rPr>
          <w:rFonts w:hint="eastAsia" w:ascii="宋体" w:hAnsi="宋体" w:eastAsia="宋体" w:cs="宋体"/>
          <w:color w:val="auto"/>
          <w:sz w:val="28"/>
          <w:szCs w:val="21"/>
          <w:lang w:val="en-US" w:eastAsia="zh-CN"/>
        </w:rPr>
        <w:t>人员实行三</w:t>
      </w:r>
      <w:r>
        <w:rPr>
          <w:rFonts w:hint="eastAsia" w:ascii="宋体" w:hAnsi="宋体" w:eastAsia="宋体" w:cs="宋体"/>
          <w:color w:val="auto"/>
          <w:sz w:val="28"/>
          <w:szCs w:val="21"/>
        </w:rPr>
        <w:t>班制，每班工作8小时。</w:t>
      </w:r>
    </w:p>
    <w:p w14:paraId="66C96D38">
      <w:pPr>
        <w:adjustRightInd w:val="0"/>
        <w:snapToGrid w:val="0"/>
        <w:spacing w:line="360" w:lineRule="auto"/>
        <w:ind w:firstLine="560" w:firstLineChars="200"/>
        <w:rPr>
          <w:rFonts w:hint="eastAsia" w:ascii="宋体" w:hAnsi="宋体" w:eastAsia="宋体" w:cs="宋体"/>
          <w:color w:val="auto"/>
          <w:sz w:val="28"/>
          <w:szCs w:val="21"/>
          <w:lang w:val="en-US" w:eastAsia="zh-CN"/>
        </w:rPr>
      </w:pPr>
      <w:r>
        <w:rPr>
          <w:rFonts w:hint="eastAsia" w:ascii="宋体" w:hAnsi="宋体" w:eastAsia="宋体" w:cs="宋体"/>
          <w:color w:val="auto"/>
          <w:sz w:val="28"/>
          <w:szCs w:val="21"/>
          <w:lang w:val="en-US" w:eastAsia="zh-CN"/>
        </w:rPr>
        <w:t>该项目产品二氯异氰尿酸钠用作工业水杀菌剂、饮用水消毒剂、游泳池杀菌消毒剂、织物整理剂等，属于《精细化工企业工程设计防火标准》（GB51283-2020）条文说明表2中所列精细化工产品第9类日用化学品和防臭防霉剂类，且该公司罐区储存容积满足《精细化工企业工程设计防火标准》（GB51283-2020）第1.0.2条的适用条件，因此本项目采用《精细化工企业工程设计防火标准》（GB51283-2020）进行设计。</w:t>
      </w:r>
    </w:p>
    <w:p w14:paraId="19CEFE89">
      <w:pPr>
        <w:pStyle w:val="17"/>
        <w:widowControl w:val="0"/>
        <w:adjustRightInd w:val="0"/>
        <w:snapToGrid w:val="0"/>
        <w:spacing w:line="360" w:lineRule="auto"/>
        <w:ind w:firstLine="560"/>
        <w:rPr>
          <w:rFonts w:hint="eastAsia" w:ascii="宋体" w:hAnsi="宋体" w:eastAsia="宋体" w:cs="宋体"/>
          <w:color w:val="auto"/>
          <w:sz w:val="28"/>
          <w:szCs w:val="21"/>
          <w:lang w:val="en-US" w:eastAsia="zh-CN"/>
        </w:rPr>
      </w:pPr>
      <w:r>
        <w:rPr>
          <w:rFonts w:hint="eastAsia" w:ascii="宋体" w:hAnsi="宋体" w:eastAsia="宋体" w:cs="宋体"/>
          <w:color w:val="auto"/>
          <w:sz w:val="28"/>
          <w:szCs w:val="21"/>
          <w:lang w:val="en-US" w:eastAsia="zh-CN"/>
        </w:rPr>
        <w:t>根据《危险化学品目录（2015版）》原国家安全生产监督管理总局等十部门公告2015年第5号（2022年第8号公告，2026年第3号公告修改）的规定，该建设项目在生产过程中涉及的危险化学品为二氯异氰尿酸、氯、次氯酸钠（含有效氯＞5%）、氢氧化钠，其中氯为剧毒品。该项目液氯储存气化装置隐患整改涉及的氯为重点监管的危险化学品，不涉及重点监管危险化工工艺，涉及的液氯库房构成危险化学品二级重大危险源。</w:t>
      </w:r>
    </w:p>
    <w:p w14:paraId="63FFFE3C">
      <w:pPr>
        <w:rPr>
          <w:rFonts w:hint="eastAsia" w:ascii="宋体" w:hAnsi="宋体" w:eastAsia="宋体" w:cs="宋体"/>
          <w:color w:val="auto"/>
          <w:sz w:val="28"/>
          <w:szCs w:val="21"/>
          <w:lang w:val="en-US" w:eastAsia="zh-CN"/>
        </w:rPr>
      </w:pPr>
      <w:r>
        <w:rPr>
          <w:rFonts w:hint="eastAsia" w:ascii="宋体" w:hAnsi="宋体" w:eastAsia="宋体" w:cs="宋体"/>
          <w:color w:val="auto"/>
          <w:sz w:val="28"/>
          <w:szCs w:val="21"/>
          <w:lang w:val="en-US" w:eastAsia="zh-CN"/>
        </w:rPr>
        <w:br w:type="page"/>
      </w:r>
    </w:p>
    <w:p w14:paraId="2BA40DF4">
      <w:pPr>
        <w:pageBreakBefore/>
        <w:widowControl w:val="0"/>
        <w:spacing w:before="389" w:beforeLines="100" w:after="389" w:afterLines="100" w:line="360" w:lineRule="auto"/>
        <w:jc w:val="center"/>
        <w:outlineLvl w:val="0"/>
        <w:rPr>
          <w:rFonts w:ascii="黑体" w:hAnsi="Times New Roman" w:eastAsia="黑体" w:cs="黑体"/>
          <w:color w:val="auto"/>
          <w:kern w:val="2"/>
          <w:sz w:val="32"/>
          <w:szCs w:val="21"/>
          <w:lang w:val="en-US" w:eastAsia="zh-CN" w:bidi="ar-SA"/>
        </w:rPr>
      </w:pPr>
      <w:bookmarkStart w:id="15" w:name="_Toc22578"/>
      <w:bookmarkStart w:id="16" w:name="_Toc27485"/>
      <w:r>
        <w:rPr>
          <w:rFonts w:hint="eastAsia" w:ascii="Times New Roman" w:hAnsi="Times New Roman" w:eastAsia="黑体" w:cs="Times New Roman"/>
          <w:color w:val="auto"/>
          <w:kern w:val="2"/>
          <w:sz w:val="32"/>
          <w:szCs w:val="21"/>
          <w:lang w:val="zh-CN" w:eastAsia="zh-CN" w:bidi="ar-SA"/>
        </w:rPr>
        <w:t xml:space="preserve">第四章 </w:t>
      </w:r>
      <w:bookmarkEnd w:id="15"/>
      <w:r>
        <w:rPr>
          <w:rFonts w:hint="eastAsia" w:ascii="Times New Roman" w:hAnsi="Times New Roman" w:eastAsia="黑体" w:cs="Times New Roman"/>
          <w:color w:val="auto"/>
          <w:kern w:val="2"/>
          <w:sz w:val="32"/>
          <w:szCs w:val="21"/>
          <w:lang w:val="zh-CN" w:eastAsia="zh-CN" w:bidi="ar-SA"/>
        </w:rPr>
        <w:t>评价单元划分和评价方法选择</w:t>
      </w:r>
      <w:bookmarkEnd w:id="16"/>
    </w:p>
    <w:p w14:paraId="623E3BC3">
      <w:pPr>
        <w:spacing w:before="194" w:beforeLines="50" w:after="194" w:afterLines="50" w:line="360" w:lineRule="auto"/>
        <w:jc w:val="center"/>
        <w:outlineLvl w:val="1"/>
        <w:rPr>
          <w:rFonts w:ascii="Times New Roman" w:hAnsi="Times New Roman" w:eastAsia="楷体_GB2312" w:cs="Times New Roman"/>
          <w:b/>
          <w:color w:val="auto"/>
          <w:kern w:val="2"/>
          <w:sz w:val="32"/>
          <w:szCs w:val="32"/>
          <w:lang w:val="en-US" w:eastAsia="zh-CN" w:bidi="ar-SA"/>
        </w:rPr>
      </w:pPr>
      <w:bookmarkStart w:id="17" w:name="_Toc314037410"/>
      <w:bookmarkEnd w:id="17"/>
      <w:bookmarkStart w:id="18" w:name="_Toc10634"/>
      <w:bookmarkStart w:id="19" w:name="_Toc29785"/>
      <w:r>
        <w:rPr>
          <w:rFonts w:hint="eastAsia" w:ascii="Times New Roman" w:hAnsi="Times New Roman" w:eastAsia="楷体_GB2312" w:cs="Times New Roman"/>
          <w:b/>
          <w:color w:val="auto"/>
          <w:kern w:val="2"/>
          <w:sz w:val="32"/>
          <w:szCs w:val="32"/>
          <w:lang w:val="en-US" w:eastAsia="zh-CN" w:bidi="ar-SA"/>
        </w:rPr>
        <w:t xml:space="preserve">第一节 </w:t>
      </w:r>
      <w:bookmarkEnd w:id="18"/>
      <w:r>
        <w:rPr>
          <w:rFonts w:hint="eastAsia" w:ascii="Times New Roman" w:hAnsi="Times New Roman" w:eastAsia="楷体_GB2312" w:cs="Times New Roman"/>
          <w:b/>
          <w:color w:val="auto"/>
          <w:kern w:val="2"/>
          <w:sz w:val="32"/>
          <w:szCs w:val="32"/>
          <w:lang w:val="en-US" w:eastAsia="zh-CN" w:bidi="ar-SA"/>
        </w:rPr>
        <w:t>评价单元的划分</w:t>
      </w:r>
      <w:bookmarkEnd w:id="19"/>
    </w:p>
    <w:p w14:paraId="6E8414AA">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一、评价单元的划分原则</w:t>
      </w:r>
    </w:p>
    <w:p w14:paraId="4B54136F">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划分评价单元是为评价目标和评价方法服务的，为便于评价工作的进行，提高评价工作的准确性，评价单元一般以生产工艺、工艺装置、物料的特点和特征与危险有害因素的类别、分布，有机结合起来进行划分，还可以按评价的要求将一个评价单元再划分为若干个子单元或更细致的单元。由于评价要求和目的不同，各类评价方法均有自身的特点，只要达到评价目的，评价单元的划分并不要求绝对一致。</w:t>
      </w:r>
    </w:p>
    <w:p w14:paraId="24CCB36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评价单元的划分应遵循以下原则：</w:t>
      </w:r>
    </w:p>
    <w:p w14:paraId="060E700B">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1、以危险有害因素的类别为主划分评价单元</w:t>
      </w:r>
    </w:p>
    <w:p w14:paraId="2025E196">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（1）对工艺方案、总体布置及自然条件、社会环境等影响系统的危险有害因素的分析和评价，宜将整个系统作为一个评价单元。</w:t>
      </w:r>
    </w:p>
    <w:p w14:paraId="46DA534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（2）将具有共性危险有害因素的场所和装置划分为一个评价单元。</w:t>
      </w:r>
    </w:p>
    <w:p w14:paraId="4E263BAF">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①按危险、有害因素的类别各划分一个单元，再按工艺、物料、作业特点（即其潜在危险、有害因素的不同）划分子单元分别评价；</w:t>
      </w:r>
    </w:p>
    <w:p w14:paraId="51C1743D">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②按有害因素（有害作业）的类别划分评价单元。</w:t>
      </w:r>
    </w:p>
    <w:p w14:paraId="1F8C864C">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2、以装置特征和物质特征划分评价单元</w:t>
      </w:r>
    </w:p>
    <w:p w14:paraId="1E03CC6B">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（1）按装置的工艺功能划分</w:t>
      </w:r>
    </w:p>
    <w:p w14:paraId="6E6BCBB6">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（2）按布置的相对独立性划分</w:t>
      </w:r>
    </w:p>
    <w:p w14:paraId="75994BE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①以安全距离、防火墙、防火堤、隔离带等与（其他）装置隔开的区域或装置部分作为一个评价单元；</w:t>
      </w:r>
    </w:p>
    <w:p w14:paraId="0DE92B51">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②贮存区域内通常以一个或共同防火堤（防火墙、防火建筑物）内的贮罐、贮存空间作为一个评价单元。</w:t>
      </w:r>
    </w:p>
    <w:p w14:paraId="40737923">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（3）按工艺条件划分</w:t>
      </w:r>
    </w:p>
    <w:p w14:paraId="22656DEC">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按操作温度、压力范围的不同，划分不同的评价单元；按开车、加料、卸车、正常运转、添加剂、检修等的不同作业条件划分评价单元。</w:t>
      </w:r>
    </w:p>
    <w:p w14:paraId="366F7EE7">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（4）按储存、处理危险物品的潜在化学能、毒性和危险物品的数量划分</w:t>
      </w:r>
    </w:p>
    <w:p w14:paraId="64026C71">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①一个贮存区域内（如危险品库）贮存不同的危险物质，为了能够正确识别其相对危险性，可作不同单元处理；</w:t>
      </w:r>
    </w:p>
    <w:p w14:paraId="1D5EBDF7">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②为避免夸大评价单元的危险性，评价单元的可燃、易燃、易爆等物质应有最低限量。</w:t>
      </w:r>
    </w:p>
    <w:p w14:paraId="0AE58992">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（5）按重点设备或区域危险划分</w:t>
      </w:r>
    </w:p>
    <w:p w14:paraId="458DF622">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根据以往事故资料，将发生事故能导致停产、波及范围大、造成巨大损失和伤害的关键设备作为一个评价单元，将危险、有害因素大且资金密度大的区域作为一个评价单元，将危险、有害因素特别大的区域、装置作为一个评价单元，将具有类似危险性潜能的单元合并为一个大评价单元。</w:t>
      </w:r>
    </w:p>
    <w:p w14:paraId="46AFDB5C">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3、依据评价方法的有关规定划分评价单元。</w:t>
      </w:r>
    </w:p>
    <w:p w14:paraId="48ABB76D">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二、评价单元的分析过程</w:t>
      </w:r>
    </w:p>
    <w:p w14:paraId="0358E302">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由于项目的地理位置应考虑地质、地形地貌、水文、气象条件、周围环境、交通运输条件、自然灾害、消防等方面的危险有害因素；厂区总平面布置主要从功能分区、防火间距和安全间距、风向、建筑物朝向、危险化学品道路、贮运等方面识别危险有害因素；建筑物从厂房的生产火灾危险性分类、耐火等级、结构、占地面积、防火间距、安全疏散等方面识别危险有害因素。故以危险有害因素的类别为主划分评价单元的原则，将项目选址、总平面布置及建筑作为一个综合评价单元。</w:t>
      </w:r>
    </w:p>
    <w:p w14:paraId="4634550F">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由于装置区的设备、设施的危险、有害因素具有共性，根据具有共性危险有害因素的场所和装置宜划分为一个评价单元的原则，将主要工艺装置、设备、设施划分为一个单元。</w:t>
      </w:r>
    </w:p>
    <w:p w14:paraId="7F24EFD0">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由于各公用工程和辅助设施的功能不同，同时每一部分的布置具有相对独立性，故以装置特征和物质特征划分评价单元的原则，将公用工程和辅助设施划分为一个评价单元。</w:t>
      </w:r>
    </w:p>
    <w:p w14:paraId="7DB5E226">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管理是以保证该项目建成后生产过程安全为目的的现代化、科学化的管理。它包括：管理制度的制订、从业人员的资格及人员培训、安全管理组织的设置、事故应急救援预案的建立与演练等方面，它作为评价对象的一个相对独立部分，宜划分为一个评价单元进行评价。</w:t>
      </w:r>
    </w:p>
    <w:p w14:paraId="695FB132">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三、评价单元的划分结果</w:t>
      </w:r>
    </w:p>
    <w:p w14:paraId="3CED0F75">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根据上述常用的评价单元划分原则和方法，按照《安全验收评价导则》（AQ8003-2007）的要求，结合该项目储存工艺特点和总图布置的实际情况，本次评价划分了以下四个评价单元：</w:t>
      </w:r>
    </w:p>
    <w:p w14:paraId="12F4B8D9">
      <w:pPr>
        <w:widowControl/>
        <w:adjustRightInd w:val="0"/>
        <w:snapToGrid w:val="0"/>
        <w:spacing w:line="360" w:lineRule="auto"/>
        <w:ind w:firstLine="0" w:firstLineChars="0"/>
        <w:jc w:val="center"/>
        <w:outlineLvl w:val="3"/>
        <w:rPr>
          <w:rFonts w:ascii="黑体" w:hAnsi="黑体" w:eastAsia="黑体" w:cs="黑体"/>
          <w:bCs/>
          <w:color w:val="auto"/>
          <w:kern w:val="0"/>
          <w:sz w:val="24"/>
          <w:szCs w:val="18"/>
          <w:lang w:val="en-GB" w:eastAsia="zh-CN" w:bidi="ar-SA"/>
        </w:rPr>
      </w:pPr>
      <w:r>
        <w:rPr>
          <w:rFonts w:hint="eastAsia" w:ascii="黑体" w:hAnsi="黑体" w:eastAsia="黑体" w:cs="黑体"/>
          <w:bCs/>
          <w:color w:val="auto"/>
          <w:kern w:val="0"/>
          <w:sz w:val="24"/>
          <w:szCs w:val="18"/>
          <w:lang w:val="en-GB" w:eastAsia="zh-CN" w:bidi="ar-SA"/>
        </w:rPr>
        <w:t>表4.1-1 评价单元划分表</w:t>
      </w:r>
    </w:p>
    <w:tbl>
      <w:tblPr>
        <w:tblStyle w:val="9"/>
        <w:tblW w:w="5000" w:type="pct"/>
        <w:tblInd w:w="0" w:type="dxa"/>
        <w:tblLayout w:type="autofit"/>
        <w:tblCellMar>
          <w:top w:w="57" w:type="dxa"/>
          <w:left w:w="108" w:type="dxa"/>
          <w:bottom w:w="57" w:type="dxa"/>
          <w:right w:w="108" w:type="dxa"/>
        </w:tblCellMar>
      </w:tblPr>
      <w:tblGrid>
        <w:gridCol w:w="818"/>
        <w:gridCol w:w="2267"/>
        <w:gridCol w:w="6315"/>
      </w:tblGrid>
      <w:tr w14:paraId="59CB7A5A">
        <w:tblPrEx>
          <w:tblCellMar>
            <w:top w:w="57" w:type="dxa"/>
            <w:left w:w="108" w:type="dxa"/>
            <w:bottom w:w="57" w:type="dxa"/>
            <w:right w:w="108" w:type="dxa"/>
          </w:tblCellMar>
        </w:tblPrEx>
        <w:trPr>
          <w:trHeight w:val="397" w:hRule="atLeast"/>
        </w:trPr>
        <w:tc>
          <w:tcPr>
            <w:tcW w:w="435" w:type="pct"/>
            <w:tcBorders>
              <w:top w:val="single" w:color="000000" w:sz="12"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5E50A08A">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序号</w:t>
            </w:r>
          </w:p>
        </w:tc>
        <w:tc>
          <w:tcPr>
            <w:tcW w:w="1206" w:type="pct"/>
            <w:tcBorders>
              <w:top w:val="single" w:color="000000" w:sz="12"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F920B11">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单元</w:t>
            </w:r>
          </w:p>
        </w:tc>
        <w:tc>
          <w:tcPr>
            <w:tcW w:w="3359" w:type="pct"/>
            <w:tcBorders>
              <w:top w:val="single" w:color="000000" w:sz="12"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208E962D">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主要内容</w:t>
            </w:r>
          </w:p>
        </w:tc>
      </w:tr>
      <w:tr w14:paraId="2055DBDD">
        <w:tblPrEx>
          <w:tblCellMar>
            <w:top w:w="57" w:type="dxa"/>
            <w:left w:w="108" w:type="dxa"/>
            <w:bottom w:w="57" w:type="dxa"/>
            <w:right w:w="108" w:type="dxa"/>
          </w:tblCellMar>
        </w:tblPrEx>
        <w:trPr>
          <w:trHeight w:val="397" w:hRule="atLeast"/>
        </w:trPr>
        <w:tc>
          <w:tcPr>
            <w:tcW w:w="435"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0403DAE4">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1</w:t>
            </w:r>
          </w:p>
        </w:tc>
        <w:tc>
          <w:tcPr>
            <w:tcW w:w="120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63877CC">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选址、总图布置单元</w:t>
            </w:r>
          </w:p>
        </w:tc>
        <w:tc>
          <w:tcPr>
            <w:tcW w:w="3359"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19B3A8EA">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选址、总图布置</w:t>
            </w:r>
          </w:p>
        </w:tc>
      </w:tr>
      <w:tr w14:paraId="4C58C062">
        <w:tblPrEx>
          <w:tblCellMar>
            <w:top w:w="57" w:type="dxa"/>
            <w:left w:w="108" w:type="dxa"/>
            <w:bottom w:w="57" w:type="dxa"/>
            <w:right w:w="108" w:type="dxa"/>
          </w:tblCellMar>
        </w:tblPrEx>
        <w:trPr>
          <w:trHeight w:val="397" w:hRule="atLeast"/>
        </w:trPr>
        <w:tc>
          <w:tcPr>
            <w:tcW w:w="435"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40A74E4A">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2</w:t>
            </w:r>
          </w:p>
        </w:tc>
        <w:tc>
          <w:tcPr>
            <w:tcW w:w="120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220A456">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设备、设施单元</w:t>
            </w:r>
          </w:p>
        </w:tc>
        <w:tc>
          <w:tcPr>
            <w:tcW w:w="3359"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33E4B3A6">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储存设备和安全设施</w:t>
            </w:r>
          </w:p>
        </w:tc>
      </w:tr>
      <w:tr w14:paraId="4D6ACBCE">
        <w:tblPrEx>
          <w:tblCellMar>
            <w:top w:w="57" w:type="dxa"/>
            <w:left w:w="108" w:type="dxa"/>
            <w:bottom w:w="57" w:type="dxa"/>
            <w:right w:w="108" w:type="dxa"/>
          </w:tblCellMar>
        </w:tblPrEx>
        <w:trPr>
          <w:trHeight w:val="397" w:hRule="atLeast"/>
        </w:trPr>
        <w:tc>
          <w:tcPr>
            <w:tcW w:w="435" w:type="pct"/>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65CBC8ED">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3</w:t>
            </w:r>
          </w:p>
        </w:tc>
        <w:tc>
          <w:tcPr>
            <w:tcW w:w="1206" w:type="pc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CA4D643">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公用辅助工程单元</w:t>
            </w:r>
          </w:p>
        </w:tc>
        <w:tc>
          <w:tcPr>
            <w:tcW w:w="3359" w:type="pct"/>
            <w:tcBorders>
              <w:top w:val="single" w:color="000000" w:sz="6" w:space="0"/>
              <w:left w:val="single" w:color="000000" w:sz="6" w:space="0"/>
              <w:bottom w:val="single" w:color="000000" w:sz="6" w:space="0"/>
              <w:right w:val="single" w:color="000000" w:sz="12" w:space="0"/>
            </w:tcBorders>
            <w:tcMar>
              <w:top w:w="0" w:type="dxa"/>
              <w:left w:w="108" w:type="dxa"/>
              <w:bottom w:w="0" w:type="dxa"/>
              <w:right w:w="108" w:type="dxa"/>
            </w:tcMar>
            <w:vAlign w:val="center"/>
          </w:tcPr>
          <w:p w14:paraId="7CE438B3">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供配电、给排水、自控、消防、防雷防静电、通风、电讯、供热、供气等</w:t>
            </w:r>
          </w:p>
        </w:tc>
      </w:tr>
      <w:tr w14:paraId="5F51C32A">
        <w:tblPrEx>
          <w:tblCellMar>
            <w:top w:w="57" w:type="dxa"/>
            <w:left w:w="108" w:type="dxa"/>
            <w:bottom w:w="57" w:type="dxa"/>
            <w:right w:w="108" w:type="dxa"/>
          </w:tblCellMar>
        </w:tblPrEx>
        <w:trPr>
          <w:trHeight w:val="397" w:hRule="atLeast"/>
        </w:trPr>
        <w:tc>
          <w:tcPr>
            <w:tcW w:w="435" w:type="pct"/>
            <w:tcBorders>
              <w:top w:val="single" w:color="000000" w:sz="6" w:space="0"/>
              <w:left w:val="single" w:color="000000" w:sz="12" w:space="0"/>
              <w:bottom w:val="single" w:color="000000" w:sz="12" w:space="0"/>
              <w:right w:val="single" w:color="000000" w:sz="6" w:space="0"/>
            </w:tcBorders>
            <w:tcMar>
              <w:top w:w="0" w:type="dxa"/>
              <w:left w:w="108" w:type="dxa"/>
              <w:bottom w:w="0" w:type="dxa"/>
              <w:right w:w="108" w:type="dxa"/>
            </w:tcMar>
            <w:vAlign w:val="center"/>
          </w:tcPr>
          <w:p w14:paraId="31EDB6DD">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4</w:t>
            </w:r>
          </w:p>
        </w:tc>
        <w:tc>
          <w:tcPr>
            <w:tcW w:w="1206" w:type="pct"/>
            <w:tcBorders>
              <w:top w:val="single" w:color="000000" w:sz="6" w:space="0"/>
              <w:left w:val="single" w:color="000000" w:sz="6" w:space="0"/>
              <w:bottom w:val="single" w:color="000000" w:sz="12" w:space="0"/>
              <w:right w:val="single" w:color="000000" w:sz="6" w:space="0"/>
            </w:tcBorders>
            <w:tcMar>
              <w:top w:w="0" w:type="dxa"/>
              <w:left w:w="108" w:type="dxa"/>
              <w:bottom w:w="0" w:type="dxa"/>
              <w:right w:w="108" w:type="dxa"/>
            </w:tcMar>
            <w:vAlign w:val="center"/>
          </w:tcPr>
          <w:p w14:paraId="32B82C42">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安全管理单元</w:t>
            </w:r>
          </w:p>
        </w:tc>
        <w:tc>
          <w:tcPr>
            <w:tcW w:w="3359" w:type="pct"/>
            <w:tcBorders>
              <w:top w:val="single" w:color="000000" w:sz="6" w:space="0"/>
              <w:left w:val="single" w:color="000000" w:sz="6" w:space="0"/>
              <w:bottom w:val="single" w:color="000000" w:sz="12" w:space="0"/>
              <w:right w:val="single" w:color="000000" w:sz="12" w:space="0"/>
            </w:tcBorders>
            <w:tcMar>
              <w:top w:w="0" w:type="dxa"/>
              <w:left w:w="108" w:type="dxa"/>
              <w:bottom w:w="0" w:type="dxa"/>
              <w:right w:w="108" w:type="dxa"/>
            </w:tcMar>
            <w:vAlign w:val="center"/>
          </w:tcPr>
          <w:p w14:paraId="6C7DBBDC">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安全生产管理组织机构、管理制度、操作规程、应急救援、信息化建设、人员培训和日常管理</w:t>
            </w:r>
          </w:p>
        </w:tc>
      </w:tr>
    </w:tbl>
    <w:p w14:paraId="2D457E24">
      <w:pPr>
        <w:spacing w:before="194" w:beforeLines="50" w:after="194" w:afterLines="50" w:line="360" w:lineRule="auto"/>
        <w:jc w:val="center"/>
        <w:outlineLvl w:val="1"/>
        <w:rPr>
          <w:rFonts w:ascii="Times New Roman" w:hAnsi="Times New Roman" w:eastAsia="楷体_GB2312" w:cs="Times New Roman"/>
          <w:b/>
          <w:color w:val="auto"/>
          <w:kern w:val="2"/>
          <w:sz w:val="32"/>
          <w:szCs w:val="32"/>
          <w:lang w:val="zh-CN" w:eastAsia="zh-CN" w:bidi="ar-SA"/>
        </w:rPr>
      </w:pPr>
      <w:bookmarkStart w:id="20" w:name="_Toc49"/>
      <w:r>
        <w:rPr>
          <w:rFonts w:hint="eastAsia" w:ascii="Times New Roman" w:hAnsi="Times New Roman" w:eastAsia="楷体_GB2312" w:cs="Times New Roman"/>
          <w:b/>
          <w:color w:val="auto"/>
          <w:kern w:val="2"/>
          <w:sz w:val="32"/>
          <w:szCs w:val="32"/>
          <w:lang w:val="zh-CN" w:eastAsia="zh-CN" w:bidi="ar-SA"/>
        </w:rPr>
        <w:t>第</w:t>
      </w:r>
      <w:r>
        <w:rPr>
          <w:rFonts w:hint="eastAsia" w:ascii="Times New Roman" w:hAnsi="Times New Roman" w:eastAsia="楷体_GB2312" w:cs="Times New Roman"/>
          <w:b/>
          <w:color w:val="auto"/>
          <w:kern w:val="2"/>
          <w:sz w:val="32"/>
          <w:szCs w:val="32"/>
          <w:lang w:val="en-US" w:eastAsia="zh-CN" w:bidi="ar-SA"/>
        </w:rPr>
        <w:t>二</w:t>
      </w:r>
      <w:r>
        <w:rPr>
          <w:rFonts w:hint="eastAsia" w:ascii="Times New Roman" w:hAnsi="Times New Roman" w:eastAsia="楷体_GB2312" w:cs="Times New Roman"/>
          <w:b/>
          <w:color w:val="auto"/>
          <w:kern w:val="2"/>
          <w:sz w:val="32"/>
          <w:szCs w:val="32"/>
          <w:lang w:val="zh-CN" w:eastAsia="zh-CN" w:bidi="ar-SA"/>
        </w:rPr>
        <w:t>节</w:t>
      </w:r>
      <w:r>
        <w:rPr>
          <w:rFonts w:hint="eastAsia" w:ascii="Times New Roman" w:hAnsi="Times New Roman" w:eastAsia="楷体_GB2312" w:cs="Times New Roman"/>
          <w:b/>
          <w:color w:val="auto"/>
          <w:kern w:val="2"/>
          <w:sz w:val="32"/>
          <w:szCs w:val="32"/>
          <w:lang w:val="en-US" w:eastAsia="zh-CN" w:bidi="ar-SA"/>
        </w:rPr>
        <w:t xml:space="preserve"> 评价方法的选择</w:t>
      </w:r>
      <w:bookmarkEnd w:id="20"/>
    </w:p>
    <w:p w14:paraId="4A3DFFFE">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一、评价方法的介绍</w:t>
      </w:r>
    </w:p>
    <w:p w14:paraId="0A08A85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评价方法是进行定性、定量安全评价的工具。目前，安全评价方法有很多种，每种评价方法都有其适用范围和应用条件，选择安全评价方法时应根据安全评价的特点、具体条件和需要，针对被评价系统的实际情况、特点和和评价目标，经过认真地分析、比较来选择；必要时，应根据评价目标的要求，选择几种安全评价方法进行安全评价，互相补充、分析综合和相互验证，以提高评价结果的可靠性。</w:t>
      </w:r>
    </w:p>
    <w:p w14:paraId="6F8F4031">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1、安全检查表分析法</w:t>
      </w:r>
    </w:p>
    <w:p w14:paraId="033C95A6">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根据有关安全规范、标准、制度及其他系统分析方法分析的结果，系统地对一个生产系统或设备进行科学的分析，找出各种不安全因素，依据检查项目把找出的不安全因素以问题清单的形式制成表，以便于实施检查和安全管理，这种表称为安全检查表。安全检查表分析法就是制订安全检查表，并依据此表实施安全检查和诊断的系统安全分析方法。</w:t>
      </w:r>
    </w:p>
    <w:p w14:paraId="47F97EF7">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安全检查表分析法的核心是安全检查表的编制和实施。安全检查表必须包括系统或子系统的全部主要检查点，不能忽略那些主要的、潜在的危险因素，而且还应从检查点中发现与之有关的其他因素。</w:t>
      </w:r>
    </w:p>
    <w:p w14:paraId="79FB5E23">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安全检查表分析利用检查条款按照相关的标准、规范等对已知的危险类别、设计缺陷以及与一般工艺设备、操作、管理有关的潜在危险性和有害特性进行判别检查。</w:t>
      </w:r>
    </w:p>
    <w:p w14:paraId="60B6F9A0">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安全检查表分析可适用于工程、系统的各个阶段。安全检查表可以评价物质、设备和工艺，常用于专门设计的评价，检查表也能用于在新工艺（装置）的早期开发阶段，判定和估测危险，还可以对已经运行多年的装置的危险进行评价。</w:t>
      </w:r>
    </w:p>
    <w:p w14:paraId="285C2482">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2、危险度评价法</w:t>
      </w:r>
    </w:p>
    <w:p w14:paraId="7CB4D8B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危险度评价法是一种危险指数评价法，通过从物质、容量、温度、压力和操作五个方面，对单元内潜在危险因素进行量化分析，然后累计分值，从而确定单元的危险等级。危险等级分为三个等级：高度危险（Ⅰ级）、中度危险（Ⅱ级）与低度危险（Ⅲ级）。</w:t>
      </w:r>
    </w:p>
    <w:p w14:paraId="3B37CBF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3、预先危险性分析</w:t>
      </w:r>
    </w:p>
    <w:p w14:paraId="19D55864">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预先危险分析（PHA）也可称为危险性预先分析，对系统存在的危险因素类型、来源、出现的条件，导致事故的结果以及有关防范措施等作一概略分析方法。</w:t>
      </w:r>
    </w:p>
    <w:p w14:paraId="320C1FE9">
      <w:pPr>
        <w:adjustRightInd w:val="0"/>
        <w:snapToGrid w:val="0"/>
        <w:spacing w:line="360" w:lineRule="auto"/>
        <w:ind w:firstLine="560" w:firstLineChars="200"/>
        <w:rPr>
          <w:rFonts w:hint="eastAsia" w:ascii="宋体" w:hAnsi="宋体" w:eastAsia="宋体" w:cs="Times New Roman"/>
          <w:color w:val="auto"/>
          <w:sz w:val="28"/>
          <w:szCs w:val="21"/>
        </w:rPr>
      </w:pPr>
      <w:r>
        <w:rPr>
          <w:rFonts w:hint="eastAsia" w:ascii="宋体" w:hAnsi="宋体" w:eastAsia="宋体" w:cs="Times New Roman"/>
          <w:color w:val="auto"/>
          <w:sz w:val="28"/>
          <w:szCs w:val="21"/>
        </w:rPr>
        <w:t>4、外部安全防护距离计算</w:t>
      </w:r>
    </w:p>
    <w:p w14:paraId="76D45A14">
      <w:pPr>
        <w:adjustRightInd w:val="0"/>
        <w:snapToGrid w:val="0"/>
        <w:spacing w:line="360" w:lineRule="auto"/>
        <w:ind w:firstLine="560" w:firstLineChars="200"/>
        <w:rPr>
          <w:rFonts w:hint="eastAsia" w:ascii="宋体" w:hAnsi="宋体" w:eastAsia="宋体" w:cs="Times New Roman"/>
          <w:color w:val="auto"/>
          <w:sz w:val="28"/>
          <w:szCs w:val="21"/>
        </w:rPr>
      </w:pPr>
      <w:r>
        <w:rPr>
          <w:rFonts w:hint="eastAsia" w:ascii="宋体" w:hAnsi="宋体" w:eastAsia="宋体" w:cs="Times New Roman"/>
          <w:color w:val="auto"/>
          <w:sz w:val="28"/>
          <w:szCs w:val="21"/>
        </w:rPr>
        <w:t>根据《危险化学品生产装置和储存设施风险基准》（GB36894-2018）</w:t>
      </w:r>
      <w:r>
        <w:rPr>
          <w:rFonts w:hint="eastAsia" w:ascii="宋体" w:hAnsi="宋体" w:eastAsia="宋体" w:cs="Times New Roman"/>
          <w:color w:val="auto"/>
          <w:sz w:val="28"/>
          <w:szCs w:val="21"/>
          <w:lang w:eastAsia="zh-CN"/>
        </w:rPr>
        <w:t>、</w:t>
      </w:r>
      <w:r>
        <w:rPr>
          <w:rFonts w:hint="eastAsia" w:ascii="宋体" w:hAnsi="宋体" w:eastAsia="宋体" w:cs="Times New Roman"/>
          <w:color w:val="auto"/>
          <w:sz w:val="28"/>
          <w:szCs w:val="21"/>
        </w:rPr>
        <w:t>《危险化学品生产装置和储存设施外部安全防护距离确定方法》（GB/T37243-2019）要求，采用中国安全生产科学研究院</w:t>
      </w:r>
      <w:r>
        <w:rPr>
          <w:rFonts w:hint="eastAsia" w:ascii="宋体" w:hAnsi="宋体" w:eastAsia="宋体" w:cs="Times New Roman"/>
          <w:color w:val="auto"/>
          <w:sz w:val="28"/>
          <w:szCs w:val="21"/>
          <w:lang w:val="en-US" w:eastAsia="zh-CN"/>
        </w:rPr>
        <w:t>研发的</w:t>
      </w:r>
      <w:r>
        <w:rPr>
          <w:rFonts w:hint="eastAsia" w:ascii="宋体" w:hAnsi="宋体" w:eastAsia="宋体" w:cs="Times New Roman"/>
          <w:color w:val="auto"/>
          <w:sz w:val="28"/>
          <w:szCs w:val="21"/>
        </w:rPr>
        <w:t>《重大危险源区域定量风险评价软件》2.1版进行定量风险评价，使用定量分析法计算个人风险及社会风险值，确定外部安全防护距离。</w:t>
      </w:r>
    </w:p>
    <w:p w14:paraId="67C0A545">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二、安全评价方法的选择</w:t>
      </w:r>
    </w:p>
    <w:p w14:paraId="74C3FFCC">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依据原国家安全生产监督管理总局《危险化学品建设项目安全评价细则（试行）》（安监总危化[2007]255号）及《安全验收评价导则》（AQ8003-2007）的要求，对该项目安全设施竣工验收的安全评价，安全评价方法的选择应以安全检查表的方法为主，其他方面的安全评价为辅的原则，选择国际、国内通行的安全评价方法。故本次验收评价选用安全检查表法、预先危险性分析、危险度、外部安全防护距离确定对各个评价单元进行评价。对关键装置和重点部位采用危险度评价法。不同单元评价方法选择的具体情况如下：</w:t>
      </w:r>
    </w:p>
    <w:p w14:paraId="7D0BEA76">
      <w:pPr>
        <w:widowControl/>
        <w:adjustRightInd w:val="0"/>
        <w:snapToGrid w:val="0"/>
        <w:spacing w:line="360" w:lineRule="auto"/>
        <w:ind w:firstLine="0" w:firstLineChars="0"/>
        <w:jc w:val="center"/>
        <w:outlineLvl w:val="3"/>
        <w:rPr>
          <w:rFonts w:ascii="黑体" w:hAnsi="黑体" w:eastAsia="黑体" w:cs="黑体"/>
          <w:bCs/>
          <w:color w:val="auto"/>
          <w:kern w:val="0"/>
          <w:sz w:val="24"/>
          <w:szCs w:val="18"/>
          <w:lang w:val="en-GB" w:eastAsia="zh-CN" w:bidi="ar-SA"/>
        </w:rPr>
      </w:pPr>
      <w:r>
        <w:rPr>
          <w:rFonts w:hint="eastAsia" w:ascii="黑体" w:hAnsi="黑体" w:eastAsia="黑体" w:cs="黑体"/>
          <w:bCs/>
          <w:color w:val="auto"/>
          <w:kern w:val="0"/>
          <w:sz w:val="24"/>
          <w:szCs w:val="18"/>
          <w:lang w:val="en-GB" w:eastAsia="zh-CN" w:bidi="ar-SA"/>
        </w:rPr>
        <w:t>表4.2-1 选用的安全评价方法</w:t>
      </w:r>
    </w:p>
    <w:tbl>
      <w:tblPr>
        <w:tblStyle w:val="9"/>
        <w:tblW w:w="508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57" w:type="dxa"/>
          <w:left w:w="57" w:type="dxa"/>
          <w:bottom w:w="57" w:type="dxa"/>
          <w:right w:w="57" w:type="dxa"/>
        </w:tblCellMar>
      </w:tblPr>
      <w:tblGrid>
        <w:gridCol w:w="2522"/>
        <w:gridCol w:w="1411"/>
        <w:gridCol w:w="1613"/>
        <w:gridCol w:w="1619"/>
        <w:gridCol w:w="2299"/>
      </w:tblGrid>
      <w:tr w14:paraId="179ABA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single" w:color="000000" w:sz="4" w:space="0"/>
            </w:tcBorders>
            <w:vAlign w:val="center"/>
          </w:tcPr>
          <w:p w14:paraId="1B1F34CC">
            <w:pPr>
              <w:adjustRightInd w:val="0"/>
              <w:snapToGrid w:val="0"/>
              <w:spacing w:line="240" w:lineRule="auto"/>
              <w:ind w:firstLine="0" w:firstLineChars="0"/>
              <w:jc w:val="right"/>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方法</w:t>
            </w:r>
          </w:p>
          <w:p w14:paraId="205D126A">
            <w:pPr>
              <w:adjustRightInd w:val="0"/>
              <w:snapToGrid w:val="0"/>
              <w:spacing w:line="240" w:lineRule="auto"/>
              <w:ind w:firstLine="0" w:firstLineChars="0"/>
              <w:jc w:val="left"/>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单元</w:t>
            </w:r>
          </w:p>
        </w:tc>
        <w:tc>
          <w:tcPr>
            <w:tcW w:w="745" w:type="pct"/>
            <w:tcBorders>
              <w:tl2br w:val="nil"/>
              <w:tr2bl w:val="nil"/>
            </w:tcBorders>
            <w:vAlign w:val="center"/>
          </w:tcPr>
          <w:p w14:paraId="69250668">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安全检查表</w:t>
            </w:r>
          </w:p>
        </w:tc>
        <w:tc>
          <w:tcPr>
            <w:tcW w:w="852" w:type="pct"/>
            <w:tcBorders>
              <w:tl2br w:val="nil"/>
              <w:tr2bl w:val="nil"/>
            </w:tcBorders>
            <w:vAlign w:val="center"/>
          </w:tcPr>
          <w:p w14:paraId="1DAA1473">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危险度</w:t>
            </w:r>
          </w:p>
        </w:tc>
        <w:tc>
          <w:tcPr>
            <w:tcW w:w="855" w:type="pct"/>
            <w:tcBorders>
              <w:tl2br w:val="nil"/>
              <w:tr2bl w:val="nil"/>
            </w:tcBorders>
            <w:vAlign w:val="center"/>
          </w:tcPr>
          <w:p w14:paraId="28E94286">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预先危险性分析</w:t>
            </w:r>
          </w:p>
        </w:tc>
        <w:tc>
          <w:tcPr>
            <w:tcW w:w="1214" w:type="pct"/>
            <w:tcBorders>
              <w:tl2br w:val="nil"/>
              <w:tr2bl w:val="nil"/>
            </w:tcBorders>
            <w:vAlign w:val="center"/>
          </w:tcPr>
          <w:p w14:paraId="13C627D8">
            <w:pPr>
              <w:adjustRightInd w:val="0"/>
              <w:snapToGrid w:val="0"/>
              <w:spacing w:line="240" w:lineRule="auto"/>
              <w:ind w:firstLine="0" w:firstLineChars="0"/>
              <w:jc w:val="center"/>
              <w:rPr>
                <w:rFonts w:ascii="宋体" w:hAnsi="Times New Roman" w:eastAsia="宋体" w:cs="Times New Roman"/>
                <w:b/>
                <w:bCs/>
                <w:color w:val="auto"/>
                <w:sz w:val="21"/>
                <w:szCs w:val="21"/>
              </w:rPr>
            </w:pPr>
            <w:r>
              <w:rPr>
                <w:rFonts w:hint="eastAsia" w:ascii="宋体" w:hAnsi="Times New Roman" w:eastAsia="宋体" w:cs="Times New Roman"/>
                <w:b/>
                <w:bCs/>
                <w:color w:val="auto"/>
                <w:sz w:val="21"/>
                <w:szCs w:val="21"/>
              </w:rPr>
              <w:t>外部安全防护距离计算</w:t>
            </w:r>
          </w:p>
        </w:tc>
      </w:tr>
      <w:tr w14:paraId="28ACC0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nil"/>
              <w:tr2bl w:val="nil"/>
            </w:tcBorders>
            <w:vAlign w:val="center"/>
          </w:tcPr>
          <w:p w14:paraId="4AD1017F">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选址、总图布置</w:t>
            </w:r>
          </w:p>
        </w:tc>
        <w:tc>
          <w:tcPr>
            <w:tcW w:w="745" w:type="pct"/>
            <w:tcBorders>
              <w:tl2br w:val="nil"/>
              <w:tr2bl w:val="nil"/>
            </w:tcBorders>
            <w:vAlign w:val="center"/>
          </w:tcPr>
          <w:p w14:paraId="00C138D9">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2" w:type="pct"/>
            <w:tcBorders>
              <w:tl2br w:val="nil"/>
              <w:tr2bl w:val="nil"/>
            </w:tcBorders>
            <w:vAlign w:val="center"/>
          </w:tcPr>
          <w:p w14:paraId="449BC1E9">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855" w:type="pct"/>
            <w:tcBorders>
              <w:tl2br w:val="nil"/>
              <w:tr2bl w:val="nil"/>
            </w:tcBorders>
            <w:vAlign w:val="center"/>
          </w:tcPr>
          <w:p w14:paraId="6B783F5C">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1214" w:type="pct"/>
            <w:tcBorders>
              <w:tl2br w:val="nil"/>
              <w:tr2bl w:val="nil"/>
            </w:tcBorders>
            <w:vAlign w:val="center"/>
          </w:tcPr>
          <w:p w14:paraId="447784AB">
            <w:pPr>
              <w:adjustRightInd w:val="0"/>
              <w:snapToGrid w:val="0"/>
              <w:spacing w:line="240" w:lineRule="auto"/>
              <w:ind w:firstLine="0" w:firstLineChars="0"/>
              <w:jc w:val="center"/>
              <w:rPr>
                <w:rFonts w:ascii="宋体" w:hAnsi="Times New Roman" w:eastAsia="宋体" w:cs="Times New Roman"/>
                <w:color w:val="auto"/>
                <w:sz w:val="21"/>
                <w:szCs w:val="21"/>
              </w:rPr>
            </w:pPr>
          </w:p>
        </w:tc>
      </w:tr>
      <w:tr w14:paraId="715622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nil"/>
              <w:tr2bl w:val="nil"/>
            </w:tcBorders>
            <w:vAlign w:val="center"/>
          </w:tcPr>
          <w:p w14:paraId="32C01236">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设备、设施单元</w:t>
            </w:r>
          </w:p>
        </w:tc>
        <w:tc>
          <w:tcPr>
            <w:tcW w:w="745" w:type="pct"/>
            <w:tcBorders>
              <w:tl2br w:val="nil"/>
              <w:tr2bl w:val="nil"/>
            </w:tcBorders>
            <w:vAlign w:val="center"/>
          </w:tcPr>
          <w:p w14:paraId="2288B79F">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2" w:type="pct"/>
            <w:tcBorders>
              <w:tl2br w:val="nil"/>
              <w:tr2bl w:val="nil"/>
            </w:tcBorders>
            <w:vAlign w:val="center"/>
          </w:tcPr>
          <w:p w14:paraId="4ACA60C3">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5" w:type="pct"/>
            <w:tcBorders>
              <w:tl2br w:val="nil"/>
              <w:tr2bl w:val="nil"/>
            </w:tcBorders>
            <w:vAlign w:val="center"/>
          </w:tcPr>
          <w:p w14:paraId="54777B34">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1214" w:type="pct"/>
            <w:tcBorders>
              <w:tl2br w:val="nil"/>
              <w:tr2bl w:val="nil"/>
            </w:tcBorders>
            <w:vAlign w:val="center"/>
          </w:tcPr>
          <w:p w14:paraId="11740E99">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r>
      <w:tr w14:paraId="4E3A05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nil"/>
              <w:tr2bl w:val="nil"/>
            </w:tcBorders>
            <w:vAlign w:val="center"/>
          </w:tcPr>
          <w:p w14:paraId="26063692">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公用辅助工程单元</w:t>
            </w:r>
          </w:p>
        </w:tc>
        <w:tc>
          <w:tcPr>
            <w:tcW w:w="745" w:type="pct"/>
            <w:tcBorders>
              <w:tl2br w:val="nil"/>
              <w:tr2bl w:val="nil"/>
            </w:tcBorders>
            <w:vAlign w:val="center"/>
          </w:tcPr>
          <w:p w14:paraId="753427B9">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2" w:type="pct"/>
            <w:tcBorders>
              <w:tl2br w:val="nil"/>
              <w:tr2bl w:val="nil"/>
            </w:tcBorders>
            <w:vAlign w:val="center"/>
          </w:tcPr>
          <w:p w14:paraId="3FAB592B">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855" w:type="pct"/>
            <w:tcBorders>
              <w:tl2br w:val="nil"/>
              <w:tr2bl w:val="nil"/>
            </w:tcBorders>
            <w:vAlign w:val="center"/>
          </w:tcPr>
          <w:p w14:paraId="36FC96F4">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1214" w:type="pct"/>
            <w:tcBorders>
              <w:tl2br w:val="nil"/>
              <w:tr2bl w:val="nil"/>
            </w:tcBorders>
            <w:vAlign w:val="center"/>
          </w:tcPr>
          <w:p w14:paraId="0A7F7040">
            <w:pPr>
              <w:adjustRightInd w:val="0"/>
              <w:snapToGrid w:val="0"/>
              <w:spacing w:line="240" w:lineRule="auto"/>
              <w:ind w:firstLine="0" w:firstLineChars="0"/>
              <w:jc w:val="center"/>
              <w:rPr>
                <w:rFonts w:ascii="宋体" w:hAnsi="Times New Roman" w:eastAsia="宋体" w:cs="Times New Roman"/>
                <w:color w:val="auto"/>
                <w:sz w:val="21"/>
                <w:szCs w:val="21"/>
              </w:rPr>
            </w:pPr>
          </w:p>
        </w:tc>
      </w:tr>
      <w:tr w14:paraId="0EB4E9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40" w:hRule="atLeast"/>
          <w:jc w:val="center"/>
        </w:trPr>
        <w:tc>
          <w:tcPr>
            <w:tcW w:w="1332" w:type="pct"/>
            <w:tcBorders>
              <w:tl2br w:val="nil"/>
              <w:tr2bl w:val="nil"/>
            </w:tcBorders>
            <w:vAlign w:val="center"/>
          </w:tcPr>
          <w:p w14:paraId="3D15EA1C">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安全管理单元</w:t>
            </w:r>
          </w:p>
        </w:tc>
        <w:tc>
          <w:tcPr>
            <w:tcW w:w="745" w:type="pct"/>
            <w:tcBorders>
              <w:tl2br w:val="nil"/>
              <w:tr2bl w:val="nil"/>
            </w:tcBorders>
            <w:vAlign w:val="center"/>
          </w:tcPr>
          <w:p w14:paraId="7729D668">
            <w:pPr>
              <w:adjustRightInd w:val="0"/>
              <w:snapToGrid w:val="0"/>
              <w:spacing w:line="240" w:lineRule="auto"/>
              <w:ind w:firstLine="0" w:firstLineChars="0"/>
              <w:jc w:val="center"/>
              <w:rPr>
                <w:rFonts w:ascii="宋体" w:hAnsi="Times New Roman" w:eastAsia="宋体" w:cs="Times New Roman"/>
                <w:color w:val="auto"/>
                <w:sz w:val="21"/>
                <w:szCs w:val="21"/>
              </w:rPr>
            </w:pPr>
            <w:r>
              <w:rPr>
                <w:rFonts w:hint="eastAsia" w:ascii="宋体" w:hAnsi="Times New Roman" w:eastAsia="宋体" w:cs="Times New Roman"/>
                <w:color w:val="auto"/>
                <w:sz w:val="21"/>
                <w:szCs w:val="21"/>
              </w:rPr>
              <w:t>√</w:t>
            </w:r>
          </w:p>
        </w:tc>
        <w:tc>
          <w:tcPr>
            <w:tcW w:w="852" w:type="pct"/>
            <w:tcBorders>
              <w:tl2br w:val="nil"/>
              <w:tr2bl w:val="nil"/>
            </w:tcBorders>
            <w:vAlign w:val="center"/>
          </w:tcPr>
          <w:p w14:paraId="3E63BBBA">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855" w:type="pct"/>
            <w:tcBorders>
              <w:tl2br w:val="nil"/>
              <w:tr2bl w:val="nil"/>
            </w:tcBorders>
            <w:vAlign w:val="center"/>
          </w:tcPr>
          <w:p w14:paraId="24A79594">
            <w:pPr>
              <w:adjustRightInd w:val="0"/>
              <w:snapToGrid w:val="0"/>
              <w:spacing w:line="240" w:lineRule="auto"/>
              <w:ind w:firstLine="0" w:firstLineChars="0"/>
              <w:jc w:val="center"/>
              <w:rPr>
                <w:rFonts w:ascii="宋体" w:hAnsi="Times New Roman" w:eastAsia="宋体" w:cs="Times New Roman"/>
                <w:color w:val="auto"/>
                <w:sz w:val="21"/>
                <w:szCs w:val="21"/>
              </w:rPr>
            </w:pPr>
          </w:p>
        </w:tc>
        <w:tc>
          <w:tcPr>
            <w:tcW w:w="1214" w:type="pct"/>
            <w:tcBorders>
              <w:tl2br w:val="nil"/>
              <w:tr2bl w:val="nil"/>
            </w:tcBorders>
            <w:vAlign w:val="center"/>
          </w:tcPr>
          <w:p w14:paraId="35360E3A">
            <w:pPr>
              <w:adjustRightInd w:val="0"/>
              <w:snapToGrid w:val="0"/>
              <w:spacing w:line="240" w:lineRule="auto"/>
              <w:ind w:firstLine="0" w:firstLineChars="0"/>
              <w:jc w:val="center"/>
              <w:rPr>
                <w:rFonts w:ascii="宋体" w:hAnsi="Times New Roman" w:eastAsia="宋体" w:cs="Times New Roman"/>
                <w:color w:val="auto"/>
                <w:sz w:val="21"/>
                <w:szCs w:val="21"/>
              </w:rPr>
            </w:pPr>
          </w:p>
        </w:tc>
      </w:tr>
    </w:tbl>
    <w:p w14:paraId="675529F8">
      <w:pPr>
        <w:adjustRightInd w:val="0"/>
        <w:snapToGrid w:val="0"/>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注：表中“√”表示评价单元所采用的评价方法。</w:t>
      </w:r>
    </w:p>
    <w:p w14:paraId="314BBB66">
      <w:pPr>
        <w:pStyle w:val="17"/>
        <w:widowControl w:val="0"/>
        <w:adjustRightInd w:val="0"/>
        <w:snapToGrid w:val="0"/>
        <w:spacing w:line="360" w:lineRule="auto"/>
        <w:ind w:firstLine="560"/>
        <w:rPr>
          <w:rFonts w:hint="eastAsia" w:ascii="宋体" w:hAnsi="宋体" w:eastAsia="宋体" w:cs="宋体"/>
          <w:color w:val="auto"/>
          <w:sz w:val="28"/>
          <w:szCs w:val="21"/>
          <w:lang w:val="en-US" w:eastAsia="zh-CN"/>
        </w:rPr>
      </w:pPr>
    </w:p>
    <w:p w14:paraId="6EC93C82">
      <w:pPr>
        <w:pStyle w:val="21"/>
        <w:widowControl w:val="0"/>
        <w:snapToGrid w:val="0"/>
        <w:spacing w:line="360" w:lineRule="auto"/>
        <w:ind w:firstLine="872" w:firstLineChars="400"/>
        <w:rPr>
          <w:color w:val="auto"/>
        </w:rPr>
      </w:pPr>
    </w:p>
    <w:p w14:paraId="1CE4CD0C">
      <w:pPr>
        <w:rPr>
          <w:color w:val="auto"/>
          <w:kern w:val="0"/>
          <w:sz w:val="28"/>
          <w:szCs w:val="20"/>
          <w:highlight w:val="none"/>
        </w:rPr>
      </w:pPr>
      <w:r>
        <w:rPr>
          <w:color w:val="auto"/>
          <w:kern w:val="0"/>
          <w:sz w:val="28"/>
          <w:szCs w:val="20"/>
          <w:highlight w:val="none"/>
        </w:rPr>
        <w:br w:type="page"/>
      </w:r>
    </w:p>
    <w:p w14:paraId="2FE0BF00">
      <w:pPr>
        <w:widowControl/>
        <w:spacing w:before="120" w:beforeLines="50" w:after="120" w:afterLines="50" w:line="360" w:lineRule="auto"/>
        <w:jc w:val="center"/>
        <w:outlineLvl w:val="1"/>
        <w:rPr>
          <w:rFonts w:ascii="Times New Roman" w:hAnsi="Times New Roman" w:eastAsia="楷体_GB2312" w:cs="Times New Roman"/>
          <w:b/>
          <w:color w:val="auto"/>
          <w:sz w:val="32"/>
          <w:szCs w:val="32"/>
        </w:rPr>
      </w:pPr>
      <w:bookmarkStart w:id="21" w:name="_Toc6946"/>
      <w:bookmarkStart w:id="22" w:name="_Toc27876"/>
      <w:r>
        <w:rPr>
          <w:rFonts w:hint="eastAsia" w:ascii="Times New Roman" w:hAnsi="Times New Roman" w:eastAsia="楷体_GB2312" w:cs="Times New Roman"/>
          <w:b/>
          <w:color w:val="auto"/>
          <w:sz w:val="32"/>
          <w:szCs w:val="32"/>
        </w:rPr>
        <w:t>第二节 安全对策措施及建议</w:t>
      </w:r>
      <w:bookmarkEnd w:id="21"/>
      <w:bookmarkEnd w:id="22"/>
    </w:p>
    <w:p w14:paraId="7A40B0AB">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一、对存在问题隐患的建议</w:t>
      </w:r>
    </w:p>
    <w:p w14:paraId="763B1A26">
      <w:pPr>
        <w:widowControl/>
        <w:adjustRightInd w:val="0"/>
        <w:snapToGrid w:val="0"/>
        <w:spacing w:line="360" w:lineRule="auto"/>
        <w:ind w:firstLine="0" w:firstLineChars="0"/>
        <w:jc w:val="center"/>
        <w:outlineLvl w:val="3"/>
        <w:rPr>
          <w:rFonts w:ascii="黑体" w:hAnsi="黑体" w:eastAsia="黑体" w:cs="黑体"/>
          <w:bCs/>
          <w:color w:val="auto"/>
          <w:kern w:val="0"/>
          <w:sz w:val="24"/>
          <w:szCs w:val="18"/>
          <w:lang w:val="en-GB" w:eastAsia="zh-CN" w:bidi="ar-SA"/>
        </w:rPr>
      </w:pPr>
      <w:r>
        <w:rPr>
          <w:rFonts w:hint="eastAsia" w:ascii="黑体" w:hAnsi="黑体" w:eastAsia="黑体" w:cs="黑体"/>
          <w:bCs/>
          <w:color w:val="auto"/>
          <w:kern w:val="0"/>
          <w:sz w:val="24"/>
          <w:szCs w:val="18"/>
          <w:lang w:val="en-GB" w:eastAsia="zh-CN" w:bidi="ar-SA"/>
        </w:rPr>
        <w:t>表7.2-1 现场隐患及整改建议</w:t>
      </w:r>
    </w:p>
    <w:tbl>
      <w:tblPr>
        <w:tblStyle w:val="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660"/>
        <w:gridCol w:w="4209"/>
        <w:gridCol w:w="1883"/>
        <w:gridCol w:w="2485"/>
      </w:tblGrid>
      <w:tr w14:paraId="2792D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tblHeader/>
          <w:jc w:val="center"/>
        </w:trPr>
        <w:tc>
          <w:tcPr>
            <w:tcW w:w="672" w:type="dxa"/>
            <w:tcBorders>
              <w:tl2br w:val="nil"/>
              <w:tr2bl w:val="nil"/>
            </w:tcBorders>
            <w:shd w:val="clear" w:color="auto" w:fill="auto"/>
            <w:vAlign w:val="center"/>
          </w:tcPr>
          <w:p w14:paraId="1D1BCDA7">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序号</w:t>
            </w:r>
          </w:p>
        </w:tc>
        <w:tc>
          <w:tcPr>
            <w:tcW w:w="4287" w:type="dxa"/>
            <w:tcBorders>
              <w:tl2br w:val="nil"/>
              <w:tr2bl w:val="nil"/>
            </w:tcBorders>
            <w:shd w:val="clear" w:color="auto" w:fill="auto"/>
            <w:vAlign w:val="center"/>
          </w:tcPr>
          <w:p w14:paraId="6F795E30">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现场不符合项</w:t>
            </w:r>
          </w:p>
        </w:tc>
        <w:tc>
          <w:tcPr>
            <w:tcW w:w="1918" w:type="dxa"/>
            <w:tcBorders>
              <w:tl2br w:val="nil"/>
              <w:tr2bl w:val="nil"/>
            </w:tcBorders>
            <w:shd w:val="clear" w:color="auto" w:fill="auto"/>
            <w:vAlign w:val="center"/>
          </w:tcPr>
          <w:p w14:paraId="74A1F2C9">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检查依据</w:t>
            </w:r>
          </w:p>
        </w:tc>
        <w:tc>
          <w:tcPr>
            <w:tcW w:w="2531" w:type="dxa"/>
            <w:tcBorders>
              <w:tl2br w:val="nil"/>
              <w:tr2bl w:val="nil"/>
            </w:tcBorders>
            <w:shd w:val="clear" w:color="auto" w:fill="auto"/>
            <w:vAlign w:val="center"/>
          </w:tcPr>
          <w:p w14:paraId="30C3B81B">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整改建议</w:t>
            </w:r>
          </w:p>
        </w:tc>
      </w:tr>
      <w:tr w14:paraId="506C8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497E7C4A">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1</w:t>
            </w:r>
          </w:p>
        </w:tc>
        <w:tc>
          <w:tcPr>
            <w:tcW w:w="4287" w:type="dxa"/>
            <w:tcBorders>
              <w:tl2br w:val="nil"/>
              <w:tr2bl w:val="nil"/>
            </w:tcBorders>
            <w:shd w:val="clear" w:color="auto" w:fill="auto"/>
            <w:vAlign w:val="center"/>
          </w:tcPr>
          <w:p w14:paraId="27FDFFE8">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空氮站氮气储罐压力表无上限标识</w:t>
            </w:r>
            <w:r>
              <w:rPr>
                <w:rFonts w:hint="eastAsia" w:ascii="宋体" w:hAnsi="宋体" w:eastAsia="宋体" w:cs="宋体"/>
                <w:color w:val="auto"/>
                <w:sz w:val="21"/>
                <w:szCs w:val="21"/>
              </w:rPr>
              <w:t>。</w:t>
            </w:r>
          </w:p>
        </w:tc>
        <w:tc>
          <w:tcPr>
            <w:tcW w:w="1918" w:type="dxa"/>
            <w:tcBorders>
              <w:tl2br w:val="nil"/>
              <w:tr2bl w:val="nil"/>
            </w:tcBorders>
            <w:shd w:val="clear" w:color="auto" w:fill="auto"/>
            <w:vAlign w:val="center"/>
          </w:tcPr>
          <w:p w14:paraId="41827C40">
            <w:pPr>
              <w:adjustRightInd w:val="0"/>
              <w:snapToGrid w:val="0"/>
              <w:spacing w:line="240" w:lineRule="auto"/>
              <w:ind w:firstLine="0" w:firstLineChars="0"/>
              <w:jc w:val="center"/>
              <w:rPr>
                <w:rFonts w:ascii="宋体" w:hAnsi="宋体" w:eastAsia="宋体" w:cs="宋体"/>
                <w:color w:val="auto"/>
                <w:sz w:val="21"/>
                <w:szCs w:val="21"/>
              </w:rPr>
            </w:pPr>
            <w:r>
              <w:rPr>
                <w:rFonts w:hint="eastAsia" w:ascii="宋体" w:hAnsi="宋体" w:eastAsia="宋体" w:cs="宋体"/>
                <w:color w:val="auto"/>
                <w:sz w:val="21"/>
                <w:szCs w:val="21"/>
              </w:rPr>
              <w:t>TSG21-2016/XG1-2020 第9.2.1.2条</w:t>
            </w:r>
          </w:p>
        </w:tc>
        <w:tc>
          <w:tcPr>
            <w:tcW w:w="2531" w:type="dxa"/>
            <w:tcBorders>
              <w:tl2br w:val="nil"/>
              <w:tr2bl w:val="nil"/>
            </w:tcBorders>
            <w:shd w:val="clear" w:color="auto" w:fill="auto"/>
            <w:vAlign w:val="center"/>
          </w:tcPr>
          <w:p w14:paraId="7AEB1207">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标记上限</w:t>
            </w:r>
            <w:r>
              <w:rPr>
                <w:rFonts w:hint="eastAsia" w:ascii="宋体" w:hAnsi="宋体" w:eastAsia="宋体" w:cs="宋体"/>
                <w:color w:val="auto"/>
                <w:sz w:val="21"/>
                <w:szCs w:val="21"/>
              </w:rPr>
              <w:t>。</w:t>
            </w:r>
          </w:p>
        </w:tc>
      </w:tr>
      <w:tr w14:paraId="6174A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3ADA199C">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2</w:t>
            </w:r>
          </w:p>
        </w:tc>
        <w:tc>
          <w:tcPr>
            <w:tcW w:w="4287" w:type="dxa"/>
            <w:tcBorders>
              <w:tl2br w:val="nil"/>
              <w:tr2bl w:val="nil"/>
            </w:tcBorders>
            <w:shd w:val="clear" w:color="auto" w:fill="auto"/>
            <w:vAlign w:val="center"/>
          </w:tcPr>
          <w:p w14:paraId="26463DC6">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空氮站氮气储罐未固定</w:t>
            </w:r>
            <w:r>
              <w:rPr>
                <w:rFonts w:hint="eastAsia" w:ascii="宋体" w:hAnsi="宋体" w:eastAsia="宋体" w:cs="宋体"/>
                <w:color w:val="auto"/>
                <w:sz w:val="21"/>
                <w:szCs w:val="21"/>
              </w:rPr>
              <w:t>。</w:t>
            </w:r>
          </w:p>
        </w:tc>
        <w:tc>
          <w:tcPr>
            <w:tcW w:w="1918" w:type="dxa"/>
            <w:tcBorders>
              <w:tl2br w:val="nil"/>
              <w:tr2bl w:val="nil"/>
            </w:tcBorders>
            <w:shd w:val="clear" w:color="auto" w:fill="auto"/>
            <w:vAlign w:val="center"/>
          </w:tcPr>
          <w:p w14:paraId="0DEC5F15">
            <w:pPr>
              <w:adjustRightInd w:val="0"/>
              <w:snapToGrid w:val="0"/>
              <w:spacing w:line="240" w:lineRule="auto"/>
              <w:ind w:firstLine="0" w:firstLineChars="0"/>
              <w:jc w:val="center"/>
              <w:rPr>
                <w:rFonts w:hint="eastAsia" w:ascii="宋体" w:hAnsi="宋体" w:eastAsia="宋体" w:cs="宋体"/>
                <w:color w:val="auto"/>
                <w:sz w:val="21"/>
                <w:szCs w:val="21"/>
                <w:lang w:val="en-US" w:eastAsia="zh-CN"/>
              </w:rPr>
            </w:pPr>
            <w:r>
              <w:rPr>
                <w:rFonts w:ascii="宋体" w:hAnsi="宋体" w:eastAsia="宋体" w:cs="宋体"/>
                <w:color w:val="auto"/>
                <w:sz w:val="21"/>
                <w:szCs w:val="21"/>
                <w:lang w:val="en-US" w:eastAsia="zh-CN"/>
              </w:rPr>
              <w:t>TSG21-2016/XG1-2020）第7.2.2.1条</w:t>
            </w:r>
          </w:p>
        </w:tc>
        <w:tc>
          <w:tcPr>
            <w:tcW w:w="2531" w:type="dxa"/>
            <w:tcBorders>
              <w:tl2br w:val="nil"/>
              <w:tr2bl w:val="nil"/>
            </w:tcBorders>
            <w:shd w:val="clear" w:color="auto" w:fill="auto"/>
            <w:vAlign w:val="center"/>
          </w:tcPr>
          <w:p w14:paraId="70613233">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对储气罐进行了固定</w:t>
            </w:r>
            <w:r>
              <w:rPr>
                <w:rFonts w:hint="eastAsia" w:ascii="宋体" w:hAnsi="宋体" w:eastAsia="宋体" w:cs="宋体"/>
                <w:color w:val="auto"/>
                <w:sz w:val="21"/>
                <w:szCs w:val="21"/>
              </w:rPr>
              <w:t>。</w:t>
            </w:r>
          </w:p>
        </w:tc>
      </w:tr>
      <w:tr w14:paraId="13ADB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0D3B6448">
            <w:pPr>
              <w:adjustRightInd w:val="0"/>
              <w:snapToGrid w:val="0"/>
              <w:spacing w:line="240" w:lineRule="auto"/>
              <w:ind w:firstLine="0" w:firstLineChars="0"/>
              <w:jc w:val="center"/>
              <w:rPr>
                <w:rFonts w:hint="eastAsia" w:ascii="宋体" w:hAnsi="Times New Roman" w:eastAsia="宋体" w:cs="宋体"/>
                <w:color w:val="auto"/>
                <w:sz w:val="21"/>
                <w:szCs w:val="21"/>
                <w:lang w:val="en-US" w:eastAsia="zh-CN"/>
              </w:rPr>
            </w:pPr>
            <w:r>
              <w:rPr>
                <w:rFonts w:hint="eastAsia" w:ascii="宋体" w:hAnsi="Times New Roman" w:eastAsia="宋体" w:cs="宋体"/>
                <w:color w:val="auto"/>
                <w:sz w:val="21"/>
                <w:szCs w:val="21"/>
                <w:lang w:val="en-US" w:eastAsia="zh-CN"/>
              </w:rPr>
              <w:t>3</w:t>
            </w:r>
          </w:p>
        </w:tc>
        <w:tc>
          <w:tcPr>
            <w:tcW w:w="4287" w:type="dxa"/>
            <w:tcBorders>
              <w:tl2br w:val="nil"/>
              <w:tr2bl w:val="nil"/>
            </w:tcBorders>
            <w:shd w:val="clear" w:color="auto" w:fill="auto"/>
            <w:vAlign w:val="center"/>
          </w:tcPr>
          <w:p w14:paraId="2B50B177">
            <w:pPr>
              <w:adjustRightInd w:val="0"/>
              <w:snapToGrid w:val="0"/>
              <w:spacing w:line="240" w:lineRule="auto"/>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管道无小心灼烫、小心碰头等警示标识。</w:t>
            </w:r>
          </w:p>
        </w:tc>
        <w:tc>
          <w:tcPr>
            <w:tcW w:w="1918" w:type="dxa"/>
            <w:tcBorders>
              <w:tl2br w:val="nil"/>
              <w:tr2bl w:val="nil"/>
            </w:tcBorders>
            <w:shd w:val="clear" w:color="auto" w:fill="auto"/>
            <w:vAlign w:val="center"/>
          </w:tcPr>
          <w:p w14:paraId="69B21347">
            <w:pPr>
              <w:adjustRightInd w:val="0"/>
              <w:snapToGrid w:val="0"/>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GB12801-2025</w:t>
            </w:r>
          </w:p>
          <w:p w14:paraId="73C5589F">
            <w:pPr>
              <w:adjustRightInd w:val="0"/>
              <w:snapToGrid w:val="0"/>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5.7.4</w:t>
            </w:r>
            <w:r>
              <w:rPr>
                <w:rFonts w:hint="eastAsia" w:ascii="宋体" w:hAnsi="宋体" w:eastAsia="宋体" w:cs="宋体"/>
                <w:color w:val="auto"/>
                <w:sz w:val="21"/>
                <w:szCs w:val="21"/>
              </w:rPr>
              <w:t>条</w:t>
            </w:r>
          </w:p>
        </w:tc>
        <w:tc>
          <w:tcPr>
            <w:tcW w:w="2531" w:type="dxa"/>
            <w:tcBorders>
              <w:tl2br w:val="nil"/>
              <w:tr2bl w:val="nil"/>
            </w:tcBorders>
            <w:shd w:val="clear" w:color="auto" w:fill="auto"/>
            <w:vAlign w:val="center"/>
          </w:tcPr>
          <w:p w14:paraId="57A24B05">
            <w:pPr>
              <w:adjustRightInd w:val="0"/>
              <w:snapToGrid w:val="0"/>
              <w:spacing w:line="240" w:lineRule="auto"/>
              <w:ind w:firstLine="0" w:firstLine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增加警示标志。</w:t>
            </w:r>
          </w:p>
        </w:tc>
      </w:tr>
      <w:tr w14:paraId="678C0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0FF87C83">
            <w:pPr>
              <w:adjustRightInd w:val="0"/>
              <w:snapToGrid w:val="0"/>
              <w:spacing w:line="240" w:lineRule="auto"/>
              <w:ind w:firstLine="0" w:firstLineChars="0"/>
              <w:jc w:val="center"/>
              <w:rPr>
                <w:rFonts w:hint="eastAsia" w:ascii="宋体" w:hAnsi="Times New Roman" w:eastAsia="宋体" w:cs="宋体"/>
                <w:color w:val="auto"/>
                <w:sz w:val="21"/>
                <w:szCs w:val="21"/>
                <w:lang w:val="en-US" w:eastAsia="zh-CN"/>
              </w:rPr>
            </w:pPr>
            <w:r>
              <w:rPr>
                <w:rFonts w:hint="eastAsia" w:ascii="宋体" w:hAnsi="Times New Roman" w:eastAsia="宋体" w:cs="宋体"/>
                <w:color w:val="auto"/>
                <w:sz w:val="21"/>
                <w:szCs w:val="21"/>
                <w:lang w:val="en-US" w:eastAsia="zh-CN"/>
              </w:rPr>
              <w:t>4</w:t>
            </w:r>
          </w:p>
        </w:tc>
        <w:tc>
          <w:tcPr>
            <w:tcW w:w="4287" w:type="dxa"/>
            <w:tcBorders>
              <w:tl2br w:val="nil"/>
              <w:tr2bl w:val="nil"/>
            </w:tcBorders>
            <w:shd w:val="clear" w:color="auto" w:fill="auto"/>
            <w:vAlign w:val="center"/>
          </w:tcPr>
          <w:p w14:paraId="6709AA0F">
            <w:pPr>
              <w:adjustRightInd w:val="0"/>
              <w:snapToGrid w:val="0"/>
              <w:spacing w:line="240" w:lineRule="auto"/>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储液槽进料管道无介质标识。</w:t>
            </w:r>
          </w:p>
        </w:tc>
        <w:tc>
          <w:tcPr>
            <w:tcW w:w="1918" w:type="dxa"/>
            <w:tcBorders>
              <w:tl2br w:val="nil"/>
              <w:tr2bl w:val="nil"/>
            </w:tcBorders>
            <w:shd w:val="clear" w:color="auto" w:fill="auto"/>
            <w:vAlign w:val="center"/>
          </w:tcPr>
          <w:p w14:paraId="0CCDD92D">
            <w:pPr>
              <w:adjustRightInd w:val="0"/>
              <w:snapToGrid w:val="0"/>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GB12801-2025</w:t>
            </w:r>
          </w:p>
          <w:p w14:paraId="57197258">
            <w:pPr>
              <w:adjustRightInd w:val="0"/>
              <w:snapToGrid w:val="0"/>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5.7.4</w:t>
            </w:r>
            <w:r>
              <w:rPr>
                <w:rFonts w:hint="eastAsia" w:ascii="宋体" w:hAnsi="宋体" w:eastAsia="宋体" w:cs="宋体"/>
                <w:color w:val="auto"/>
                <w:sz w:val="21"/>
                <w:szCs w:val="21"/>
              </w:rPr>
              <w:t>条</w:t>
            </w:r>
          </w:p>
        </w:tc>
        <w:tc>
          <w:tcPr>
            <w:tcW w:w="2531" w:type="dxa"/>
            <w:tcBorders>
              <w:tl2br w:val="nil"/>
              <w:tr2bl w:val="nil"/>
            </w:tcBorders>
            <w:shd w:val="clear" w:color="auto" w:fill="auto"/>
            <w:vAlign w:val="center"/>
          </w:tcPr>
          <w:p w14:paraId="77B70F5D">
            <w:pPr>
              <w:adjustRightInd w:val="0"/>
              <w:snapToGrid w:val="0"/>
              <w:spacing w:line="240" w:lineRule="auto"/>
              <w:ind w:firstLine="0" w:firstLine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增加介质标识。</w:t>
            </w:r>
          </w:p>
        </w:tc>
      </w:tr>
      <w:tr w14:paraId="6D6F2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5CAAFDC5">
            <w:pPr>
              <w:adjustRightInd w:val="0"/>
              <w:snapToGrid w:val="0"/>
              <w:spacing w:line="240" w:lineRule="auto"/>
              <w:ind w:firstLine="0" w:firstLineChars="0"/>
              <w:jc w:val="center"/>
              <w:rPr>
                <w:rFonts w:hint="eastAsia" w:ascii="宋体" w:hAnsi="Times New Roman" w:eastAsia="宋体" w:cs="宋体"/>
                <w:color w:val="auto"/>
                <w:sz w:val="21"/>
                <w:szCs w:val="21"/>
                <w:lang w:val="en-US" w:eastAsia="zh-CN"/>
              </w:rPr>
            </w:pPr>
            <w:r>
              <w:rPr>
                <w:rFonts w:hint="eastAsia" w:ascii="宋体" w:hAnsi="Times New Roman" w:eastAsia="宋体" w:cs="宋体"/>
                <w:color w:val="auto"/>
                <w:sz w:val="21"/>
                <w:szCs w:val="21"/>
                <w:lang w:val="en-US" w:eastAsia="zh-CN"/>
              </w:rPr>
              <w:t>5</w:t>
            </w:r>
          </w:p>
        </w:tc>
        <w:tc>
          <w:tcPr>
            <w:tcW w:w="4287" w:type="dxa"/>
            <w:tcBorders>
              <w:tl2br w:val="nil"/>
              <w:tr2bl w:val="nil"/>
            </w:tcBorders>
            <w:shd w:val="clear" w:color="auto" w:fill="auto"/>
            <w:vAlign w:val="center"/>
          </w:tcPr>
          <w:p w14:paraId="65C361B5">
            <w:pPr>
              <w:adjustRightInd w:val="0"/>
              <w:snapToGrid w:val="0"/>
              <w:spacing w:line="240" w:lineRule="auto"/>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纯碱料仓无设备标识。</w:t>
            </w:r>
          </w:p>
        </w:tc>
        <w:tc>
          <w:tcPr>
            <w:tcW w:w="1918" w:type="dxa"/>
            <w:tcBorders>
              <w:tl2br w:val="nil"/>
              <w:tr2bl w:val="nil"/>
            </w:tcBorders>
            <w:shd w:val="clear" w:color="auto" w:fill="auto"/>
            <w:vAlign w:val="center"/>
          </w:tcPr>
          <w:p w14:paraId="2B2EAD9D">
            <w:pPr>
              <w:adjustRightInd w:val="0"/>
              <w:snapToGrid w:val="0"/>
              <w:spacing w:line="240" w:lineRule="auto"/>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GB5083-</w:t>
            </w:r>
            <w:r>
              <w:rPr>
                <w:rFonts w:hint="eastAsia" w:ascii="宋体" w:hAnsi="宋体" w:eastAsia="宋体" w:cs="宋体"/>
                <w:color w:val="auto"/>
                <w:sz w:val="21"/>
                <w:szCs w:val="21"/>
                <w:lang w:val="en-US" w:eastAsia="zh-CN"/>
              </w:rPr>
              <w:t>2023</w:t>
            </w:r>
          </w:p>
          <w:p w14:paraId="2B248784">
            <w:pPr>
              <w:adjustRightInd w:val="0"/>
              <w:snapToGrid w:val="0"/>
              <w:spacing w:line="24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第7.1条</w:t>
            </w:r>
          </w:p>
        </w:tc>
        <w:tc>
          <w:tcPr>
            <w:tcW w:w="2531" w:type="dxa"/>
            <w:tcBorders>
              <w:tl2br w:val="nil"/>
              <w:tr2bl w:val="nil"/>
            </w:tcBorders>
            <w:shd w:val="clear" w:color="auto" w:fill="auto"/>
            <w:vAlign w:val="center"/>
          </w:tcPr>
          <w:p w14:paraId="5F40D665">
            <w:pPr>
              <w:adjustRightInd w:val="0"/>
              <w:snapToGrid w:val="0"/>
              <w:spacing w:line="240" w:lineRule="auto"/>
              <w:ind w:firstLine="0" w:firstLine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增加设备标识。</w:t>
            </w:r>
          </w:p>
        </w:tc>
      </w:tr>
    </w:tbl>
    <w:p w14:paraId="723A450B">
      <w:pPr>
        <w:widowControl w:val="0"/>
        <w:adjustRightInd w:val="0"/>
        <w:snapToGrid w:val="0"/>
        <w:spacing w:line="360" w:lineRule="auto"/>
        <w:ind w:firstLine="560" w:firstLineChars="200"/>
        <w:jc w:val="both"/>
        <w:outlineLvl w:val="2"/>
        <w:rPr>
          <w:rFonts w:ascii="Times New Roman" w:hAnsi="Times New Roman" w:eastAsia="黑体" w:cs="Times New Roman"/>
          <w:color w:val="auto"/>
          <w:sz w:val="28"/>
          <w:u w:color="000000"/>
          <w:lang w:val="en-US" w:eastAsia="zh-CN" w:bidi="ar-SA"/>
        </w:rPr>
      </w:pPr>
      <w:r>
        <w:rPr>
          <w:rFonts w:hint="eastAsia" w:ascii="Times New Roman" w:hAnsi="Times New Roman" w:eastAsia="黑体" w:cs="Times New Roman"/>
          <w:color w:val="auto"/>
          <w:sz w:val="28"/>
          <w:u w:color="000000"/>
          <w:lang w:val="en-US" w:eastAsia="zh-CN" w:bidi="ar-SA"/>
        </w:rPr>
        <w:t>二、隐患整改情况复查结果</w:t>
      </w:r>
    </w:p>
    <w:p w14:paraId="3B85892E">
      <w:pPr>
        <w:widowControl/>
        <w:adjustRightInd w:val="0"/>
        <w:snapToGrid w:val="0"/>
        <w:spacing w:line="360" w:lineRule="auto"/>
        <w:ind w:firstLine="0" w:firstLineChars="0"/>
        <w:jc w:val="center"/>
        <w:outlineLvl w:val="3"/>
        <w:rPr>
          <w:rFonts w:ascii="黑体" w:hAnsi="黑体" w:eastAsia="黑体" w:cs="黑体"/>
          <w:bCs/>
          <w:color w:val="auto"/>
          <w:kern w:val="0"/>
          <w:sz w:val="24"/>
          <w:szCs w:val="18"/>
          <w:lang w:val="en-GB" w:eastAsia="zh-CN" w:bidi="ar-SA"/>
        </w:rPr>
      </w:pPr>
      <w:r>
        <w:rPr>
          <w:rFonts w:hint="eastAsia" w:ascii="黑体" w:hAnsi="黑体" w:eastAsia="黑体" w:cs="黑体"/>
          <w:bCs/>
          <w:color w:val="auto"/>
          <w:kern w:val="0"/>
          <w:sz w:val="24"/>
          <w:szCs w:val="18"/>
          <w:lang w:val="en-GB" w:eastAsia="zh-CN" w:bidi="ar-SA"/>
        </w:rPr>
        <w:t>表7.2-2 现场隐患及整改情况</w:t>
      </w:r>
    </w:p>
    <w:tbl>
      <w:tblPr>
        <w:tblStyle w:val="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660"/>
        <w:gridCol w:w="4624"/>
        <w:gridCol w:w="3067"/>
        <w:gridCol w:w="889"/>
      </w:tblGrid>
      <w:tr w14:paraId="31569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3BDBFB85">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序号</w:t>
            </w:r>
          </w:p>
        </w:tc>
        <w:tc>
          <w:tcPr>
            <w:tcW w:w="4710" w:type="dxa"/>
            <w:tcBorders>
              <w:tl2br w:val="nil"/>
              <w:tr2bl w:val="nil"/>
            </w:tcBorders>
            <w:shd w:val="clear" w:color="auto" w:fill="auto"/>
            <w:vAlign w:val="center"/>
          </w:tcPr>
          <w:p w14:paraId="1FD4FA88">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现场不符合项</w:t>
            </w:r>
          </w:p>
        </w:tc>
        <w:tc>
          <w:tcPr>
            <w:tcW w:w="3124" w:type="dxa"/>
            <w:tcBorders>
              <w:tl2br w:val="nil"/>
              <w:tr2bl w:val="nil"/>
            </w:tcBorders>
            <w:shd w:val="clear" w:color="auto" w:fill="auto"/>
            <w:vAlign w:val="center"/>
          </w:tcPr>
          <w:p w14:paraId="729DF5EB">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整改情况</w:t>
            </w:r>
          </w:p>
        </w:tc>
        <w:tc>
          <w:tcPr>
            <w:tcW w:w="905" w:type="dxa"/>
            <w:tcBorders>
              <w:tl2br w:val="nil"/>
              <w:tr2bl w:val="nil"/>
            </w:tcBorders>
            <w:shd w:val="clear" w:color="auto" w:fill="auto"/>
            <w:vAlign w:val="center"/>
          </w:tcPr>
          <w:p w14:paraId="549BDC5F">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b/>
                <w:bCs/>
                <w:color w:val="auto"/>
                <w:sz w:val="21"/>
                <w:szCs w:val="21"/>
              </w:rPr>
              <w:t>结论</w:t>
            </w:r>
          </w:p>
        </w:tc>
      </w:tr>
      <w:tr w14:paraId="72A2C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3B2B2F00">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1</w:t>
            </w:r>
          </w:p>
        </w:tc>
        <w:tc>
          <w:tcPr>
            <w:tcW w:w="4710" w:type="dxa"/>
            <w:tcBorders>
              <w:tl2br w:val="nil"/>
              <w:tr2bl w:val="nil"/>
            </w:tcBorders>
            <w:shd w:val="clear" w:color="auto" w:fill="auto"/>
            <w:vAlign w:val="center"/>
          </w:tcPr>
          <w:p w14:paraId="7E0B16B8">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空氮站氮气储罐压力表无上限标识</w:t>
            </w:r>
            <w:r>
              <w:rPr>
                <w:rFonts w:hint="eastAsia" w:ascii="宋体" w:hAnsi="宋体" w:eastAsia="宋体" w:cs="宋体"/>
                <w:color w:val="auto"/>
                <w:sz w:val="21"/>
                <w:szCs w:val="21"/>
              </w:rPr>
              <w:t>。</w:t>
            </w:r>
          </w:p>
        </w:tc>
        <w:tc>
          <w:tcPr>
            <w:tcW w:w="3124" w:type="dxa"/>
            <w:tcBorders>
              <w:tl2br w:val="nil"/>
              <w:tr2bl w:val="nil"/>
            </w:tcBorders>
            <w:shd w:val="clear" w:color="auto" w:fill="auto"/>
            <w:vAlign w:val="center"/>
          </w:tcPr>
          <w:p w14:paraId="3101E875">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已标记上限</w:t>
            </w:r>
            <w:r>
              <w:rPr>
                <w:rFonts w:hint="eastAsia" w:ascii="宋体" w:hAnsi="宋体" w:eastAsia="宋体" w:cs="宋体"/>
                <w:color w:val="auto"/>
                <w:sz w:val="21"/>
                <w:szCs w:val="21"/>
              </w:rPr>
              <w:t>。</w:t>
            </w:r>
          </w:p>
        </w:tc>
        <w:tc>
          <w:tcPr>
            <w:tcW w:w="905" w:type="dxa"/>
            <w:tcBorders>
              <w:tl2br w:val="nil"/>
              <w:tr2bl w:val="nil"/>
            </w:tcBorders>
            <w:shd w:val="clear" w:color="auto" w:fill="auto"/>
            <w:vAlign w:val="center"/>
          </w:tcPr>
          <w:p w14:paraId="41C0DF22">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color w:val="auto"/>
                <w:sz w:val="21"/>
                <w:szCs w:val="21"/>
              </w:rPr>
              <w:t>已整改</w:t>
            </w:r>
          </w:p>
        </w:tc>
      </w:tr>
      <w:tr w14:paraId="5077E6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50DABFCE">
            <w:pPr>
              <w:adjustRightInd w:val="0"/>
              <w:snapToGrid w:val="0"/>
              <w:spacing w:line="240" w:lineRule="auto"/>
              <w:ind w:firstLine="0" w:firstLineChars="0"/>
              <w:jc w:val="center"/>
              <w:rPr>
                <w:rFonts w:ascii="宋体" w:hAnsi="Times New Roman" w:eastAsia="宋体" w:cs="宋体"/>
                <w:color w:val="auto"/>
                <w:sz w:val="21"/>
                <w:szCs w:val="21"/>
              </w:rPr>
            </w:pPr>
            <w:r>
              <w:rPr>
                <w:rFonts w:hint="eastAsia" w:ascii="宋体" w:hAnsi="Times New Roman" w:eastAsia="宋体" w:cs="宋体"/>
                <w:color w:val="auto"/>
                <w:sz w:val="21"/>
                <w:szCs w:val="21"/>
              </w:rPr>
              <w:t>2</w:t>
            </w:r>
          </w:p>
        </w:tc>
        <w:tc>
          <w:tcPr>
            <w:tcW w:w="4710" w:type="dxa"/>
            <w:tcBorders>
              <w:tl2br w:val="nil"/>
              <w:tr2bl w:val="nil"/>
            </w:tcBorders>
            <w:shd w:val="clear" w:color="auto" w:fill="auto"/>
            <w:vAlign w:val="center"/>
          </w:tcPr>
          <w:p w14:paraId="7DD6FDE6">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空氮站氮气储罐未固定</w:t>
            </w:r>
            <w:r>
              <w:rPr>
                <w:rFonts w:hint="eastAsia" w:ascii="宋体" w:hAnsi="宋体" w:eastAsia="宋体" w:cs="宋体"/>
                <w:color w:val="auto"/>
                <w:sz w:val="21"/>
                <w:szCs w:val="21"/>
              </w:rPr>
              <w:t>。</w:t>
            </w:r>
          </w:p>
        </w:tc>
        <w:tc>
          <w:tcPr>
            <w:tcW w:w="3124" w:type="dxa"/>
            <w:tcBorders>
              <w:tl2br w:val="nil"/>
              <w:tr2bl w:val="nil"/>
            </w:tcBorders>
            <w:shd w:val="clear" w:color="auto" w:fill="auto"/>
            <w:vAlign w:val="center"/>
          </w:tcPr>
          <w:p w14:paraId="289AFE2A">
            <w:pPr>
              <w:adjustRightInd w:val="0"/>
              <w:snapToGrid w:val="0"/>
              <w:spacing w:line="240" w:lineRule="auto"/>
              <w:ind w:firstLine="0" w:firstLineChars="0"/>
              <w:jc w:val="left"/>
              <w:rPr>
                <w:rFonts w:ascii="宋体" w:hAnsi="宋体" w:eastAsia="宋体" w:cs="宋体"/>
                <w:color w:val="auto"/>
                <w:sz w:val="21"/>
                <w:szCs w:val="21"/>
              </w:rPr>
            </w:pPr>
            <w:r>
              <w:rPr>
                <w:rFonts w:hint="eastAsia" w:ascii="宋体" w:hAnsi="宋体" w:eastAsia="宋体" w:cs="宋体"/>
                <w:color w:val="auto"/>
                <w:sz w:val="21"/>
                <w:szCs w:val="21"/>
                <w:lang w:val="en-US" w:eastAsia="zh-CN"/>
              </w:rPr>
              <w:t>已对储气罐进行了固定</w:t>
            </w:r>
            <w:r>
              <w:rPr>
                <w:rFonts w:hint="eastAsia" w:ascii="宋体" w:hAnsi="宋体" w:eastAsia="宋体" w:cs="宋体"/>
                <w:color w:val="auto"/>
                <w:sz w:val="21"/>
                <w:szCs w:val="21"/>
              </w:rPr>
              <w:t>。</w:t>
            </w:r>
          </w:p>
        </w:tc>
        <w:tc>
          <w:tcPr>
            <w:tcW w:w="905" w:type="dxa"/>
            <w:tcBorders>
              <w:tl2br w:val="nil"/>
              <w:tr2bl w:val="nil"/>
            </w:tcBorders>
            <w:shd w:val="clear" w:color="auto" w:fill="auto"/>
            <w:vAlign w:val="center"/>
          </w:tcPr>
          <w:p w14:paraId="151BE119">
            <w:pPr>
              <w:adjustRightInd w:val="0"/>
              <w:snapToGrid w:val="0"/>
              <w:spacing w:line="240" w:lineRule="auto"/>
              <w:ind w:firstLine="0" w:firstLineChars="0"/>
              <w:jc w:val="center"/>
              <w:rPr>
                <w:rFonts w:ascii="宋体" w:hAnsi="Times New Roman" w:eastAsia="宋体" w:cs="宋体"/>
                <w:b/>
                <w:bCs/>
                <w:color w:val="auto"/>
                <w:sz w:val="21"/>
                <w:szCs w:val="21"/>
              </w:rPr>
            </w:pPr>
            <w:r>
              <w:rPr>
                <w:rFonts w:hint="eastAsia" w:ascii="宋体" w:hAnsi="Times New Roman" w:eastAsia="宋体" w:cs="宋体"/>
                <w:color w:val="auto"/>
                <w:sz w:val="21"/>
                <w:szCs w:val="21"/>
              </w:rPr>
              <w:t>已整改</w:t>
            </w:r>
          </w:p>
        </w:tc>
      </w:tr>
      <w:tr w14:paraId="73DBE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4FDCC118">
            <w:pPr>
              <w:adjustRightInd w:val="0"/>
              <w:snapToGrid w:val="0"/>
              <w:spacing w:line="240" w:lineRule="auto"/>
              <w:ind w:firstLine="0" w:firstLineChars="0"/>
              <w:jc w:val="center"/>
              <w:rPr>
                <w:rFonts w:hint="eastAsia" w:ascii="宋体" w:hAnsi="Times New Roman" w:eastAsia="宋体" w:cs="宋体"/>
                <w:color w:val="auto"/>
                <w:sz w:val="21"/>
                <w:szCs w:val="21"/>
                <w:lang w:val="en-US" w:eastAsia="zh-CN"/>
              </w:rPr>
            </w:pPr>
            <w:r>
              <w:rPr>
                <w:rFonts w:hint="eastAsia" w:ascii="宋体" w:hAnsi="Times New Roman" w:eastAsia="宋体" w:cs="宋体"/>
                <w:color w:val="auto"/>
                <w:sz w:val="21"/>
                <w:szCs w:val="21"/>
                <w:lang w:val="en-US" w:eastAsia="zh-CN"/>
              </w:rPr>
              <w:t>3</w:t>
            </w:r>
          </w:p>
        </w:tc>
        <w:tc>
          <w:tcPr>
            <w:tcW w:w="4710" w:type="dxa"/>
            <w:tcBorders>
              <w:tl2br w:val="nil"/>
              <w:tr2bl w:val="nil"/>
            </w:tcBorders>
            <w:shd w:val="clear" w:color="auto" w:fill="auto"/>
            <w:vAlign w:val="center"/>
          </w:tcPr>
          <w:p w14:paraId="06E72C7E">
            <w:pPr>
              <w:adjustRightInd w:val="0"/>
              <w:snapToGrid w:val="0"/>
              <w:spacing w:line="240" w:lineRule="auto"/>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管道无小心灼烫、小心碰头等警示标识。</w:t>
            </w:r>
          </w:p>
        </w:tc>
        <w:tc>
          <w:tcPr>
            <w:tcW w:w="3124" w:type="dxa"/>
            <w:tcBorders>
              <w:tl2br w:val="nil"/>
              <w:tr2bl w:val="nil"/>
            </w:tcBorders>
            <w:shd w:val="clear" w:color="auto" w:fill="auto"/>
            <w:vAlign w:val="center"/>
          </w:tcPr>
          <w:p w14:paraId="5047F2CE">
            <w:pPr>
              <w:adjustRightInd w:val="0"/>
              <w:snapToGrid w:val="0"/>
              <w:spacing w:line="240" w:lineRule="auto"/>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已增加警示标志。</w:t>
            </w:r>
          </w:p>
        </w:tc>
        <w:tc>
          <w:tcPr>
            <w:tcW w:w="905" w:type="dxa"/>
            <w:tcBorders>
              <w:tl2br w:val="nil"/>
              <w:tr2bl w:val="nil"/>
            </w:tcBorders>
            <w:shd w:val="clear" w:color="auto" w:fill="auto"/>
            <w:vAlign w:val="center"/>
          </w:tcPr>
          <w:p w14:paraId="463BBE6F">
            <w:pPr>
              <w:adjustRightInd w:val="0"/>
              <w:snapToGrid w:val="0"/>
              <w:spacing w:line="240" w:lineRule="auto"/>
              <w:ind w:firstLine="0" w:firstLineChars="0"/>
              <w:jc w:val="center"/>
              <w:rPr>
                <w:rFonts w:hint="eastAsia" w:ascii="宋体" w:hAnsi="Times New Roman" w:eastAsia="宋体" w:cs="宋体"/>
                <w:color w:val="auto"/>
                <w:sz w:val="21"/>
                <w:szCs w:val="21"/>
              </w:rPr>
            </w:pPr>
            <w:r>
              <w:rPr>
                <w:rFonts w:hint="eastAsia" w:ascii="宋体" w:hAnsi="Times New Roman" w:eastAsia="宋体" w:cs="宋体"/>
                <w:color w:val="auto"/>
                <w:sz w:val="21"/>
                <w:szCs w:val="21"/>
              </w:rPr>
              <w:t>已整改</w:t>
            </w:r>
          </w:p>
        </w:tc>
      </w:tr>
      <w:tr w14:paraId="465DDC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24EFAC1E">
            <w:pPr>
              <w:adjustRightInd w:val="0"/>
              <w:snapToGrid w:val="0"/>
              <w:spacing w:line="240" w:lineRule="auto"/>
              <w:ind w:firstLine="0" w:firstLineChars="0"/>
              <w:jc w:val="center"/>
              <w:rPr>
                <w:rFonts w:hint="eastAsia" w:ascii="宋体" w:hAnsi="Times New Roman" w:eastAsia="宋体" w:cs="宋体"/>
                <w:color w:val="auto"/>
                <w:sz w:val="21"/>
                <w:szCs w:val="21"/>
                <w:lang w:val="en-US" w:eastAsia="zh-CN"/>
              </w:rPr>
            </w:pPr>
            <w:r>
              <w:rPr>
                <w:rFonts w:hint="eastAsia" w:ascii="宋体" w:hAnsi="Times New Roman" w:eastAsia="宋体" w:cs="宋体"/>
                <w:color w:val="auto"/>
                <w:sz w:val="21"/>
                <w:szCs w:val="21"/>
                <w:lang w:val="en-US" w:eastAsia="zh-CN"/>
              </w:rPr>
              <w:t>4</w:t>
            </w:r>
          </w:p>
        </w:tc>
        <w:tc>
          <w:tcPr>
            <w:tcW w:w="4710" w:type="dxa"/>
            <w:tcBorders>
              <w:tl2br w:val="nil"/>
              <w:tr2bl w:val="nil"/>
            </w:tcBorders>
            <w:shd w:val="clear" w:color="auto" w:fill="auto"/>
            <w:vAlign w:val="center"/>
          </w:tcPr>
          <w:p w14:paraId="30B42E77">
            <w:pPr>
              <w:adjustRightInd w:val="0"/>
              <w:snapToGrid w:val="0"/>
              <w:spacing w:line="240" w:lineRule="auto"/>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储液槽进料管道无介质标识。</w:t>
            </w:r>
          </w:p>
        </w:tc>
        <w:tc>
          <w:tcPr>
            <w:tcW w:w="3124" w:type="dxa"/>
            <w:tcBorders>
              <w:tl2br w:val="nil"/>
              <w:tr2bl w:val="nil"/>
            </w:tcBorders>
            <w:shd w:val="clear" w:color="auto" w:fill="auto"/>
            <w:vAlign w:val="center"/>
          </w:tcPr>
          <w:p w14:paraId="36AB37DF">
            <w:pPr>
              <w:adjustRightInd w:val="0"/>
              <w:snapToGrid w:val="0"/>
              <w:spacing w:line="240" w:lineRule="auto"/>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已增加介质标识。</w:t>
            </w:r>
          </w:p>
        </w:tc>
        <w:tc>
          <w:tcPr>
            <w:tcW w:w="905" w:type="dxa"/>
            <w:tcBorders>
              <w:tl2br w:val="nil"/>
              <w:tr2bl w:val="nil"/>
            </w:tcBorders>
            <w:shd w:val="clear" w:color="auto" w:fill="auto"/>
            <w:vAlign w:val="center"/>
          </w:tcPr>
          <w:p w14:paraId="29B56145">
            <w:pPr>
              <w:adjustRightInd w:val="0"/>
              <w:snapToGrid w:val="0"/>
              <w:spacing w:line="240" w:lineRule="auto"/>
              <w:ind w:firstLine="0" w:firstLineChars="0"/>
              <w:jc w:val="center"/>
              <w:rPr>
                <w:rFonts w:hint="eastAsia" w:ascii="宋体" w:hAnsi="Times New Roman" w:eastAsia="宋体" w:cs="宋体"/>
                <w:color w:val="auto"/>
                <w:sz w:val="21"/>
                <w:szCs w:val="21"/>
              </w:rPr>
            </w:pPr>
            <w:r>
              <w:rPr>
                <w:rFonts w:hint="eastAsia" w:ascii="宋体" w:hAnsi="Times New Roman" w:eastAsia="宋体" w:cs="宋体"/>
                <w:color w:val="auto"/>
                <w:sz w:val="21"/>
                <w:szCs w:val="21"/>
              </w:rPr>
              <w:t>已整改</w:t>
            </w:r>
          </w:p>
        </w:tc>
      </w:tr>
      <w:tr w14:paraId="00BFE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672" w:type="dxa"/>
            <w:tcBorders>
              <w:tl2br w:val="nil"/>
              <w:tr2bl w:val="nil"/>
            </w:tcBorders>
            <w:shd w:val="clear" w:color="auto" w:fill="auto"/>
            <w:vAlign w:val="center"/>
          </w:tcPr>
          <w:p w14:paraId="76AAA877">
            <w:pPr>
              <w:adjustRightInd w:val="0"/>
              <w:snapToGrid w:val="0"/>
              <w:spacing w:line="240" w:lineRule="auto"/>
              <w:ind w:firstLine="0" w:firstLineChars="0"/>
              <w:jc w:val="center"/>
              <w:rPr>
                <w:rFonts w:hint="default" w:ascii="宋体" w:hAnsi="Times New Roman" w:eastAsia="宋体" w:cs="宋体"/>
                <w:color w:val="auto"/>
                <w:sz w:val="21"/>
                <w:szCs w:val="21"/>
                <w:lang w:val="en-US" w:eastAsia="zh-CN"/>
              </w:rPr>
            </w:pPr>
            <w:r>
              <w:rPr>
                <w:rFonts w:hint="eastAsia" w:ascii="宋体" w:hAnsi="Times New Roman" w:eastAsia="宋体" w:cs="宋体"/>
                <w:color w:val="auto"/>
                <w:sz w:val="21"/>
                <w:szCs w:val="21"/>
                <w:lang w:val="en-US" w:eastAsia="zh-CN"/>
              </w:rPr>
              <w:t>5</w:t>
            </w:r>
          </w:p>
        </w:tc>
        <w:tc>
          <w:tcPr>
            <w:tcW w:w="4710" w:type="dxa"/>
            <w:tcBorders>
              <w:tl2br w:val="nil"/>
              <w:tr2bl w:val="nil"/>
            </w:tcBorders>
            <w:shd w:val="clear" w:color="auto" w:fill="auto"/>
            <w:vAlign w:val="center"/>
          </w:tcPr>
          <w:p w14:paraId="20B613A2">
            <w:pPr>
              <w:adjustRightInd w:val="0"/>
              <w:snapToGrid w:val="0"/>
              <w:spacing w:line="240" w:lineRule="auto"/>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纯碱料仓无设备标识。</w:t>
            </w:r>
          </w:p>
        </w:tc>
        <w:tc>
          <w:tcPr>
            <w:tcW w:w="3124" w:type="dxa"/>
            <w:tcBorders>
              <w:tl2br w:val="nil"/>
              <w:tr2bl w:val="nil"/>
            </w:tcBorders>
            <w:shd w:val="clear" w:color="auto" w:fill="auto"/>
            <w:vAlign w:val="center"/>
          </w:tcPr>
          <w:p w14:paraId="06E1A263">
            <w:pPr>
              <w:adjustRightInd w:val="0"/>
              <w:snapToGrid w:val="0"/>
              <w:spacing w:line="240" w:lineRule="auto"/>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已增加设备标识。</w:t>
            </w:r>
          </w:p>
        </w:tc>
        <w:tc>
          <w:tcPr>
            <w:tcW w:w="905" w:type="dxa"/>
            <w:tcBorders>
              <w:tl2br w:val="nil"/>
              <w:tr2bl w:val="nil"/>
            </w:tcBorders>
            <w:shd w:val="clear" w:color="auto" w:fill="auto"/>
            <w:vAlign w:val="center"/>
          </w:tcPr>
          <w:p w14:paraId="36EFFD43">
            <w:pPr>
              <w:adjustRightInd w:val="0"/>
              <w:snapToGrid w:val="0"/>
              <w:spacing w:line="240" w:lineRule="auto"/>
              <w:ind w:firstLine="0" w:firstLineChars="0"/>
              <w:jc w:val="center"/>
              <w:rPr>
                <w:rFonts w:hint="eastAsia" w:ascii="宋体" w:hAnsi="Times New Roman" w:eastAsia="宋体" w:cs="宋体"/>
                <w:color w:val="auto"/>
                <w:sz w:val="21"/>
                <w:szCs w:val="21"/>
              </w:rPr>
            </w:pPr>
            <w:r>
              <w:rPr>
                <w:rFonts w:hint="eastAsia" w:ascii="宋体" w:hAnsi="Times New Roman" w:eastAsia="宋体" w:cs="宋体"/>
                <w:color w:val="auto"/>
                <w:sz w:val="21"/>
                <w:szCs w:val="21"/>
              </w:rPr>
              <w:t>已整改</w:t>
            </w:r>
          </w:p>
        </w:tc>
      </w:tr>
    </w:tbl>
    <w:p w14:paraId="570D7287">
      <w:pPr>
        <w:rPr>
          <w:color w:val="auto"/>
          <w:kern w:val="0"/>
          <w:sz w:val="28"/>
          <w:szCs w:val="20"/>
          <w:highlight w:val="none"/>
        </w:rPr>
      </w:pPr>
    </w:p>
    <w:p w14:paraId="5AD95A89">
      <w:pPr>
        <w:rPr>
          <w:color w:val="auto"/>
          <w:kern w:val="0"/>
          <w:sz w:val="28"/>
          <w:szCs w:val="20"/>
          <w:highlight w:val="none"/>
        </w:rPr>
      </w:pPr>
      <w:r>
        <w:rPr>
          <w:color w:val="auto"/>
          <w:kern w:val="0"/>
          <w:sz w:val="28"/>
          <w:szCs w:val="20"/>
          <w:highlight w:val="none"/>
        </w:rPr>
        <w:br w:type="page"/>
      </w:r>
    </w:p>
    <w:p w14:paraId="739A8613">
      <w:pPr>
        <w:keepNext/>
        <w:keepLines w:val="0"/>
        <w:pageBreakBefore w:val="0"/>
        <w:widowControl w:val="0"/>
        <w:kinsoku/>
        <w:wordWrap/>
        <w:overflowPunct/>
        <w:topLinePunct w:val="0"/>
        <w:autoSpaceDE/>
        <w:autoSpaceDN/>
        <w:bidi w:val="0"/>
        <w:adjustRightInd/>
        <w:snapToGrid/>
        <w:spacing w:before="120" w:beforeLines="50" w:after="120" w:afterLines="50" w:line="360" w:lineRule="auto"/>
        <w:jc w:val="center"/>
        <w:textAlignment w:val="auto"/>
        <w:outlineLvl w:val="1"/>
        <w:rPr>
          <w:rFonts w:ascii="Times New Roman" w:hAnsi="Times New Roman" w:eastAsia="楷体_GB2312" w:cs="Times New Roman"/>
          <w:b/>
          <w:color w:val="auto"/>
          <w:kern w:val="2"/>
          <w:sz w:val="32"/>
          <w:szCs w:val="32"/>
          <w:lang w:val="en-US" w:eastAsia="zh-CN" w:bidi="ar-SA"/>
        </w:rPr>
      </w:pPr>
      <w:bookmarkStart w:id="23" w:name="_Toc12211"/>
      <w:r>
        <w:rPr>
          <w:rFonts w:hint="eastAsia" w:ascii="Times New Roman" w:hAnsi="Times New Roman" w:eastAsia="楷体_GB2312" w:cs="Times New Roman"/>
          <w:b/>
          <w:color w:val="auto"/>
          <w:kern w:val="2"/>
          <w:sz w:val="32"/>
          <w:szCs w:val="32"/>
          <w:lang w:val="en-US" w:eastAsia="zh-CN" w:bidi="ar-SA"/>
        </w:rPr>
        <w:t>第二节 评价结论</w:t>
      </w:r>
      <w:bookmarkEnd w:id="23"/>
    </w:p>
    <w:p w14:paraId="4C66DA98">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1、该项目所在地的安全条件和与周边的安全防护距离</w:t>
      </w:r>
    </w:p>
    <w:p w14:paraId="54B0932F">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该项目建设地点位于</w:t>
      </w:r>
      <w:r>
        <w:rPr>
          <w:rFonts w:hint="eastAsia" w:ascii="宋体" w:hAnsi="宋体" w:eastAsia="宋体" w:cs="Times New Roman"/>
          <w:color w:val="auto"/>
          <w:sz w:val="28"/>
          <w:szCs w:val="21"/>
          <w:lang w:val="en-US" w:eastAsia="zh-CN"/>
        </w:rPr>
        <w:t>泰安市宁阳县宁阳化工产业园</w:t>
      </w:r>
      <w:r>
        <w:rPr>
          <w:rFonts w:hint="eastAsia" w:ascii="宋体" w:hAnsi="宋体" w:eastAsia="宋体" w:cs="Times New Roman"/>
          <w:color w:val="auto"/>
          <w:sz w:val="28"/>
          <w:szCs w:val="21"/>
          <w:lang w:eastAsia="zh-CN"/>
        </w:rPr>
        <w:t>山东复圣化工有限公司</w:t>
      </w:r>
      <w:r>
        <w:rPr>
          <w:rFonts w:hint="eastAsia" w:ascii="宋体" w:hAnsi="宋体" w:eastAsia="宋体" w:cs="Times New Roman"/>
          <w:color w:val="auto"/>
          <w:sz w:val="28"/>
          <w:szCs w:val="21"/>
        </w:rPr>
        <w:t>现有厂区内，满足当地工业布局和城市规划要求。该项目与周边的居民区、单位、道路等的间距符合《精细化工企业工程设计防火标准》GB51283-2020、《建筑设计防火规范》GB50016-2014（2018年版）、《公路安全保护条例》等国家和行业标准规范的要求。</w:t>
      </w:r>
    </w:p>
    <w:p w14:paraId="57819937">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该项目内存在的危险、有害因素和可能发生的各类事故，对周边单位生产、经营活动或者居民生活的影响，项目周边单位生产、经营活动或者居民生活对项目的影响，当地自然条件对项目的影响均可接受。</w:t>
      </w:r>
    </w:p>
    <w:p w14:paraId="2A478699">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2、该项目安全设施设计的采纳情况和已采用（取）的安全设施水平</w:t>
      </w:r>
    </w:p>
    <w:p w14:paraId="76F8257A">
      <w:pPr>
        <w:adjustRightInd w:val="0"/>
        <w:snapToGrid w:val="0"/>
        <w:spacing w:line="360" w:lineRule="auto"/>
        <w:ind w:firstLine="560" w:firstLineChars="200"/>
        <w:rPr>
          <w:rFonts w:ascii="宋体" w:hAnsi="宋体" w:eastAsia="宋体" w:cs="Times New Roman"/>
          <w:color w:val="auto"/>
          <w:sz w:val="28"/>
          <w:szCs w:val="21"/>
        </w:rPr>
      </w:pPr>
      <w:r>
        <w:rPr>
          <w:rFonts w:hint="eastAsia" w:ascii="宋体" w:hAnsi="宋体" w:eastAsia="宋体" w:cs="Times New Roman"/>
          <w:color w:val="auto"/>
          <w:sz w:val="28"/>
          <w:szCs w:val="21"/>
        </w:rPr>
        <w:t>该项目安全设计专篇所设计的安全设施，在项目建设施工过程中已基本予以采纳，未采取的已进行整改；已采取的安全设施符合国家现行法律、法规、标准、规范的要求。</w:t>
      </w:r>
    </w:p>
    <w:p w14:paraId="7EFBEC6F">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3、该项目试生产（使用）中表现出来的技术、工艺和装置、设备（设施）的安全、可靠性和安全水平</w:t>
      </w:r>
    </w:p>
    <w:p w14:paraId="65599795">
      <w:pPr>
        <w:adjustRightInd w:val="0"/>
        <w:snapToGrid w:val="0"/>
        <w:spacing w:line="360" w:lineRule="auto"/>
        <w:ind w:firstLine="560" w:firstLineChars="200"/>
        <w:jc w:val="left"/>
        <w:rPr>
          <w:rFonts w:ascii="宋体" w:hAnsi="宋体" w:eastAsia="宋体" w:cs="Times New Roman"/>
          <w:color w:val="auto"/>
          <w:sz w:val="28"/>
          <w:szCs w:val="21"/>
        </w:rPr>
      </w:pPr>
      <w:r>
        <w:rPr>
          <w:rFonts w:hint="eastAsia" w:ascii="宋体" w:hAnsi="宋体" w:eastAsia="宋体" w:cs="Times New Roman"/>
          <w:color w:val="auto"/>
          <w:sz w:val="28"/>
          <w:szCs w:val="21"/>
        </w:rPr>
        <w:t>该项目生产装置采用的工艺成熟，设备（设施）的设计、制造、检验是按现行有关标准、规范。工序选取的工艺参数配置合理，在运行中按设计要求配置的安全保护装置动作灵敏，运转正常，有效地保证了正常运行，自试运行以来未发生生产安全事故。</w:t>
      </w:r>
    </w:p>
    <w:p w14:paraId="11821071">
      <w:pPr>
        <w:adjustRightInd w:val="0"/>
        <w:snapToGrid w:val="0"/>
        <w:spacing w:line="360" w:lineRule="auto"/>
        <w:ind w:firstLine="560" w:firstLineChars="200"/>
        <w:jc w:val="left"/>
        <w:rPr>
          <w:rFonts w:ascii="宋体" w:hAnsi="宋体" w:eastAsia="宋体" w:cs="Times New Roman"/>
          <w:color w:val="auto"/>
          <w:sz w:val="28"/>
          <w:szCs w:val="21"/>
        </w:rPr>
      </w:pPr>
      <w:r>
        <w:rPr>
          <w:rFonts w:hint="eastAsia" w:ascii="宋体" w:hAnsi="宋体" w:eastAsia="宋体" w:cs="Times New Roman"/>
          <w:color w:val="auto"/>
          <w:sz w:val="28"/>
          <w:szCs w:val="21"/>
        </w:rPr>
        <w:t>因此，该项目的技术、工艺和装置、设备（设施）安全、可靠，满足项目安全运行的要求。</w:t>
      </w:r>
    </w:p>
    <w:p w14:paraId="0C6662ED">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4、该项目试生产（使用）中发现的设计缺陷和事故隐患的整改情况</w:t>
      </w:r>
    </w:p>
    <w:p w14:paraId="097112BF">
      <w:pPr>
        <w:adjustRightInd w:val="0"/>
        <w:snapToGrid w:val="0"/>
        <w:spacing w:line="360" w:lineRule="auto"/>
        <w:ind w:firstLine="560" w:firstLineChars="200"/>
        <w:jc w:val="left"/>
        <w:rPr>
          <w:rFonts w:ascii="宋体" w:hAnsi="宋体" w:eastAsia="宋体" w:cs="Times New Roman"/>
          <w:color w:val="auto"/>
          <w:sz w:val="28"/>
          <w:szCs w:val="21"/>
        </w:rPr>
      </w:pPr>
      <w:r>
        <w:rPr>
          <w:rFonts w:hint="eastAsia" w:ascii="宋体" w:hAnsi="宋体" w:eastAsia="宋体" w:cs="Times New Roman"/>
          <w:color w:val="auto"/>
          <w:sz w:val="28"/>
          <w:szCs w:val="21"/>
        </w:rPr>
        <w:t>该项目试生产过程未发现明显设计缺陷，评价组提出的事故隐患和企业试生产过程中发现的问题，企业均采取了积极整改，消除了隐患。</w:t>
      </w:r>
    </w:p>
    <w:p w14:paraId="4EF58283">
      <w:pPr>
        <w:adjustRightInd w:val="0"/>
        <w:snapToGrid w:val="0"/>
        <w:spacing w:line="360" w:lineRule="auto"/>
        <w:ind w:firstLine="560" w:firstLineChars="200"/>
        <w:jc w:val="left"/>
        <w:rPr>
          <w:rFonts w:ascii="黑体" w:hAnsi="黑体" w:eastAsia="黑体" w:cs="黑体"/>
          <w:color w:val="auto"/>
          <w:sz w:val="28"/>
          <w:szCs w:val="21"/>
        </w:rPr>
      </w:pPr>
      <w:r>
        <w:rPr>
          <w:rFonts w:hint="eastAsia" w:ascii="黑体" w:hAnsi="黑体" w:eastAsia="黑体" w:cs="黑体"/>
          <w:color w:val="auto"/>
          <w:sz w:val="28"/>
          <w:szCs w:val="21"/>
        </w:rPr>
        <w:t>5、该项目试生产（使用）后具备国家现行有关安全生产法律、法规和部门规章及标准规定和要求的安全生产条件</w:t>
      </w:r>
    </w:p>
    <w:p w14:paraId="47D944FF">
      <w:pPr>
        <w:adjustRightInd w:val="0"/>
        <w:snapToGrid w:val="0"/>
        <w:spacing w:line="360" w:lineRule="auto"/>
        <w:ind w:firstLine="560" w:firstLineChars="200"/>
        <w:jc w:val="left"/>
        <w:rPr>
          <w:rFonts w:ascii="宋体" w:hAnsi="宋体" w:eastAsia="宋体" w:cs="Times New Roman"/>
          <w:color w:val="auto"/>
          <w:sz w:val="28"/>
          <w:szCs w:val="21"/>
        </w:rPr>
      </w:pPr>
      <w:r>
        <w:rPr>
          <w:rFonts w:hint="eastAsia" w:ascii="宋体" w:hAnsi="宋体" w:eastAsia="宋体" w:cs="Times New Roman"/>
          <w:color w:val="auto"/>
          <w:sz w:val="28"/>
          <w:szCs w:val="21"/>
        </w:rPr>
        <w:t>根据该项目安全设施采用情况、试运行情况、隐患整改情况及国家现行的有关安全生产法律、法规和部门规章及标准规定，评价组认为：</w:t>
      </w:r>
    </w:p>
    <w:p w14:paraId="3066C16C">
      <w:pPr>
        <w:adjustRightInd w:val="0"/>
        <w:snapToGrid w:val="0"/>
        <w:spacing w:line="360" w:lineRule="auto"/>
        <w:ind w:firstLine="562" w:firstLineChars="200"/>
        <w:jc w:val="left"/>
        <w:rPr>
          <w:rFonts w:ascii="宋体" w:hAnsi="宋体" w:eastAsia="宋体" w:cs="Times New Roman"/>
          <w:color w:val="auto"/>
          <w:sz w:val="28"/>
          <w:szCs w:val="21"/>
          <w:lang w:val="zh-CN"/>
        </w:rPr>
      </w:pPr>
      <w:r>
        <w:rPr>
          <w:rFonts w:hint="eastAsia" w:ascii="宋体" w:hAnsi="宋体" w:eastAsia="宋体" w:cs="Times New Roman"/>
          <w:b/>
          <w:bCs/>
          <w:color w:val="auto"/>
          <w:sz w:val="28"/>
          <w:szCs w:val="21"/>
          <w:lang w:eastAsia="zh-CN"/>
        </w:rPr>
        <w:t>山东复圣化工有限公司二车间“三化改造”及除尘设施改造提升项目</w:t>
      </w:r>
      <w:r>
        <w:rPr>
          <w:rFonts w:hint="eastAsia" w:ascii="宋体" w:hAnsi="宋体" w:eastAsia="宋体" w:cs="Times New Roman"/>
          <w:b/>
          <w:bCs/>
          <w:color w:val="auto"/>
          <w:sz w:val="28"/>
          <w:szCs w:val="21"/>
        </w:rPr>
        <w:t>在设计、施工和试运行过程中，遵守了国家对该项目实施“三同时”的要求，即安全设施与主体工程同时设计、同时施工、同时投入生产和使用；其现有的与之配套的安全设施符合国家有关安全生产的法律法规和技术标准的要求；该公司对本报告中提出的各项隐患进行了整改；该项目试运行状况和安全管理正常、安全、可靠，目前的安全状况符合安全生产的要求，具备安全生产和安全设施竣工验收的条件。</w:t>
      </w:r>
    </w:p>
    <w:p w14:paraId="0CF66D15">
      <w:pPr>
        <w:tabs>
          <w:tab w:val="left" w:pos="698"/>
        </w:tabs>
        <w:ind w:firstLine="560" w:firstLineChars="200"/>
        <w:jc w:val="left"/>
        <w:rPr>
          <w:color w:val="auto"/>
          <w:kern w:val="0"/>
          <w:sz w:val="28"/>
          <w:szCs w:val="20"/>
          <w:highlight w:val="none"/>
        </w:rPr>
        <w:sectPr>
          <w:pgSz w:w="11906" w:h="16838"/>
          <w:pgMar w:top="1418" w:right="1134" w:bottom="993" w:left="1588" w:header="850" w:footer="256" w:gutter="0"/>
          <w:pgNumType w:fmt="decimal"/>
          <w:cols w:space="720" w:num="1"/>
          <w:docGrid w:type="lines" w:linePitch="312" w:charSpace="0"/>
        </w:sectPr>
      </w:pPr>
    </w:p>
    <w:p w14:paraId="42392D7B">
      <w:pPr>
        <w:rPr>
          <w:rFonts w:hint="default" w:ascii="宋体"/>
          <w:color w:val="auto"/>
          <w:kern w:val="0"/>
          <w:sz w:val="28"/>
          <w:szCs w:val="20"/>
          <w:lang w:val="en-US" w:eastAsia="zh-CN"/>
        </w:rPr>
      </w:pPr>
      <w:r>
        <w:rPr>
          <w:rFonts w:hint="default" w:ascii="宋体"/>
          <w:color w:val="auto"/>
          <w:kern w:val="0"/>
          <w:sz w:val="28"/>
          <w:szCs w:val="20"/>
          <w:lang w:val="en-US" w:eastAsia="zh-CN"/>
        </w:rPr>
        <w:drawing>
          <wp:anchor distT="0" distB="0" distL="114300" distR="114300" simplePos="0" relativeHeight="251660288" behindDoc="0" locked="0" layoutInCell="1" allowOverlap="1">
            <wp:simplePos x="0" y="0"/>
            <wp:positionH relativeFrom="column">
              <wp:posOffset>133350</wp:posOffset>
            </wp:positionH>
            <wp:positionV relativeFrom="paragraph">
              <wp:posOffset>179070</wp:posOffset>
            </wp:positionV>
            <wp:extent cx="4940935" cy="3705860"/>
            <wp:effectExtent l="0" t="0" r="12065" b="8890"/>
            <wp:wrapTopAndBottom/>
            <wp:docPr id="10" name="图片 10" descr="IMG_20260509_11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0260509_110758"/>
                    <pic:cNvPicPr>
                      <a:picLocks noChangeAspect="1"/>
                    </pic:cNvPicPr>
                  </pic:nvPicPr>
                  <pic:blipFill>
                    <a:blip r:embed="rId4"/>
                    <a:stretch>
                      <a:fillRect/>
                    </a:stretch>
                  </pic:blipFill>
                  <pic:spPr>
                    <a:xfrm>
                      <a:off x="0" y="0"/>
                      <a:ext cx="4940935" cy="3705860"/>
                    </a:xfrm>
                    <a:prstGeom prst="rect">
                      <a:avLst/>
                    </a:prstGeom>
                  </pic:spPr>
                </pic:pic>
              </a:graphicData>
            </a:graphic>
          </wp:anchor>
        </w:drawing>
      </w:r>
    </w:p>
    <w:p w14:paraId="2061E8C2">
      <w:pPr>
        <w:rPr>
          <w:rFonts w:hint="default" w:ascii="宋体"/>
          <w:color w:val="auto"/>
          <w:kern w:val="0"/>
          <w:sz w:val="28"/>
          <w:szCs w:val="20"/>
          <w:lang w:val="en-US" w:eastAsia="zh-CN"/>
        </w:rPr>
      </w:pPr>
    </w:p>
    <w:p w14:paraId="3C2CAAE2">
      <w:pPr>
        <w:rPr>
          <w:rFonts w:hint="default" w:ascii="宋体"/>
          <w:color w:val="auto"/>
          <w:kern w:val="0"/>
          <w:sz w:val="28"/>
          <w:szCs w:val="20"/>
          <w:lang w:val="en-US" w:eastAsia="zh-CN"/>
        </w:rPr>
      </w:pPr>
      <w:r>
        <w:rPr>
          <w:rFonts w:hint="default" w:ascii="宋体"/>
          <w:color w:val="auto"/>
          <w:kern w:val="0"/>
          <w:sz w:val="28"/>
          <w:szCs w:val="20"/>
          <w:lang w:val="en-US" w:eastAsia="zh-CN"/>
        </w:rPr>
        <w:drawing>
          <wp:anchor distT="0" distB="0" distL="114300" distR="114300" simplePos="0" relativeHeight="251659264" behindDoc="0" locked="0" layoutInCell="1" allowOverlap="1">
            <wp:simplePos x="0" y="0"/>
            <wp:positionH relativeFrom="column">
              <wp:posOffset>419100</wp:posOffset>
            </wp:positionH>
            <wp:positionV relativeFrom="paragraph">
              <wp:posOffset>11430</wp:posOffset>
            </wp:positionV>
            <wp:extent cx="5093970" cy="3820160"/>
            <wp:effectExtent l="0" t="0" r="11430" b="8890"/>
            <wp:wrapTopAndBottom/>
            <wp:docPr id="9" name="图片 9" descr="IMG_20260509_11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0260509_110908"/>
                    <pic:cNvPicPr>
                      <a:picLocks noChangeAspect="1"/>
                    </pic:cNvPicPr>
                  </pic:nvPicPr>
                  <pic:blipFill>
                    <a:blip r:embed="rId5"/>
                    <a:stretch>
                      <a:fillRect/>
                    </a:stretch>
                  </pic:blipFill>
                  <pic:spPr>
                    <a:xfrm>
                      <a:off x="0" y="0"/>
                      <a:ext cx="5093970" cy="3820160"/>
                    </a:xfrm>
                    <a:prstGeom prst="rect">
                      <a:avLst/>
                    </a:prstGeom>
                  </pic:spPr>
                </pic:pic>
              </a:graphicData>
            </a:graphic>
          </wp:anchor>
        </w:drawing>
      </w:r>
    </w:p>
    <w:p w14:paraId="5C1ADEF8">
      <w:pPr>
        <w:rPr>
          <w:rFonts w:hint="default" w:ascii="宋体"/>
          <w:color w:val="auto"/>
          <w:kern w:val="0"/>
          <w:sz w:val="28"/>
          <w:szCs w:val="20"/>
          <w:lang w:val="en-US" w:eastAsia="zh-CN"/>
        </w:rPr>
      </w:pPr>
      <w:r>
        <w:rPr>
          <w:rFonts w:hint="default" w:ascii="宋体"/>
          <w:color w:val="auto"/>
          <w:kern w:val="0"/>
          <w:sz w:val="28"/>
          <w:szCs w:val="20"/>
          <w:lang w:val="en-US" w:eastAsia="zh-CN"/>
        </w:rPr>
        <w:drawing>
          <wp:anchor distT="0" distB="0" distL="114300" distR="114300" simplePos="0" relativeHeight="251667456" behindDoc="0" locked="0" layoutInCell="1" allowOverlap="1">
            <wp:simplePos x="0" y="0"/>
            <wp:positionH relativeFrom="column">
              <wp:posOffset>476250</wp:posOffset>
            </wp:positionH>
            <wp:positionV relativeFrom="paragraph">
              <wp:posOffset>4715510</wp:posOffset>
            </wp:positionV>
            <wp:extent cx="5045710" cy="3783965"/>
            <wp:effectExtent l="0" t="0" r="2540" b="6985"/>
            <wp:wrapTopAndBottom/>
            <wp:docPr id="18" name="图片 18" descr="IMG_20260509_11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0260509_111523"/>
                    <pic:cNvPicPr>
                      <a:picLocks noChangeAspect="1"/>
                    </pic:cNvPicPr>
                  </pic:nvPicPr>
                  <pic:blipFill>
                    <a:blip r:embed="rId6"/>
                    <a:stretch>
                      <a:fillRect/>
                    </a:stretch>
                  </pic:blipFill>
                  <pic:spPr>
                    <a:xfrm>
                      <a:off x="0" y="0"/>
                      <a:ext cx="5045710" cy="3783965"/>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61312" behindDoc="0" locked="0" layoutInCell="1" allowOverlap="1">
            <wp:simplePos x="0" y="0"/>
            <wp:positionH relativeFrom="column">
              <wp:posOffset>0</wp:posOffset>
            </wp:positionH>
            <wp:positionV relativeFrom="paragraph">
              <wp:posOffset>26670</wp:posOffset>
            </wp:positionV>
            <wp:extent cx="5721985" cy="4291330"/>
            <wp:effectExtent l="0" t="0" r="12065" b="13970"/>
            <wp:wrapTopAndBottom/>
            <wp:docPr id="11" name="图片 11" descr="现场考察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现场考察 (2)"/>
                    <pic:cNvPicPr>
                      <a:picLocks noChangeAspect="1"/>
                    </pic:cNvPicPr>
                  </pic:nvPicPr>
                  <pic:blipFill>
                    <a:blip r:embed="rId7"/>
                    <a:stretch>
                      <a:fillRect/>
                    </a:stretch>
                  </pic:blipFill>
                  <pic:spPr>
                    <a:xfrm>
                      <a:off x="0" y="0"/>
                      <a:ext cx="5721985" cy="4291330"/>
                    </a:xfrm>
                    <a:prstGeom prst="rect">
                      <a:avLst/>
                    </a:prstGeom>
                  </pic:spPr>
                </pic:pic>
              </a:graphicData>
            </a:graphic>
          </wp:anchor>
        </w:drawing>
      </w:r>
    </w:p>
    <w:p w14:paraId="27C80339">
      <w:pPr>
        <w:rPr>
          <w:rFonts w:hint="default" w:ascii="宋体"/>
          <w:color w:val="auto"/>
          <w:kern w:val="0"/>
          <w:sz w:val="28"/>
          <w:szCs w:val="20"/>
          <w:lang w:val="en-US" w:eastAsia="zh-CN"/>
        </w:rPr>
      </w:pPr>
      <w:bookmarkStart w:id="24" w:name="_GoBack"/>
      <w:r>
        <w:rPr>
          <w:rFonts w:hint="default" w:ascii="宋体"/>
          <w:color w:val="auto"/>
          <w:kern w:val="0"/>
          <w:sz w:val="28"/>
          <w:szCs w:val="20"/>
          <w:lang w:val="en-US" w:eastAsia="zh-CN"/>
        </w:rPr>
        <w:drawing>
          <wp:anchor distT="0" distB="0" distL="114300" distR="114300" simplePos="0" relativeHeight="251663360" behindDoc="0" locked="0" layoutInCell="1" allowOverlap="1">
            <wp:simplePos x="0" y="0"/>
            <wp:positionH relativeFrom="column">
              <wp:posOffset>2981325</wp:posOffset>
            </wp:positionH>
            <wp:positionV relativeFrom="paragraph">
              <wp:posOffset>71755</wp:posOffset>
            </wp:positionV>
            <wp:extent cx="2680335" cy="3876675"/>
            <wp:effectExtent l="0" t="0" r="5715" b="9525"/>
            <wp:wrapTopAndBottom/>
            <wp:docPr id="13" name="图片 13" descr="67da50d0f19c0b33bceb95d7036310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7da50d0f19c0b33bceb95d7036310c8"/>
                    <pic:cNvPicPr>
                      <a:picLocks noChangeAspect="1"/>
                    </pic:cNvPicPr>
                  </pic:nvPicPr>
                  <pic:blipFill>
                    <a:blip r:embed="rId8"/>
                    <a:stretch>
                      <a:fillRect/>
                    </a:stretch>
                  </pic:blipFill>
                  <pic:spPr>
                    <a:xfrm>
                      <a:off x="0" y="0"/>
                      <a:ext cx="2680335" cy="3876675"/>
                    </a:xfrm>
                    <a:prstGeom prst="rect">
                      <a:avLst/>
                    </a:prstGeom>
                  </pic:spPr>
                </pic:pic>
              </a:graphicData>
            </a:graphic>
          </wp:anchor>
        </w:drawing>
      </w:r>
      <w:bookmarkEnd w:id="24"/>
      <w:r>
        <w:rPr>
          <w:rFonts w:hint="default" w:ascii="宋体"/>
          <w:color w:val="auto"/>
          <w:kern w:val="0"/>
          <w:sz w:val="28"/>
          <w:szCs w:val="20"/>
          <w:lang w:val="en-US" w:eastAsia="zh-CN"/>
        </w:rPr>
        <w:drawing>
          <wp:anchor distT="0" distB="0" distL="114300" distR="114300" simplePos="0" relativeHeight="251665408" behindDoc="1" locked="0" layoutInCell="1" allowOverlap="1">
            <wp:simplePos x="0" y="0"/>
            <wp:positionH relativeFrom="column">
              <wp:posOffset>2512695</wp:posOffset>
            </wp:positionH>
            <wp:positionV relativeFrom="paragraph">
              <wp:posOffset>989965</wp:posOffset>
            </wp:positionV>
            <wp:extent cx="3937635" cy="2956560"/>
            <wp:effectExtent l="0" t="0" r="15240" b="5715"/>
            <wp:wrapNone/>
            <wp:docPr id="15" name="图片 15" descr="2a5567af50faf42dd143c8f254fd7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a5567af50faf42dd143c8f254fd76b2"/>
                    <pic:cNvPicPr>
                      <a:picLocks noChangeAspect="1"/>
                    </pic:cNvPicPr>
                  </pic:nvPicPr>
                  <pic:blipFill>
                    <a:blip r:embed="rId9"/>
                    <a:stretch>
                      <a:fillRect/>
                    </a:stretch>
                  </pic:blipFill>
                  <pic:spPr>
                    <a:xfrm rot="16200000">
                      <a:off x="0" y="0"/>
                      <a:ext cx="3937635" cy="2956560"/>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64384" behindDoc="0" locked="0" layoutInCell="1" allowOverlap="1">
            <wp:simplePos x="0" y="0"/>
            <wp:positionH relativeFrom="column">
              <wp:posOffset>-736600</wp:posOffset>
            </wp:positionH>
            <wp:positionV relativeFrom="paragraph">
              <wp:posOffset>4639310</wp:posOffset>
            </wp:positionV>
            <wp:extent cx="4149090" cy="2840355"/>
            <wp:effectExtent l="0" t="0" r="17145" b="3810"/>
            <wp:wrapTopAndBottom/>
            <wp:docPr id="14" name="图片 14" descr="d9faf93b8ff6ecd290eebaa20a63a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9faf93b8ff6ecd290eebaa20a63a803"/>
                    <pic:cNvPicPr>
                      <a:picLocks noChangeAspect="1"/>
                    </pic:cNvPicPr>
                  </pic:nvPicPr>
                  <pic:blipFill>
                    <a:blip r:embed="rId10"/>
                    <a:stretch>
                      <a:fillRect/>
                    </a:stretch>
                  </pic:blipFill>
                  <pic:spPr>
                    <a:xfrm rot="16200000">
                      <a:off x="0" y="0"/>
                      <a:ext cx="4149090" cy="2840355"/>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62336" behindDoc="0" locked="0" layoutInCell="1" allowOverlap="1">
            <wp:simplePos x="0" y="0"/>
            <wp:positionH relativeFrom="column">
              <wp:posOffset>19050</wp:posOffset>
            </wp:positionH>
            <wp:positionV relativeFrom="paragraph">
              <wp:posOffset>55245</wp:posOffset>
            </wp:positionV>
            <wp:extent cx="2684780" cy="3726180"/>
            <wp:effectExtent l="0" t="0" r="1270" b="7620"/>
            <wp:wrapTopAndBottom/>
            <wp:docPr id="12" name="图片 12" descr="ec9fc21b97178d29211ad8ef07139c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c9fc21b97178d29211ad8ef07139c3f"/>
                    <pic:cNvPicPr>
                      <a:picLocks noChangeAspect="1"/>
                    </pic:cNvPicPr>
                  </pic:nvPicPr>
                  <pic:blipFill>
                    <a:blip r:embed="rId11"/>
                    <a:stretch>
                      <a:fillRect/>
                    </a:stretch>
                  </pic:blipFill>
                  <pic:spPr>
                    <a:xfrm>
                      <a:off x="0" y="0"/>
                      <a:ext cx="2684780" cy="3726180"/>
                    </a:xfrm>
                    <a:prstGeom prst="rect">
                      <a:avLst/>
                    </a:prstGeom>
                  </pic:spPr>
                </pic:pic>
              </a:graphicData>
            </a:graphic>
          </wp:anchor>
        </w:drawing>
      </w:r>
    </w:p>
    <w:p w14:paraId="3F69AF73">
      <w:pPr>
        <w:rPr>
          <w:rFonts w:hint="default" w:ascii="宋体"/>
          <w:color w:val="auto"/>
          <w:kern w:val="0"/>
          <w:sz w:val="28"/>
          <w:szCs w:val="20"/>
          <w:lang w:val="en-US" w:eastAsia="zh-CN"/>
        </w:rPr>
      </w:pPr>
      <w:r>
        <w:rPr>
          <w:rFonts w:hint="default" w:ascii="宋体"/>
          <w:color w:val="auto"/>
          <w:kern w:val="0"/>
          <w:sz w:val="28"/>
          <w:szCs w:val="20"/>
          <w:lang w:val="en-US" w:eastAsia="zh-CN"/>
        </w:rPr>
        <w:drawing>
          <wp:anchor distT="0" distB="0" distL="114300" distR="114300" simplePos="0" relativeHeight="251666432" behindDoc="0" locked="0" layoutInCell="1" allowOverlap="1">
            <wp:simplePos x="0" y="0"/>
            <wp:positionH relativeFrom="column">
              <wp:posOffset>2080895</wp:posOffset>
            </wp:positionH>
            <wp:positionV relativeFrom="paragraph">
              <wp:posOffset>964565</wp:posOffset>
            </wp:positionV>
            <wp:extent cx="3999865" cy="2651125"/>
            <wp:effectExtent l="0" t="0" r="15875" b="635"/>
            <wp:wrapTopAndBottom/>
            <wp:docPr id="17" name="图片 17" descr="57344f0d099e741d4e5692e349437e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7344f0d099e741d4e5692e349437efc"/>
                    <pic:cNvPicPr>
                      <a:picLocks noChangeAspect="1"/>
                    </pic:cNvPicPr>
                  </pic:nvPicPr>
                  <pic:blipFill>
                    <a:blip r:embed="rId12"/>
                    <a:stretch>
                      <a:fillRect/>
                    </a:stretch>
                  </pic:blipFill>
                  <pic:spPr>
                    <a:xfrm rot="5400000">
                      <a:off x="0" y="0"/>
                      <a:ext cx="3999865" cy="2651125"/>
                    </a:xfrm>
                    <a:prstGeom prst="rect">
                      <a:avLst/>
                    </a:prstGeom>
                  </pic:spPr>
                </pic:pic>
              </a:graphicData>
            </a:graphic>
          </wp:anchor>
        </w:drawing>
      </w:r>
      <w:r>
        <w:rPr>
          <w:rFonts w:hint="default" w:ascii="宋体"/>
          <w:color w:val="auto"/>
          <w:kern w:val="0"/>
          <w:sz w:val="28"/>
          <w:szCs w:val="20"/>
          <w:lang w:val="en-US" w:eastAsia="zh-CN"/>
        </w:rPr>
        <w:drawing>
          <wp:anchor distT="0" distB="0" distL="114300" distR="114300" simplePos="0" relativeHeight="251665408" behindDoc="0" locked="0" layoutInCell="1" allowOverlap="1">
            <wp:simplePos x="0" y="0"/>
            <wp:positionH relativeFrom="column">
              <wp:posOffset>-696595</wp:posOffset>
            </wp:positionH>
            <wp:positionV relativeFrom="paragraph">
              <wp:posOffset>843915</wp:posOffset>
            </wp:positionV>
            <wp:extent cx="3733800" cy="2496820"/>
            <wp:effectExtent l="0" t="0" r="17780" b="0"/>
            <wp:wrapTopAndBottom/>
            <wp:docPr id="16" name="图片 16" descr="4922f20a8a295126c9e18d484a2f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4922f20a8a295126c9e18d484a2f3817"/>
                    <pic:cNvPicPr>
                      <a:picLocks noChangeAspect="1"/>
                    </pic:cNvPicPr>
                  </pic:nvPicPr>
                  <pic:blipFill>
                    <a:blip r:embed="rId13"/>
                    <a:stretch>
                      <a:fillRect/>
                    </a:stretch>
                  </pic:blipFill>
                  <pic:spPr>
                    <a:xfrm rot="16200000">
                      <a:off x="0" y="0"/>
                      <a:ext cx="3733800" cy="2496820"/>
                    </a:xfrm>
                    <a:prstGeom prst="rect">
                      <a:avLst/>
                    </a:prstGeom>
                  </pic:spPr>
                </pic:pic>
              </a:graphicData>
            </a:graphic>
          </wp:anchor>
        </w:drawing>
      </w:r>
    </w:p>
    <w:p w14:paraId="2D5F3008">
      <w:pPr>
        <w:rPr>
          <w:rFonts w:hint="default" w:ascii="宋体"/>
          <w:color w:val="auto"/>
          <w:kern w:val="0"/>
          <w:sz w:val="28"/>
          <w:szCs w:val="20"/>
          <w:lang w:val="en-US" w:eastAsia="zh-CN"/>
        </w:rPr>
      </w:pPr>
    </w:p>
    <w:p w14:paraId="6246CA08">
      <w:pPr>
        <w:rPr>
          <w:rFonts w:hint="default" w:ascii="宋体"/>
          <w:color w:val="auto"/>
          <w:kern w:val="0"/>
          <w:sz w:val="28"/>
          <w:szCs w:val="20"/>
          <w:lang w:val="en-US" w:eastAsia="zh-CN"/>
        </w:rPr>
      </w:pPr>
    </w:p>
    <w:p w14:paraId="520CE15C">
      <w:pPr>
        <w:rPr>
          <w:rFonts w:hint="default" w:ascii="宋体"/>
          <w:color w:val="auto"/>
          <w:kern w:val="0"/>
          <w:sz w:val="28"/>
          <w:szCs w:val="20"/>
          <w:lang w:val="en-US" w:eastAsia="zh-CN"/>
        </w:rPr>
      </w:pPr>
    </w:p>
    <w:p w14:paraId="0C268A6F">
      <w:pPr>
        <w:rPr>
          <w:rFonts w:hint="default" w:ascii="宋体"/>
          <w:color w:val="auto"/>
          <w:kern w:val="0"/>
          <w:sz w:val="28"/>
          <w:szCs w:val="20"/>
          <w:lang w:val="en-US" w:eastAsia="zh-CN"/>
        </w:rPr>
      </w:pPr>
    </w:p>
    <w:p w14:paraId="408BBF2A">
      <w:pPr>
        <w:rPr>
          <w:rFonts w:hint="default" w:ascii="宋体"/>
          <w:color w:val="auto"/>
          <w:kern w:val="0"/>
          <w:sz w:val="28"/>
          <w:szCs w:val="20"/>
          <w:lang w:val="en-US" w:eastAsia="zh-CN"/>
        </w:rPr>
      </w:pPr>
    </w:p>
    <w:p w14:paraId="6354E98E">
      <w:pPr>
        <w:rPr>
          <w:rFonts w:hint="default" w:ascii="宋体"/>
          <w:color w:val="auto"/>
          <w:kern w:val="0"/>
          <w:sz w:val="28"/>
          <w:szCs w:val="20"/>
          <w:lang w:val="en-US" w:eastAsia="zh-CN"/>
        </w:rPr>
      </w:pPr>
    </w:p>
    <w:p w14:paraId="6B9C8411">
      <w:pPr>
        <w:rPr>
          <w:rFonts w:hint="default" w:ascii="宋体"/>
          <w:color w:val="auto"/>
          <w:kern w:val="0"/>
          <w:sz w:val="28"/>
          <w:szCs w:val="20"/>
          <w:lang w:val="en-US" w:eastAsia="zh-CN"/>
        </w:rPr>
      </w:pPr>
    </w:p>
    <w:p w14:paraId="26B48DBF">
      <w:pPr>
        <w:rPr>
          <w:rFonts w:hint="default" w:ascii="宋体"/>
          <w:color w:val="auto"/>
          <w:kern w:val="0"/>
          <w:sz w:val="28"/>
          <w:szCs w:val="20"/>
          <w:lang w:val="en-US" w:eastAsia="zh-CN"/>
        </w:rPr>
      </w:pPr>
    </w:p>
    <w:p w14:paraId="1FFD3C74">
      <w:pPr>
        <w:rPr>
          <w:rFonts w:hint="default" w:ascii="宋体"/>
          <w:color w:val="auto"/>
          <w:kern w:val="0"/>
          <w:sz w:val="28"/>
          <w:szCs w:val="20"/>
          <w:lang w:val="en-US" w:eastAsia="zh-CN"/>
        </w:rPr>
      </w:pPr>
    </w:p>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ZWMwZmRjMzZlYzM2NWRiYjJmYjFkYTJjZWJiMTcifQ=="/>
  </w:docVars>
  <w:rsids>
    <w:rsidRoot w:val="35CC29B8"/>
    <w:rsid w:val="03CC63D7"/>
    <w:rsid w:val="04F76473"/>
    <w:rsid w:val="07A11E1A"/>
    <w:rsid w:val="09D5345C"/>
    <w:rsid w:val="0A1C5EDC"/>
    <w:rsid w:val="0A27015B"/>
    <w:rsid w:val="0A5D5908"/>
    <w:rsid w:val="0BD51C61"/>
    <w:rsid w:val="0EDC1223"/>
    <w:rsid w:val="12386C7D"/>
    <w:rsid w:val="13D12EE6"/>
    <w:rsid w:val="141A7924"/>
    <w:rsid w:val="153C4810"/>
    <w:rsid w:val="160D5A33"/>
    <w:rsid w:val="16BC1C2B"/>
    <w:rsid w:val="1C4A2E55"/>
    <w:rsid w:val="1DE92E23"/>
    <w:rsid w:val="1E1E483E"/>
    <w:rsid w:val="1F5B398D"/>
    <w:rsid w:val="1FF73CD4"/>
    <w:rsid w:val="22CB7136"/>
    <w:rsid w:val="284F788D"/>
    <w:rsid w:val="2A9D36CA"/>
    <w:rsid w:val="2CBC252D"/>
    <w:rsid w:val="2E5E68CC"/>
    <w:rsid w:val="2EC41433"/>
    <w:rsid w:val="2F917EEC"/>
    <w:rsid w:val="31297B3A"/>
    <w:rsid w:val="355F439E"/>
    <w:rsid w:val="35CC29B8"/>
    <w:rsid w:val="361E3E5D"/>
    <w:rsid w:val="37A6654A"/>
    <w:rsid w:val="386A7D3B"/>
    <w:rsid w:val="38B36882"/>
    <w:rsid w:val="3BB85D78"/>
    <w:rsid w:val="3C176B62"/>
    <w:rsid w:val="40741354"/>
    <w:rsid w:val="420C1409"/>
    <w:rsid w:val="43B810C2"/>
    <w:rsid w:val="43CB4C37"/>
    <w:rsid w:val="4706325F"/>
    <w:rsid w:val="47290367"/>
    <w:rsid w:val="48FE4AE5"/>
    <w:rsid w:val="4ECC7680"/>
    <w:rsid w:val="4F5D6EDB"/>
    <w:rsid w:val="537F016A"/>
    <w:rsid w:val="540F3603"/>
    <w:rsid w:val="563D798B"/>
    <w:rsid w:val="567C6788"/>
    <w:rsid w:val="579A241E"/>
    <w:rsid w:val="58840D76"/>
    <w:rsid w:val="5C8B1D2D"/>
    <w:rsid w:val="5D511379"/>
    <w:rsid w:val="60FB542C"/>
    <w:rsid w:val="636808F8"/>
    <w:rsid w:val="64FD4259"/>
    <w:rsid w:val="69194288"/>
    <w:rsid w:val="6A640607"/>
    <w:rsid w:val="6AD40467"/>
    <w:rsid w:val="6B3179BA"/>
    <w:rsid w:val="6BF95CAB"/>
    <w:rsid w:val="6C4D48B3"/>
    <w:rsid w:val="6D0669CA"/>
    <w:rsid w:val="6F4A660F"/>
    <w:rsid w:val="6FDF53A7"/>
    <w:rsid w:val="717A11AE"/>
    <w:rsid w:val="72FD2CFB"/>
    <w:rsid w:val="74AE7C8C"/>
    <w:rsid w:val="76511CAD"/>
    <w:rsid w:val="769C7074"/>
    <w:rsid w:val="7772596D"/>
    <w:rsid w:val="788E5851"/>
    <w:rsid w:val="7AB02F22"/>
    <w:rsid w:val="7B7179AA"/>
    <w:rsid w:val="7C9C2DAE"/>
    <w:rsid w:val="7DCC38D1"/>
    <w:rsid w:val="7DD1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line="560" w:lineRule="exact"/>
      <w:ind w:firstLine="200"/>
      <w:jc w:val="center"/>
      <w:outlineLvl w:val="1"/>
    </w:pPr>
    <w:rPr>
      <w:rFonts w:eastAsia="楷体_GB2312"/>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pPr>
  </w:style>
  <w:style w:type="paragraph" w:styleId="4">
    <w:name w:val="annotation text"/>
    <w:basedOn w:val="1"/>
    <w:qFormat/>
    <w:uiPriority w:val="99"/>
    <w:pPr>
      <w:ind w:firstLine="200" w:firstLineChars="200"/>
      <w:jc w:val="left"/>
    </w:pPr>
    <w:rPr>
      <w:sz w:val="28"/>
      <w:szCs w:val="20"/>
      <w:u w:color="000000"/>
    </w:rPr>
  </w:style>
  <w:style w:type="paragraph" w:styleId="5">
    <w:name w:val="Body Text"/>
    <w:basedOn w:val="1"/>
    <w:qFormat/>
    <w:uiPriority w:val="99"/>
    <w:pPr>
      <w:widowControl/>
      <w:spacing w:line="520" w:lineRule="exact"/>
      <w:ind w:firstLine="200" w:firstLineChars="200"/>
      <w:textAlignment w:val="baseline"/>
    </w:pPr>
    <w:rPr>
      <w:rFonts w:ascii="宋体" w:hAnsi="宋体"/>
      <w:color w:val="000000"/>
      <w:spacing w:val="10"/>
      <w:kern w:val="0"/>
      <w:sz w:val="24"/>
      <w:szCs w:val="24"/>
      <w:u w:color="000000"/>
    </w:rPr>
  </w:style>
  <w:style w:type="paragraph" w:styleId="6">
    <w:name w:val="Plain Text"/>
    <w:basedOn w:val="1"/>
    <w:unhideWhenUsed/>
    <w:qFormat/>
    <w:uiPriority w:val="99"/>
    <w:rPr>
      <w:rFonts w:ascii="宋体" w:hAnsi="Courier New"/>
      <w:kern w:val="0"/>
      <w:sz w:val="20"/>
      <w:szCs w:val="20"/>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5"/>
    <w:next w:val="1"/>
    <w:qFormat/>
    <w:uiPriority w:val="0"/>
    <w:pPr>
      <w:ind w:firstLine="420" w:firstLineChars="100"/>
    </w:pPr>
    <w:rPr>
      <w:b/>
      <w:u w:val="single"/>
    </w:rPr>
  </w:style>
  <w:style w:type="character" w:styleId="11">
    <w:name w:val="annotation reference"/>
    <w:qFormat/>
    <w:uiPriority w:val="99"/>
    <w:rPr>
      <w:sz w:val="21"/>
      <w:szCs w:val="21"/>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
    <w:name w:val="111"/>
    <w:basedOn w:val="14"/>
    <w:qFormat/>
    <w:uiPriority w:val="0"/>
    <w:pPr>
      <w:widowControl/>
      <w:spacing w:beforeAutospacing="0" w:afterAutospacing="0"/>
      <w:jc w:val="left"/>
    </w:pPr>
    <w:rPr>
      <w:rFonts w:ascii="宋体" w:hAnsi="宋体" w:eastAsia="宋体" w:cs="宋体"/>
      <w:kern w:val="0"/>
      <w:sz w:val="24"/>
      <w:szCs w:val="24"/>
    </w:rPr>
  </w:style>
  <w:style w:type="paragraph" w:customStyle="1" w:styleId="14">
    <w:name w:val="题目"/>
    <w:basedOn w:val="1"/>
    <w:qFormat/>
    <w:uiPriority w:val="0"/>
    <w:pPr>
      <w:jc w:val="center"/>
      <w:outlineLvl w:val="0"/>
    </w:pPr>
    <w:rPr>
      <w:rFonts w:ascii="黑体" w:hAnsi="黑体" w:eastAsia="黑体"/>
      <w:sz w:val="32"/>
      <w:szCs w:val="32"/>
    </w:rPr>
  </w:style>
  <w:style w:type="paragraph" w:customStyle="1" w:styleId="15">
    <w:name w:val="Table Text"/>
    <w:basedOn w:val="1"/>
    <w:semiHidden/>
    <w:qFormat/>
    <w:uiPriority w:val="0"/>
    <w:rPr>
      <w:rFonts w:ascii="宋体" w:hAnsi="宋体" w:eastAsia="宋体" w:cs="宋体"/>
      <w:sz w:val="20"/>
      <w:szCs w:val="20"/>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6评价正文"/>
    <w:qFormat/>
    <w:uiPriority w:val="0"/>
    <w:pPr>
      <w:spacing w:line="520" w:lineRule="exact"/>
      <w:ind w:firstLine="200" w:firstLineChars="200"/>
      <w:jc w:val="both"/>
    </w:pPr>
    <w:rPr>
      <w:rFonts w:ascii="Times New Roman" w:hAnsi="Times New Roman" w:eastAsia="宋体" w:cs="Times New Roman"/>
      <w:sz w:val="28"/>
      <w:lang w:val="en-US" w:eastAsia="zh-CN" w:bidi="ar-SA"/>
    </w:rPr>
  </w:style>
  <w:style w:type="paragraph" w:customStyle="1" w:styleId="18">
    <w:name w:val="1评价标题"/>
    <w:qFormat/>
    <w:uiPriority w:val="0"/>
    <w:pPr>
      <w:pageBreakBefore/>
      <w:spacing w:before="100" w:beforeLines="100" w:after="100" w:afterLines="100" w:line="520" w:lineRule="exact"/>
      <w:jc w:val="center"/>
      <w:outlineLvl w:val="0"/>
    </w:pPr>
    <w:rPr>
      <w:rFonts w:ascii="Times New Roman" w:hAnsi="Times New Roman" w:eastAsia="黑体" w:cs="Times New Roman"/>
      <w:kern w:val="2"/>
      <w:sz w:val="32"/>
      <w:szCs w:val="21"/>
      <w:lang w:val="en-US" w:eastAsia="zh-CN" w:bidi="ar-SA"/>
    </w:rPr>
  </w:style>
  <w:style w:type="paragraph" w:customStyle="1" w:styleId="19">
    <w:name w:val="5标题评价表格"/>
    <w:qFormat/>
    <w:uiPriority w:val="0"/>
    <w:pPr>
      <w:spacing w:line="520" w:lineRule="exact"/>
      <w:jc w:val="center"/>
      <w:outlineLvl w:val="4"/>
    </w:pPr>
    <w:rPr>
      <w:rFonts w:ascii="Times New Roman" w:hAnsi="Times New Roman" w:eastAsia="黑体" w:cs="Times New Roman"/>
      <w:kern w:val="2"/>
      <w:sz w:val="24"/>
      <w:szCs w:val="28"/>
      <w:u w:color="000000"/>
      <w:lang w:val="en-US" w:eastAsia="zh-CN" w:bidi="ar-SA"/>
    </w:rPr>
  </w:style>
  <w:style w:type="paragraph" w:customStyle="1" w:styleId="20">
    <w:name w:val="5内容评价表格"/>
    <w:qFormat/>
    <w:uiPriority w:val="0"/>
    <w:pPr>
      <w:spacing w:line="300" w:lineRule="exact"/>
      <w:jc w:val="center"/>
    </w:pPr>
    <w:rPr>
      <w:rFonts w:ascii="Times New Roman" w:hAnsi="Times New Roman" w:eastAsia="宋体" w:cs="Times New Roman"/>
      <w:kern w:val="2"/>
      <w:sz w:val="21"/>
      <w:szCs w:val="21"/>
      <w:u w:color="000000"/>
      <w:lang w:val="en-US" w:eastAsia="zh-CN" w:bidi="ar-SA"/>
    </w:rPr>
  </w:style>
  <w:style w:type="paragraph" w:customStyle="1" w:styleId="21">
    <w:name w:val="7评价备注"/>
    <w:qFormat/>
    <w:uiPriority w:val="0"/>
    <w:pPr>
      <w:spacing w:line="400" w:lineRule="exact"/>
      <w:ind w:firstLine="200" w:firstLineChars="200"/>
    </w:pPr>
    <w:rPr>
      <w:rFonts w:ascii="Times New Roman" w:hAnsi="Times New Roman" w:eastAsia="黑体" w:cs="Times New Roman"/>
      <w:spacing w:val="4"/>
      <w:kern w:val="2"/>
      <w:sz w:val="21"/>
      <w:szCs w:val="24"/>
      <w:lang w:val="en-US" w:eastAsia="zh-CN" w:bidi="ar-SA"/>
    </w:rPr>
  </w:style>
  <w:style w:type="paragraph" w:customStyle="1" w:styleId="22">
    <w:name w:val="3评价标题"/>
    <w:qFormat/>
    <w:uiPriority w:val="0"/>
    <w:pPr>
      <w:spacing w:line="520" w:lineRule="exact"/>
      <w:ind w:firstLine="200" w:firstLineChars="200"/>
      <w:outlineLvl w:val="2"/>
    </w:pPr>
    <w:rPr>
      <w:rFonts w:ascii="Times New Roman" w:hAnsi="Times New Roman" w:eastAsia="黑体" w:cs="Times New Roman"/>
      <w:sz w:val="28"/>
      <w:u w:color="000000"/>
      <w:lang w:val="en-US" w:eastAsia="zh-CN" w:bidi="ar-SA"/>
    </w:rPr>
  </w:style>
  <w:style w:type="paragraph" w:customStyle="1" w:styleId="23">
    <w:name w:val="表内文字"/>
    <w:basedOn w:val="6"/>
    <w:qFormat/>
    <w:uiPriority w:val="0"/>
    <w:pPr>
      <w:spacing w:line="320" w:lineRule="exact"/>
      <w:jc w:val="center"/>
    </w:pPr>
    <w:rPr>
      <w:rFonts w:ascii="Times New Roman" w:hAnsi="Times New Roman"/>
      <w:kern w:val="2"/>
      <w:sz w:val="21"/>
      <w:szCs w:val="21"/>
      <w:u w:color="000000"/>
    </w:rPr>
  </w:style>
  <w:style w:type="paragraph" w:customStyle="1" w:styleId="24">
    <w:name w:val="5表格内容"/>
    <w:basedOn w:val="25"/>
    <w:qFormat/>
    <w:uiPriority w:val="0"/>
    <w:pPr>
      <w:spacing w:beforeLines="0" w:line="300" w:lineRule="exact"/>
    </w:pPr>
    <w:rPr>
      <w:rFonts w:eastAsia="宋体"/>
      <w:color w:val="auto"/>
      <w:sz w:val="21"/>
      <w:szCs w:val="21"/>
    </w:rPr>
  </w:style>
  <w:style w:type="paragraph" w:customStyle="1" w:styleId="25">
    <w:name w:val="表名"/>
    <w:basedOn w:val="6"/>
    <w:qFormat/>
    <w:uiPriority w:val="0"/>
    <w:pPr>
      <w:spacing w:beforeLines="50" w:line="360" w:lineRule="exact"/>
      <w:jc w:val="center"/>
    </w:pPr>
    <w:rPr>
      <w:rFonts w:ascii="Times New Roman" w:hAnsi="Times New Roman" w:eastAsia="黑体"/>
      <w:color w:val="000000"/>
      <w:kern w:val="2"/>
      <w:sz w:val="24"/>
      <w:szCs w:val="28"/>
      <w:u w:color="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2895</Words>
  <Characters>3197</Characters>
  <Lines>0</Lines>
  <Paragraphs>0</Paragraphs>
  <TotalTime>10</TotalTime>
  <ScaleCrop>false</ScaleCrop>
  <LinksUpToDate>false</LinksUpToDate>
  <CharactersWithSpaces>3213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2023-09-27T02:48:00Z</dcterms:created>
  <dc:creator>天舞</dc:creator>
  <cp:lastModifiedBy>郭启迪</cp:lastModifiedBy>
  <dcterms:modified xsi:type="dcterms:W3CDTF">2026-06-26T03:41:19Z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158E41C4130D45F7BB2A42425FB8946B_11</vt:lpwstr>
  </property>
  <property fmtid="{D5CDD505-2E9C-101B-9397-08002B2CF9AE}" pid="4" name="KSOTemplateDocerSaveRecord">
    <vt:lpwstr>eyJoZGlkIjoiNmM1NWE1Mzc4MTAyODRlMmM5M2M0NmY5MGFkYmI1ZjQiLCJ1c2VySWQiOiI1NDgyOTEwMjIifQ==</vt:lpwstr>
  </property>
</Properties>
</file>