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AFEB0">
      <w:pPr>
        <w:jc w:val="center"/>
        <w:rPr>
          <w:rFonts w:ascii="黑体" w:hAnsi="黑体" w:eastAsia="黑体" w:cs="黑体"/>
          <w:sz w:val="28"/>
          <w:szCs w:val="28"/>
        </w:rPr>
      </w:pPr>
      <w:r>
        <w:rPr>
          <w:rFonts w:hint="eastAsia" w:ascii="黑体" w:hAnsi="黑体" w:eastAsia="黑体" w:cs="黑体"/>
          <w:sz w:val="28"/>
          <w:szCs w:val="28"/>
        </w:rPr>
        <w:t>安全评价项目信息表</w:t>
      </w:r>
    </w:p>
    <w:p w14:paraId="1BF9BB85">
      <w:pPr>
        <w:rPr>
          <w:szCs w:val="21"/>
        </w:rPr>
      </w:pPr>
      <w:r>
        <w:rPr>
          <w:rFonts w:hint="eastAsia"/>
          <w:szCs w:val="21"/>
        </w:rPr>
        <w:t>项目编号：</w:t>
      </w:r>
    </w:p>
    <w:tbl>
      <w:tblPr>
        <w:tblStyle w:val="1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68" w:type="dxa"/>
          <w:left w:w="108" w:type="dxa"/>
          <w:bottom w:w="68" w:type="dxa"/>
          <w:right w:w="108" w:type="dxa"/>
        </w:tblCellMar>
      </w:tblPr>
      <w:tblGrid>
        <w:gridCol w:w="1832"/>
        <w:gridCol w:w="2188"/>
        <w:gridCol w:w="2350"/>
        <w:gridCol w:w="2918"/>
      </w:tblGrid>
      <w:tr w14:paraId="1312B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473D1593">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项目名称</w:t>
            </w:r>
          </w:p>
        </w:tc>
        <w:tc>
          <w:tcPr>
            <w:tcW w:w="7456" w:type="dxa"/>
            <w:gridSpan w:val="3"/>
            <w:tcBorders>
              <w:tl2br w:val="nil"/>
              <w:tr2bl w:val="nil"/>
            </w:tcBorders>
            <w:shd w:val="clear" w:color="auto" w:fill="auto"/>
            <w:vAlign w:val="center"/>
          </w:tcPr>
          <w:p w14:paraId="1DC8EACA">
            <w:pPr>
              <w:autoSpaceDE w:val="0"/>
              <w:autoSpaceDN w:val="0"/>
              <w:adjustRightInd w:val="0"/>
              <w:snapToGrid w:val="0"/>
              <w:jc w:val="center"/>
              <w:rPr>
                <w:rFonts w:hint="default" w:ascii="宋体" w:hAnsi="宋体" w:eastAsia="宋体" w:cs="宋体"/>
                <w:kern w:val="0"/>
                <w:szCs w:val="21"/>
                <w:lang w:val="en-US"/>
              </w:rPr>
            </w:pPr>
            <w:r>
              <w:rPr>
                <w:rFonts w:hint="eastAsia" w:ascii="宋体" w:hAnsi="宋体" w:eastAsia="宋体" w:cs="宋体"/>
                <w:kern w:val="0"/>
                <w:szCs w:val="21"/>
                <w:lang w:eastAsia="zh-CN"/>
              </w:rPr>
              <w:t>泰安汉威集团有限公司汉威集团产业园设备更新与技改升级项目Ⅲ—年产100t碘乙烷技改项目</w:t>
            </w:r>
            <w:r>
              <w:rPr>
                <w:rFonts w:hint="eastAsia" w:ascii="宋体" w:hAnsi="宋体" w:eastAsia="宋体" w:cs="宋体"/>
                <w:kern w:val="0"/>
                <w:szCs w:val="21"/>
                <w:lang w:val="en-US" w:eastAsia="zh-CN"/>
              </w:rPr>
              <w:t>安全设施竣工验收评价</w:t>
            </w:r>
          </w:p>
        </w:tc>
      </w:tr>
      <w:tr w14:paraId="46A32E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451" w:hRule="atLeast"/>
          <w:jc w:val="center"/>
        </w:trPr>
        <w:tc>
          <w:tcPr>
            <w:tcW w:w="1832" w:type="dxa"/>
            <w:tcBorders>
              <w:tl2br w:val="nil"/>
              <w:tr2bl w:val="nil"/>
            </w:tcBorders>
            <w:shd w:val="clear" w:color="auto" w:fill="auto"/>
            <w:vAlign w:val="center"/>
          </w:tcPr>
          <w:p w14:paraId="14CBEC40">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项目简介</w:t>
            </w:r>
          </w:p>
        </w:tc>
        <w:tc>
          <w:tcPr>
            <w:tcW w:w="7456" w:type="dxa"/>
            <w:gridSpan w:val="3"/>
            <w:tcBorders>
              <w:tl2br w:val="nil"/>
              <w:tr2bl w:val="nil"/>
            </w:tcBorders>
            <w:shd w:val="clear" w:color="auto" w:fill="auto"/>
            <w:noWrap/>
            <w:vAlign w:val="center"/>
          </w:tcPr>
          <w:p w14:paraId="4D14BCF0">
            <w:pPr>
              <w:adjustRightInd w:val="0"/>
              <w:snapToGrid w:val="0"/>
              <w:rPr>
                <w:rFonts w:hint="eastAsia" w:ascii="宋体" w:hAnsi="宋体"/>
                <w:sz w:val="20"/>
                <w:lang w:eastAsia="zh-CN"/>
              </w:rPr>
            </w:pPr>
            <w:r>
              <w:rPr>
                <w:rFonts w:hint="eastAsia" w:ascii="宋体" w:hAnsi="宋体"/>
                <w:sz w:val="20"/>
                <w:lang w:eastAsia="zh-CN"/>
              </w:rPr>
              <w:t>项目名称：汉威集团产业园设备更新与技改升级项目Ⅲ—年产100t碘乙烷技改项目</w:t>
            </w:r>
          </w:p>
          <w:p w14:paraId="23DA7F58">
            <w:pPr>
              <w:adjustRightInd w:val="0"/>
              <w:snapToGrid w:val="0"/>
              <w:rPr>
                <w:rFonts w:hint="eastAsia" w:ascii="宋体" w:hAnsi="宋体"/>
                <w:sz w:val="20"/>
                <w:lang w:eastAsia="zh-CN"/>
              </w:rPr>
            </w:pPr>
            <w:r>
              <w:rPr>
                <w:rFonts w:hint="eastAsia" w:ascii="宋体" w:hAnsi="宋体"/>
                <w:sz w:val="20"/>
                <w:lang w:eastAsia="zh-CN"/>
              </w:rPr>
              <w:t>建设单位：泰安汉威集团有限公司</w:t>
            </w:r>
          </w:p>
          <w:p w14:paraId="5CF2CB03">
            <w:pPr>
              <w:adjustRightInd w:val="0"/>
              <w:snapToGrid w:val="0"/>
              <w:rPr>
                <w:rFonts w:hint="eastAsia" w:ascii="宋体" w:hAnsi="宋体"/>
                <w:sz w:val="20"/>
                <w:lang w:eastAsia="zh-CN"/>
              </w:rPr>
            </w:pPr>
            <w:r>
              <w:rPr>
                <w:rFonts w:hint="eastAsia" w:ascii="宋体" w:hAnsi="宋体"/>
                <w:sz w:val="20"/>
                <w:lang w:eastAsia="zh-CN"/>
              </w:rPr>
              <w:t>项目性质：改建危险化学品生产项目</w:t>
            </w:r>
          </w:p>
          <w:p w14:paraId="434A03B1">
            <w:pPr>
              <w:adjustRightInd w:val="0"/>
              <w:snapToGrid w:val="0"/>
              <w:rPr>
                <w:rFonts w:hint="eastAsia" w:ascii="宋体" w:hAnsi="宋体"/>
                <w:sz w:val="20"/>
                <w:lang w:eastAsia="zh-CN"/>
              </w:rPr>
            </w:pPr>
            <w:r>
              <w:rPr>
                <w:rFonts w:hint="eastAsia" w:ascii="宋体" w:hAnsi="宋体"/>
                <w:sz w:val="20"/>
                <w:lang w:eastAsia="zh-CN"/>
              </w:rPr>
              <w:t>建设地址：泰安岱岳化工产业园</w:t>
            </w:r>
          </w:p>
          <w:p w14:paraId="3B22027D">
            <w:pPr>
              <w:adjustRightInd w:val="0"/>
              <w:snapToGrid w:val="0"/>
              <w:rPr>
                <w:rFonts w:hint="eastAsia" w:ascii="宋体" w:hAnsi="宋体"/>
                <w:sz w:val="20"/>
                <w:lang w:eastAsia="zh-CN"/>
              </w:rPr>
            </w:pPr>
            <w:r>
              <w:rPr>
                <w:rFonts w:hint="eastAsia" w:ascii="宋体" w:hAnsi="宋体"/>
                <w:sz w:val="20"/>
                <w:lang w:eastAsia="zh-CN"/>
              </w:rPr>
              <w:t>项目投资：101.77万元</w:t>
            </w:r>
          </w:p>
          <w:p w14:paraId="67C4F9FE">
            <w:pPr>
              <w:adjustRightInd w:val="0"/>
              <w:snapToGrid w:val="0"/>
              <w:rPr>
                <w:rFonts w:hint="eastAsia" w:ascii="宋体" w:hAnsi="宋体"/>
                <w:sz w:val="20"/>
                <w:lang w:eastAsia="zh-CN"/>
              </w:rPr>
            </w:pPr>
            <w:r>
              <w:rPr>
                <w:rFonts w:hint="eastAsia" w:ascii="宋体" w:hAnsi="宋体"/>
                <w:sz w:val="20"/>
                <w:lang w:eastAsia="zh-CN"/>
              </w:rPr>
              <w:t>项目建设主要内容：依托原中间体车间碘甲烷装置进行改造，在原设备不变的情况下新增1台3000L碘乙烷成品暂存罐；依托中间体车间东侧投料间1，内设碘乙烷灌装机（同时作为碘甲烷灌装机），新增亚硫酸钠配置釜和亚硫酸钠打料泵；储存设施及公辅设施均依托公司原有设施。</w:t>
            </w:r>
          </w:p>
          <w:p w14:paraId="7A4A7729">
            <w:pPr>
              <w:adjustRightInd w:val="0"/>
              <w:snapToGrid w:val="0"/>
              <w:rPr>
                <w:rFonts w:ascii="宋体" w:hAnsi="宋体" w:eastAsia="宋体" w:cs="宋体"/>
                <w:kern w:val="0"/>
                <w:szCs w:val="21"/>
              </w:rPr>
            </w:pPr>
            <w:r>
              <w:rPr>
                <w:rFonts w:hint="eastAsia" w:ascii="宋体" w:hAnsi="宋体"/>
                <w:sz w:val="20"/>
                <w:lang w:eastAsia="zh-CN"/>
              </w:rPr>
              <w:t>劳动定员：该项目劳动定员11人，其中管理人员2人，操作人员9人，均为原有碘甲烷装置生产人员，不新增人员。该项目管理人员实行白班制或值班制，生产人员实行三班倒工作制，每班工作时间为8小时，全年生产时间按300天计，折合7200小时</w:t>
            </w:r>
            <w:r>
              <w:rPr>
                <w:rFonts w:hint="eastAsia" w:ascii="宋体" w:hAnsi="宋体"/>
                <w:sz w:val="20"/>
              </w:rPr>
              <w:t>。</w:t>
            </w:r>
          </w:p>
        </w:tc>
      </w:tr>
      <w:tr w14:paraId="59A37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0DAE2404">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评价人员</w:t>
            </w:r>
          </w:p>
        </w:tc>
        <w:tc>
          <w:tcPr>
            <w:tcW w:w="4538" w:type="dxa"/>
            <w:gridSpan w:val="2"/>
            <w:tcBorders>
              <w:tl2br w:val="nil"/>
              <w:tr2bl w:val="nil"/>
            </w:tcBorders>
            <w:shd w:val="clear" w:color="auto" w:fill="auto"/>
            <w:noWrap/>
            <w:vAlign w:val="center"/>
          </w:tcPr>
          <w:p w14:paraId="4F0D1781">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姓  名</w:t>
            </w:r>
          </w:p>
        </w:tc>
        <w:tc>
          <w:tcPr>
            <w:tcW w:w="2918" w:type="dxa"/>
            <w:tcBorders>
              <w:tl2br w:val="nil"/>
              <w:tr2bl w:val="nil"/>
            </w:tcBorders>
            <w:shd w:val="clear" w:color="auto" w:fill="auto"/>
            <w:noWrap/>
            <w:vAlign w:val="center"/>
          </w:tcPr>
          <w:p w14:paraId="1539E6E9">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备注</w:t>
            </w:r>
          </w:p>
        </w:tc>
      </w:tr>
      <w:tr w14:paraId="33CB16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1200BD9A">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项目负责人</w:t>
            </w:r>
          </w:p>
        </w:tc>
        <w:tc>
          <w:tcPr>
            <w:tcW w:w="4538" w:type="dxa"/>
            <w:gridSpan w:val="2"/>
            <w:tcBorders>
              <w:tl2br w:val="nil"/>
              <w:tr2bl w:val="nil"/>
            </w:tcBorders>
            <w:shd w:val="clear" w:color="auto" w:fill="auto"/>
            <w:noWrap/>
            <w:vAlign w:val="center"/>
          </w:tcPr>
          <w:p w14:paraId="2843A4BF">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马琳琳</w:t>
            </w:r>
          </w:p>
        </w:tc>
        <w:tc>
          <w:tcPr>
            <w:tcW w:w="2918" w:type="dxa"/>
            <w:tcBorders>
              <w:tl2br w:val="nil"/>
              <w:tr2bl w:val="nil"/>
            </w:tcBorders>
            <w:shd w:val="clear" w:color="auto" w:fill="auto"/>
            <w:noWrap/>
            <w:vAlign w:val="center"/>
          </w:tcPr>
          <w:p w14:paraId="6CDAED60">
            <w:pPr>
              <w:autoSpaceDE w:val="0"/>
              <w:autoSpaceDN w:val="0"/>
              <w:adjustRightInd w:val="0"/>
              <w:snapToGrid w:val="0"/>
              <w:jc w:val="center"/>
              <w:rPr>
                <w:rFonts w:ascii="宋体" w:hAnsi="宋体" w:eastAsia="宋体" w:cs="宋体"/>
                <w:kern w:val="0"/>
                <w:szCs w:val="21"/>
              </w:rPr>
            </w:pPr>
          </w:p>
        </w:tc>
      </w:tr>
      <w:tr w14:paraId="77471A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559C5151">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项目组成员</w:t>
            </w:r>
          </w:p>
        </w:tc>
        <w:tc>
          <w:tcPr>
            <w:tcW w:w="4538" w:type="dxa"/>
            <w:gridSpan w:val="2"/>
            <w:tcBorders>
              <w:tl2br w:val="nil"/>
              <w:tr2bl w:val="nil"/>
            </w:tcBorders>
            <w:shd w:val="clear" w:color="auto" w:fill="auto"/>
            <w:noWrap/>
            <w:vAlign w:val="center"/>
          </w:tcPr>
          <w:p w14:paraId="57CADCD5">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刘卫国</w:t>
            </w:r>
          </w:p>
        </w:tc>
        <w:tc>
          <w:tcPr>
            <w:tcW w:w="2918" w:type="dxa"/>
            <w:tcBorders>
              <w:tl2br w:val="nil"/>
              <w:tr2bl w:val="nil"/>
            </w:tcBorders>
            <w:shd w:val="clear" w:color="auto" w:fill="auto"/>
            <w:noWrap/>
            <w:vAlign w:val="center"/>
          </w:tcPr>
          <w:p w14:paraId="225FF703">
            <w:pPr>
              <w:autoSpaceDE w:val="0"/>
              <w:autoSpaceDN w:val="0"/>
              <w:adjustRightInd w:val="0"/>
              <w:snapToGrid w:val="0"/>
              <w:jc w:val="center"/>
              <w:rPr>
                <w:rFonts w:ascii="宋体" w:hAnsi="宋体" w:eastAsia="宋体" w:cs="宋体"/>
                <w:kern w:val="0"/>
                <w:szCs w:val="21"/>
              </w:rPr>
            </w:pPr>
          </w:p>
        </w:tc>
      </w:tr>
      <w:tr w14:paraId="79957D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074AB147">
            <w:pPr>
              <w:autoSpaceDE w:val="0"/>
              <w:autoSpaceDN w:val="0"/>
              <w:adjustRightInd w:val="0"/>
              <w:snapToGrid w:val="0"/>
              <w:jc w:val="center"/>
              <w:rPr>
                <w:rFonts w:ascii="宋体" w:hAnsi="宋体" w:eastAsia="宋体" w:cs="宋体"/>
                <w:kern w:val="0"/>
                <w:szCs w:val="21"/>
              </w:rPr>
            </w:pPr>
          </w:p>
        </w:tc>
        <w:tc>
          <w:tcPr>
            <w:tcW w:w="4538" w:type="dxa"/>
            <w:gridSpan w:val="2"/>
            <w:tcBorders>
              <w:tl2br w:val="nil"/>
              <w:tr2bl w:val="nil"/>
            </w:tcBorders>
            <w:shd w:val="clear" w:color="auto" w:fill="auto"/>
            <w:noWrap/>
            <w:vAlign w:val="center"/>
          </w:tcPr>
          <w:p w14:paraId="16C2D21B">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辛  磊</w:t>
            </w:r>
          </w:p>
        </w:tc>
        <w:tc>
          <w:tcPr>
            <w:tcW w:w="2918" w:type="dxa"/>
            <w:tcBorders>
              <w:tl2br w:val="nil"/>
              <w:tr2bl w:val="nil"/>
            </w:tcBorders>
            <w:shd w:val="clear" w:color="auto" w:fill="auto"/>
            <w:noWrap/>
            <w:vAlign w:val="center"/>
          </w:tcPr>
          <w:p w14:paraId="33B2C486">
            <w:pPr>
              <w:autoSpaceDE w:val="0"/>
              <w:autoSpaceDN w:val="0"/>
              <w:adjustRightInd w:val="0"/>
              <w:snapToGrid w:val="0"/>
              <w:jc w:val="center"/>
              <w:rPr>
                <w:rFonts w:ascii="宋体" w:hAnsi="宋体" w:eastAsia="宋体" w:cs="宋体"/>
                <w:kern w:val="0"/>
                <w:szCs w:val="21"/>
              </w:rPr>
            </w:pPr>
          </w:p>
        </w:tc>
      </w:tr>
      <w:tr w14:paraId="50E71B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32F2512B">
            <w:pPr>
              <w:autoSpaceDE w:val="0"/>
              <w:autoSpaceDN w:val="0"/>
              <w:adjustRightInd w:val="0"/>
              <w:snapToGrid w:val="0"/>
              <w:jc w:val="center"/>
              <w:rPr>
                <w:rFonts w:ascii="宋体" w:hAnsi="宋体" w:eastAsia="宋体" w:cs="宋体"/>
                <w:kern w:val="0"/>
                <w:szCs w:val="21"/>
              </w:rPr>
            </w:pPr>
          </w:p>
        </w:tc>
        <w:tc>
          <w:tcPr>
            <w:tcW w:w="4538" w:type="dxa"/>
            <w:gridSpan w:val="2"/>
            <w:tcBorders>
              <w:tl2br w:val="nil"/>
              <w:tr2bl w:val="nil"/>
            </w:tcBorders>
            <w:shd w:val="clear" w:color="auto" w:fill="auto"/>
            <w:noWrap/>
            <w:vAlign w:val="center"/>
          </w:tcPr>
          <w:p w14:paraId="22A1C13F">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赵云峰</w:t>
            </w:r>
          </w:p>
        </w:tc>
        <w:tc>
          <w:tcPr>
            <w:tcW w:w="2918" w:type="dxa"/>
            <w:tcBorders>
              <w:tl2br w:val="nil"/>
              <w:tr2bl w:val="nil"/>
            </w:tcBorders>
            <w:shd w:val="clear" w:color="auto" w:fill="auto"/>
            <w:noWrap/>
            <w:vAlign w:val="center"/>
          </w:tcPr>
          <w:p w14:paraId="1576A3CE">
            <w:pPr>
              <w:autoSpaceDE w:val="0"/>
              <w:autoSpaceDN w:val="0"/>
              <w:adjustRightInd w:val="0"/>
              <w:snapToGrid w:val="0"/>
              <w:jc w:val="center"/>
              <w:rPr>
                <w:rFonts w:ascii="宋体" w:hAnsi="宋体" w:eastAsia="宋体" w:cs="宋体"/>
                <w:kern w:val="0"/>
                <w:szCs w:val="21"/>
              </w:rPr>
            </w:pPr>
          </w:p>
        </w:tc>
      </w:tr>
      <w:tr w14:paraId="586559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0C4119D">
            <w:pPr>
              <w:autoSpaceDE w:val="0"/>
              <w:autoSpaceDN w:val="0"/>
              <w:adjustRightInd w:val="0"/>
              <w:snapToGrid w:val="0"/>
              <w:jc w:val="center"/>
              <w:rPr>
                <w:rFonts w:ascii="宋体" w:hAnsi="宋体" w:eastAsia="宋体" w:cs="宋体"/>
                <w:kern w:val="0"/>
                <w:szCs w:val="21"/>
              </w:rPr>
            </w:pPr>
          </w:p>
        </w:tc>
        <w:tc>
          <w:tcPr>
            <w:tcW w:w="4538" w:type="dxa"/>
            <w:gridSpan w:val="2"/>
            <w:tcBorders>
              <w:tl2br w:val="nil"/>
              <w:tr2bl w:val="nil"/>
            </w:tcBorders>
            <w:shd w:val="clear" w:color="auto" w:fill="auto"/>
            <w:noWrap/>
            <w:vAlign w:val="center"/>
          </w:tcPr>
          <w:p w14:paraId="69BC9D2C">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王  静</w:t>
            </w:r>
          </w:p>
        </w:tc>
        <w:tc>
          <w:tcPr>
            <w:tcW w:w="2918" w:type="dxa"/>
            <w:tcBorders>
              <w:tl2br w:val="nil"/>
              <w:tr2bl w:val="nil"/>
            </w:tcBorders>
            <w:shd w:val="clear" w:color="auto" w:fill="auto"/>
            <w:noWrap/>
            <w:vAlign w:val="center"/>
          </w:tcPr>
          <w:p w14:paraId="04A45AFE">
            <w:pPr>
              <w:autoSpaceDE w:val="0"/>
              <w:autoSpaceDN w:val="0"/>
              <w:adjustRightInd w:val="0"/>
              <w:snapToGrid w:val="0"/>
              <w:jc w:val="center"/>
              <w:rPr>
                <w:rFonts w:ascii="宋体" w:hAnsi="宋体" w:eastAsia="宋体" w:cs="宋体"/>
                <w:kern w:val="0"/>
                <w:szCs w:val="21"/>
              </w:rPr>
            </w:pPr>
          </w:p>
        </w:tc>
      </w:tr>
      <w:tr w14:paraId="314564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52ECA9F4">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报告编制人</w:t>
            </w:r>
          </w:p>
        </w:tc>
        <w:tc>
          <w:tcPr>
            <w:tcW w:w="4538" w:type="dxa"/>
            <w:gridSpan w:val="2"/>
            <w:tcBorders>
              <w:tl2br w:val="nil"/>
              <w:tr2bl w:val="nil"/>
            </w:tcBorders>
            <w:shd w:val="clear" w:color="auto" w:fill="auto"/>
            <w:noWrap/>
            <w:vAlign w:val="center"/>
          </w:tcPr>
          <w:p w14:paraId="28A9FEF0">
            <w:pPr>
              <w:autoSpaceDE w:val="0"/>
              <w:autoSpaceDN w:val="0"/>
              <w:adjustRightInd w:val="0"/>
              <w:snapToGrid w:val="0"/>
              <w:jc w:val="center"/>
              <w:rPr>
                <w:rFonts w:ascii="宋体" w:hAnsi="宋体" w:eastAsia="宋体" w:cs="宋体"/>
                <w:kern w:val="0"/>
                <w:szCs w:val="21"/>
                <w:lang w:eastAsia="en-US"/>
              </w:rPr>
            </w:pPr>
            <w:r>
              <w:rPr>
                <w:rFonts w:hint="eastAsia" w:ascii="宋体" w:hAnsi="宋体" w:eastAsia="宋体" w:cs="宋体"/>
                <w:kern w:val="0"/>
                <w:szCs w:val="21"/>
              </w:rPr>
              <w:t>马琳琳</w:t>
            </w:r>
          </w:p>
        </w:tc>
        <w:tc>
          <w:tcPr>
            <w:tcW w:w="2918" w:type="dxa"/>
            <w:tcBorders>
              <w:tl2br w:val="nil"/>
              <w:tr2bl w:val="nil"/>
            </w:tcBorders>
            <w:shd w:val="clear" w:color="auto" w:fill="auto"/>
            <w:noWrap/>
            <w:vAlign w:val="center"/>
          </w:tcPr>
          <w:p w14:paraId="14CCC523">
            <w:pPr>
              <w:autoSpaceDE w:val="0"/>
              <w:autoSpaceDN w:val="0"/>
              <w:adjustRightInd w:val="0"/>
              <w:snapToGrid w:val="0"/>
              <w:jc w:val="center"/>
              <w:rPr>
                <w:rFonts w:ascii="宋体" w:hAnsi="宋体" w:eastAsia="宋体" w:cs="宋体"/>
                <w:kern w:val="0"/>
                <w:szCs w:val="21"/>
              </w:rPr>
            </w:pPr>
          </w:p>
        </w:tc>
      </w:tr>
      <w:tr w14:paraId="691B8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57FF3D8">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报告审核人</w:t>
            </w:r>
          </w:p>
        </w:tc>
        <w:tc>
          <w:tcPr>
            <w:tcW w:w="4538" w:type="dxa"/>
            <w:gridSpan w:val="2"/>
            <w:tcBorders>
              <w:tl2br w:val="nil"/>
              <w:tr2bl w:val="nil"/>
            </w:tcBorders>
            <w:shd w:val="clear" w:color="auto" w:fill="auto"/>
            <w:noWrap/>
            <w:vAlign w:val="center"/>
          </w:tcPr>
          <w:p w14:paraId="455EAF58">
            <w:pPr>
              <w:autoSpaceDE w:val="0"/>
              <w:autoSpaceDN w:val="0"/>
              <w:adjustRightInd w:val="0"/>
              <w:snapToGrid w:val="0"/>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赵  燕</w:t>
            </w:r>
          </w:p>
        </w:tc>
        <w:tc>
          <w:tcPr>
            <w:tcW w:w="2918" w:type="dxa"/>
            <w:tcBorders>
              <w:tl2br w:val="nil"/>
              <w:tr2bl w:val="nil"/>
            </w:tcBorders>
            <w:shd w:val="clear" w:color="auto" w:fill="auto"/>
            <w:noWrap/>
            <w:vAlign w:val="center"/>
          </w:tcPr>
          <w:p w14:paraId="34802539">
            <w:pPr>
              <w:autoSpaceDE w:val="0"/>
              <w:autoSpaceDN w:val="0"/>
              <w:adjustRightInd w:val="0"/>
              <w:snapToGrid w:val="0"/>
              <w:jc w:val="center"/>
              <w:rPr>
                <w:rFonts w:ascii="宋体" w:hAnsi="宋体" w:eastAsia="宋体" w:cs="宋体"/>
                <w:kern w:val="0"/>
                <w:szCs w:val="21"/>
              </w:rPr>
            </w:pPr>
          </w:p>
        </w:tc>
      </w:tr>
      <w:tr w14:paraId="62F15F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49CE57E0">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过程控制负责人</w:t>
            </w:r>
          </w:p>
        </w:tc>
        <w:tc>
          <w:tcPr>
            <w:tcW w:w="4538" w:type="dxa"/>
            <w:gridSpan w:val="2"/>
            <w:tcBorders>
              <w:tl2br w:val="nil"/>
              <w:tr2bl w:val="nil"/>
            </w:tcBorders>
            <w:shd w:val="clear" w:color="auto" w:fill="auto"/>
            <w:noWrap/>
            <w:vAlign w:val="center"/>
          </w:tcPr>
          <w:p w14:paraId="25F3BFC6">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刘云红</w:t>
            </w:r>
          </w:p>
        </w:tc>
        <w:tc>
          <w:tcPr>
            <w:tcW w:w="2918" w:type="dxa"/>
            <w:tcBorders>
              <w:tl2br w:val="nil"/>
              <w:tr2bl w:val="nil"/>
            </w:tcBorders>
            <w:shd w:val="clear" w:color="auto" w:fill="auto"/>
            <w:noWrap/>
            <w:vAlign w:val="center"/>
          </w:tcPr>
          <w:p w14:paraId="572DEFA1">
            <w:pPr>
              <w:autoSpaceDE w:val="0"/>
              <w:autoSpaceDN w:val="0"/>
              <w:adjustRightInd w:val="0"/>
              <w:snapToGrid w:val="0"/>
              <w:jc w:val="center"/>
              <w:rPr>
                <w:rFonts w:ascii="宋体" w:hAnsi="宋体" w:eastAsia="宋体" w:cs="宋体"/>
                <w:kern w:val="0"/>
                <w:szCs w:val="21"/>
              </w:rPr>
            </w:pPr>
          </w:p>
        </w:tc>
      </w:tr>
      <w:tr w14:paraId="76894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9F98457">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技术负责人</w:t>
            </w:r>
          </w:p>
        </w:tc>
        <w:tc>
          <w:tcPr>
            <w:tcW w:w="4538" w:type="dxa"/>
            <w:gridSpan w:val="2"/>
            <w:tcBorders>
              <w:tl2br w:val="nil"/>
              <w:tr2bl w:val="nil"/>
            </w:tcBorders>
            <w:shd w:val="clear" w:color="auto" w:fill="auto"/>
            <w:noWrap/>
            <w:vAlign w:val="center"/>
          </w:tcPr>
          <w:p w14:paraId="57A8142B">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孙  虎</w:t>
            </w:r>
          </w:p>
        </w:tc>
        <w:tc>
          <w:tcPr>
            <w:tcW w:w="2918" w:type="dxa"/>
            <w:tcBorders>
              <w:tl2br w:val="nil"/>
              <w:tr2bl w:val="nil"/>
            </w:tcBorders>
            <w:shd w:val="clear" w:color="auto" w:fill="auto"/>
            <w:noWrap/>
            <w:vAlign w:val="center"/>
          </w:tcPr>
          <w:p w14:paraId="054AC15D">
            <w:pPr>
              <w:autoSpaceDE w:val="0"/>
              <w:autoSpaceDN w:val="0"/>
              <w:adjustRightInd w:val="0"/>
              <w:snapToGrid w:val="0"/>
              <w:jc w:val="center"/>
              <w:rPr>
                <w:rFonts w:ascii="宋体" w:hAnsi="宋体" w:eastAsia="宋体" w:cs="宋体"/>
                <w:kern w:val="0"/>
                <w:szCs w:val="21"/>
              </w:rPr>
            </w:pPr>
          </w:p>
        </w:tc>
      </w:tr>
      <w:tr w14:paraId="37CD31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1FD97E98">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到现场开展安全</w:t>
            </w:r>
          </w:p>
          <w:p w14:paraId="4B865621">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评价工作情况</w:t>
            </w:r>
          </w:p>
        </w:tc>
        <w:tc>
          <w:tcPr>
            <w:tcW w:w="2188" w:type="dxa"/>
            <w:tcBorders>
              <w:tl2br w:val="nil"/>
              <w:tr2bl w:val="nil"/>
            </w:tcBorders>
            <w:shd w:val="clear" w:color="auto" w:fill="auto"/>
            <w:noWrap/>
            <w:vAlign w:val="center"/>
          </w:tcPr>
          <w:p w14:paraId="301EBB41">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时  间</w:t>
            </w:r>
          </w:p>
        </w:tc>
        <w:tc>
          <w:tcPr>
            <w:tcW w:w="2350" w:type="dxa"/>
            <w:tcBorders>
              <w:tl2br w:val="nil"/>
              <w:tr2bl w:val="nil"/>
            </w:tcBorders>
            <w:shd w:val="clear" w:color="auto" w:fill="auto"/>
            <w:noWrap/>
            <w:vAlign w:val="center"/>
          </w:tcPr>
          <w:p w14:paraId="373F9683">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到现场主要人员</w:t>
            </w:r>
          </w:p>
        </w:tc>
        <w:tc>
          <w:tcPr>
            <w:tcW w:w="2918" w:type="dxa"/>
            <w:tcBorders>
              <w:tl2br w:val="nil"/>
              <w:tr2bl w:val="nil"/>
            </w:tcBorders>
            <w:shd w:val="clear" w:color="auto" w:fill="auto"/>
            <w:noWrap/>
            <w:vAlign w:val="center"/>
          </w:tcPr>
          <w:p w14:paraId="61AB688D">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主要任务</w:t>
            </w:r>
          </w:p>
        </w:tc>
      </w:tr>
      <w:tr w14:paraId="72850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C51762D">
            <w:pPr>
              <w:autoSpaceDE w:val="0"/>
              <w:autoSpaceDN w:val="0"/>
              <w:adjustRightInd w:val="0"/>
              <w:snapToGrid w:val="0"/>
              <w:jc w:val="center"/>
              <w:rPr>
                <w:rFonts w:ascii="宋体" w:hAnsi="宋体" w:eastAsia="宋体" w:cs="宋体"/>
                <w:kern w:val="0"/>
                <w:szCs w:val="21"/>
              </w:rPr>
            </w:pPr>
          </w:p>
        </w:tc>
        <w:tc>
          <w:tcPr>
            <w:tcW w:w="2188" w:type="dxa"/>
            <w:tcBorders>
              <w:tl2br w:val="nil"/>
              <w:tr2bl w:val="nil"/>
            </w:tcBorders>
            <w:shd w:val="clear" w:color="auto" w:fill="auto"/>
            <w:noWrap/>
            <w:vAlign w:val="center"/>
          </w:tcPr>
          <w:p w14:paraId="14EA56A8">
            <w:pPr>
              <w:autoSpaceDE w:val="0"/>
              <w:autoSpaceDN w:val="0"/>
              <w:adjustRightInd w:val="0"/>
              <w:snapToGrid w:val="0"/>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2025.9.1</w:t>
            </w:r>
          </w:p>
        </w:tc>
        <w:tc>
          <w:tcPr>
            <w:tcW w:w="2350" w:type="dxa"/>
            <w:tcBorders>
              <w:tl2br w:val="nil"/>
              <w:tr2bl w:val="nil"/>
            </w:tcBorders>
            <w:shd w:val="clear" w:color="auto" w:fill="auto"/>
            <w:noWrap/>
            <w:vAlign w:val="center"/>
          </w:tcPr>
          <w:p w14:paraId="492F1E68">
            <w:pPr>
              <w:autoSpaceDE w:val="0"/>
              <w:autoSpaceDN w:val="0"/>
              <w:adjustRightInd w:val="0"/>
              <w:snapToGrid w:val="0"/>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 xml:space="preserve">马琳琳 </w:t>
            </w:r>
            <w:r>
              <w:rPr>
                <w:rFonts w:hint="eastAsia" w:ascii="宋体" w:hAnsi="宋体" w:eastAsia="宋体" w:cs="宋体"/>
                <w:kern w:val="0"/>
                <w:szCs w:val="21"/>
              </w:rPr>
              <w:t>辛  磊</w:t>
            </w:r>
          </w:p>
        </w:tc>
        <w:tc>
          <w:tcPr>
            <w:tcW w:w="2918" w:type="dxa"/>
            <w:tcBorders>
              <w:tl2br w:val="nil"/>
              <w:tr2bl w:val="nil"/>
            </w:tcBorders>
            <w:shd w:val="clear" w:color="auto" w:fill="auto"/>
            <w:noWrap/>
            <w:vAlign w:val="center"/>
          </w:tcPr>
          <w:p w14:paraId="09D1097D">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初访</w:t>
            </w:r>
          </w:p>
        </w:tc>
      </w:tr>
      <w:tr w14:paraId="02AE7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6322453">
            <w:pPr>
              <w:autoSpaceDE w:val="0"/>
              <w:autoSpaceDN w:val="0"/>
              <w:adjustRightInd w:val="0"/>
              <w:snapToGrid w:val="0"/>
              <w:jc w:val="center"/>
              <w:rPr>
                <w:rFonts w:ascii="宋体" w:hAnsi="宋体" w:eastAsia="宋体" w:cs="宋体"/>
                <w:kern w:val="0"/>
                <w:szCs w:val="21"/>
              </w:rPr>
            </w:pPr>
          </w:p>
        </w:tc>
        <w:tc>
          <w:tcPr>
            <w:tcW w:w="2188" w:type="dxa"/>
            <w:tcBorders>
              <w:tl2br w:val="nil"/>
              <w:tr2bl w:val="nil"/>
            </w:tcBorders>
            <w:shd w:val="clear" w:color="auto" w:fill="auto"/>
            <w:noWrap/>
            <w:vAlign w:val="center"/>
          </w:tcPr>
          <w:p w14:paraId="6A74FB21">
            <w:pPr>
              <w:autoSpaceDE w:val="0"/>
              <w:autoSpaceDN w:val="0"/>
              <w:adjustRightInd w:val="0"/>
              <w:snapToGrid w:val="0"/>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2026.03.09</w:t>
            </w:r>
          </w:p>
        </w:tc>
        <w:tc>
          <w:tcPr>
            <w:tcW w:w="2350" w:type="dxa"/>
            <w:tcBorders>
              <w:tl2br w:val="nil"/>
              <w:tr2bl w:val="nil"/>
            </w:tcBorders>
            <w:shd w:val="clear" w:color="auto" w:fill="auto"/>
            <w:noWrap/>
            <w:vAlign w:val="center"/>
          </w:tcPr>
          <w:p w14:paraId="2D8A8D85">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lang w:val="en-US" w:eastAsia="zh-CN"/>
              </w:rPr>
              <w:t xml:space="preserve">马琳琳 </w:t>
            </w:r>
            <w:r>
              <w:rPr>
                <w:rFonts w:hint="eastAsia" w:ascii="宋体" w:hAnsi="宋体" w:eastAsia="宋体" w:cs="宋体"/>
                <w:kern w:val="0"/>
                <w:szCs w:val="21"/>
              </w:rPr>
              <w:t>辛  磊</w:t>
            </w:r>
          </w:p>
        </w:tc>
        <w:tc>
          <w:tcPr>
            <w:tcW w:w="2918" w:type="dxa"/>
            <w:tcBorders>
              <w:tl2br w:val="nil"/>
              <w:tr2bl w:val="nil"/>
            </w:tcBorders>
            <w:shd w:val="clear" w:color="auto" w:fill="auto"/>
            <w:noWrap/>
            <w:vAlign w:val="center"/>
          </w:tcPr>
          <w:p w14:paraId="36016F4C">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现场考察</w:t>
            </w:r>
          </w:p>
        </w:tc>
      </w:tr>
      <w:tr w14:paraId="45AB8A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2A06F0A0">
            <w:pPr>
              <w:autoSpaceDE w:val="0"/>
              <w:autoSpaceDN w:val="0"/>
              <w:adjustRightInd w:val="0"/>
              <w:snapToGrid w:val="0"/>
              <w:jc w:val="center"/>
              <w:rPr>
                <w:rFonts w:ascii="宋体" w:hAnsi="宋体" w:eastAsia="宋体" w:cs="宋体"/>
                <w:kern w:val="0"/>
                <w:szCs w:val="21"/>
              </w:rPr>
            </w:pPr>
          </w:p>
        </w:tc>
        <w:tc>
          <w:tcPr>
            <w:tcW w:w="2188" w:type="dxa"/>
            <w:tcBorders>
              <w:tl2br w:val="nil"/>
              <w:tr2bl w:val="nil"/>
            </w:tcBorders>
            <w:shd w:val="clear" w:color="auto" w:fill="auto"/>
            <w:noWrap/>
            <w:vAlign w:val="center"/>
          </w:tcPr>
          <w:p w14:paraId="5171B402">
            <w:pPr>
              <w:autoSpaceDE w:val="0"/>
              <w:autoSpaceDN w:val="0"/>
              <w:adjustRightInd w:val="0"/>
              <w:snapToGrid w:val="0"/>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2026.03.10</w:t>
            </w:r>
          </w:p>
        </w:tc>
        <w:tc>
          <w:tcPr>
            <w:tcW w:w="2350" w:type="dxa"/>
            <w:tcBorders>
              <w:tl2br w:val="nil"/>
              <w:tr2bl w:val="nil"/>
            </w:tcBorders>
            <w:shd w:val="clear" w:color="auto" w:fill="auto"/>
            <w:noWrap/>
            <w:vAlign w:val="center"/>
          </w:tcPr>
          <w:p w14:paraId="22D67648">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lang w:val="en-US" w:eastAsia="zh-CN"/>
              </w:rPr>
              <w:t xml:space="preserve">马琳琳 </w:t>
            </w:r>
            <w:r>
              <w:rPr>
                <w:rFonts w:hint="eastAsia" w:ascii="宋体" w:hAnsi="宋体" w:eastAsia="宋体" w:cs="宋体"/>
                <w:kern w:val="0"/>
                <w:szCs w:val="21"/>
              </w:rPr>
              <w:t>辛  磊</w:t>
            </w:r>
          </w:p>
        </w:tc>
        <w:tc>
          <w:tcPr>
            <w:tcW w:w="2918" w:type="dxa"/>
            <w:tcBorders>
              <w:tl2br w:val="nil"/>
              <w:tr2bl w:val="nil"/>
            </w:tcBorders>
            <w:shd w:val="clear" w:color="auto" w:fill="auto"/>
            <w:noWrap/>
            <w:vAlign w:val="center"/>
          </w:tcPr>
          <w:p w14:paraId="03D71957">
            <w:pPr>
              <w:autoSpaceDE w:val="0"/>
              <w:autoSpaceDN w:val="0"/>
              <w:adjustRightInd w:val="0"/>
              <w:snapToGrid w:val="0"/>
              <w:jc w:val="center"/>
              <w:rPr>
                <w:rFonts w:ascii="宋体" w:hAnsi="宋体" w:eastAsia="宋体" w:cs="宋体"/>
                <w:kern w:val="0"/>
                <w:szCs w:val="21"/>
              </w:rPr>
            </w:pPr>
            <w:r>
              <w:rPr>
                <w:rFonts w:hint="eastAsia" w:ascii="宋体" w:hAnsi="宋体" w:eastAsia="宋体" w:cs="宋体"/>
                <w:kern w:val="0"/>
                <w:szCs w:val="21"/>
              </w:rPr>
              <w:t>现场检查</w:t>
            </w:r>
          </w:p>
        </w:tc>
      </w:tr>
      <w:tr w14:paraId="6F3609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ACA61AC">
            <w:pPr>
              <w:autoSpaceDE w:val="0"/>
              <w:autoSpaceDN w:val="0"/>
              <w:adjustRightInd w:val="0"/>
              <w:snapToGrid w:val="0"/>
              <w:jc w:val="center"/>
              <w:rPr>
                <w:rFonts w:ascii="宋体" w:hAnsi="宋体" w:eastAsia="宋体" w:cs="宋体"/>
                <w:kern w:val="0"/>
                <w:szCs w:val="21"/>
              </w:rPr>
            </w:pPr>
          </w:p>
        </w:tc>
        <w:tc>
          <w:tcPr>
            <w:tcW w:w="2188" w:type="dxa"/>
            <w:tcBorders>
              <w:tl2br w:val="nil"/>
              <w:tr2bl w:val="nil"/>
            </w:tcBorders>
            <w:shd w:val="clear" w:color="auto" w:fill="auto"/>
            <w:noWrap/>
            <w:vAlign w:val="center"/>
          </w:tcPr>
          <w:p w14:paraId="3FA43400">
            <w:pPr>
              <w:autoSpaceDE w:val="0"/>
              <w:autoSpaceDN w:val="0"/>
              <w:adjustRightInd w:val="0"/>
              <w:snapToGrid w:val="0"/>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2026.04.10</w:t>
            </w:r>
          </w:p>
        </w:tc>
        <w:tc>
          <w:tcPr>
            <w:tcW w:w="2350" w:type="dxa"/>
            <w:tcBorders>
              <w:tl2br w:val="nil"/>
              <w:tr2bl w:val="nil"/>
            </w:tcBorders>
            <w:shd w:val="clear" w:color="auto" w:fill="auto"/>
            <w:noWrap/>
            <w:vAlign w:val="center"/>
          </w:tcPr>
          <w:p w14:paraId="367E7493">
            <w:pPr>
              <w:autoSpaceDE w:val="0"/>
              <w:autoSpaceDN w:val="0"/>
              <w:adjustRightInd w:val="0"/>
              <w:snapToGrid w:val="0"/>
              <w:jc w:val="center"/>
              <w:rPr>
                <w:rFonts w:hint="eastAsia" w:ascii="宋体" w:hAnsi="宋体" w:eastAsia="宋体" w:cs="宋体"/>
                <w:kern w:val="0"/>
                <w:szCs w:val="21"/>
              </w:rPr>
            </w:pPr>
            <w:r>
              <w:rPr>
                <w:rFonts w:hint="eastAsia" w:ascii="宋体" w:hAnsi="宋体" w:eastAsia="宋体" w:cs="宋体"/>
                <w:kern w:val="0"/>
                <w:szCs w:val="21"/>
                <w:lang w:val="en-US" w:eastAsia="zh-CN"/>
              </w:rPr>
              <w:t xml:space="preserve">马琳琳 </w:t>
            </w:r>
            <w:r>
              <w:rPr>
                <w:rFonts w:hint="eastAsia" w:ascii="宋体" w:hAnsi="宋体" w:eastAsia="宋体" w:cs="宋体"/>
                <w:kern w:val="0"/>
                <w:szCs w:val="21"/>
              </w:rPr>
              <w:t>辛  磊</w:t>
            </w:r>
          </w:p>
        </w:tc>
        <w:tc>
          <w:tcPr>
            <w:tcW w:w="2918" w:type="dxa"/>
            <w:tcBorders>
              <w:tl2br w:val="nil"/>
              <w:tr2bl w:val="nil"/>
            </w:tcBorders>
            <w:shd w:val="clear" w:color="auto" w:fill="auto"/>
            <w:noWrap/>
            <w:vAlign w:val="center"/>
          </w:tcPr>
          <w:p w14:paraId="0953BD0F">
            <w:pPr>
              <w:autoSpaceDE w:val="0"/>
              <w:autoSpaceDN w:val="0"/>
              <w:adjustRightInd w:val="0"/>
              <w:snapToGrid w:val="0"/>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现场核查</w:t>
            </w:r>
          </w:p>
        </w:tc>
      </w:tr>
      <w:tr w14:paraId="3EA097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5ED6B06D">
            <w:pPr>
              <w:autoSpaceDE w:val="0"/>
              <w:autoSpaceDN w:val="0"/>
              <w:adjustRightInd w:val="0"/>
              <w:snapToGrid w:val="0"/>
              <w:jc w:val="left"/>
              <w:rPr>
                <w:rFonts w:hint="default" w:ascii="宋体" w:hAnsi="宋体" w:eastAsia="宋体" w:cs="宋体"/>
                <w:kern w:val="0"/>
                <w:szCs w:val="21"/>
                <w:lang w:val="en-US" w:eastAsia="zh-CN"/>
              </w:rPr>
            </w:pPr>
            <w:r>
              <w:rPr>
                <w:rFonts w:hint="eastAsia" w:ascii="宋体" w:hAnsi="宋体" w:eastAsia="宋体" w:cs="宋体"/>
                <w:kern w:val="0"/>
                <w:szCs w:val="21"/>
              </w:rPr>
              <w:t>安全评价报告提交时间：</w:t>
            </w:r>
            <w:r>
              <w:rPr>
                <w:rFonts w:hint="eastAsia" w:ascii="宋体" w:hAnsi="宋体" w:eastAsia="宋体" w:cs="宋体"/>
                <w:kern w:val="0"/>
                <w:szCs w:val="21"/>
                <w:lang w:val="en-US" w:eastAsia="zh-CN"/>
              </w:rPr>
              <w:t>2026.05</w:t>
            </w:r>
          </w:p>
        </w:tc>
      </w:tr>
      <w:tr w14:paraId="42CB64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57A9AD64">
            <w:pPr>
              <w:autoSpaceDE w:val="0"/>
              <w:autoSpaceDN w:val="0"/>
              <w:adjustRightInd w:val="0"/>
              <w:snapToGrid w:val="0"/>
              <w:jc w:val="left"/>
              <w:rPr>
                <w:rFonts w:ascii="宋体" w:hAnsi="宋体" w:eastAsia="宋体" w:cs="宋体"/>
                <w:kern w:val="0"/>
                <w:szCs w:val="21"/>
              </w:rPr>
            </w:pPr>
            <w:r>
              <w:rPr>
                <w:rFonts w:hint="eastAsia" w:ascii="宋体" w:hAnsi="宋体" w:eastAsia="宋体" w:cs="宋体"/>
                <w:kern w:val="0"/>
                <w:szCs w:val="21"/>
              </w:rPr>
              <w:t>有必要公开的其它内容：</w:t>
            </w:r>
          </w:p>
        </w:tc>
      </w:tr>
    </w:tbl>
    <w:p w14:paraId="4BE1805E">
      <w:pPr>
        <w:rPr>
          <w:rFonts w:ascii="宋体" w:hAnsi="宋体" w:eastAsia="宋体" w:cs="宋体"/>
          <w:kern w:val="0"/>
          <w:sz w:val="24"/>
        </w:rPr>
      </w:pPr>
      <w:r>
        <w:rPr>
          <w:rFonts w:hint="eastAsia" w:ascii="宋体" w:hAnsi="宋体" w:eastAsia="宋体" w:cs="宋体"/>
          <w:kern w:val="0"/>
          <w:sz w:val="24"/>
        </w:rPr>
        <w:br w:type="page"/>
      </w:r>
    </w:p>
    <w:p w14:paraId="6D3AF263">
      <w:pPr>
        <w:pStyle w:val="5"/>
        <w:spacing w:line="240" w:lineRule="auto"/>
        <w:ind w:firstLine="480"/>
        <w:rPr>
          <w:rFonts w:hint="eastAsia" w:eastAsia="宋体" w:cs="宋体"/>
          <w:color w:val="auto"/>
          <w:lang w:eastAsia="zh-CN"/>
        </w:rPr>
      </w:pPr>
      <w:r>
        <w:rPr>
          <w:rFonts w:hint="eastAsia" w:eastAsia="宋体" w:cs="宋体"/>
          <w:color w:val="auto"/>
          <w:lang w:eastAsia="zh-CN"/>
        </w:rPr>
        <w:drawing>
          <wp:inline distT="0" distB="0" distL="114300" distR="114300">
            <wp:extent cx="5744210" cy="8230870"/>
            <wp:effectExtent l="0" t="0" r="8890" b="1778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4"/>
                    <a:stretch>
                      <a:fillRect/>
                    </a:stretch>
                  </pic:blipFill>
                  <pic:spPr>
                    <a:xfrm>
                      <a:off x="0" y="0"/>
                      <a:ext cx="5744210" cy="8230870"/>
                    </a:xfrm>
                    <a:prstGeom prst="rect">
                      <a:avLst/>
                    </a:prstGeom>
                  </pic:spPr>
                </pic:pic>
              </a:graphicData>
            </a:graphic>
          </wp:inline>
        </w:drawing>
      </w:r>
      <w:r>
        <w:rPr>
          <w:rFonts w:hint="eastAsia" w:eastAsia="宋体" w:cs="宋体"/>
          <w:color w:val="auto"/>
          <w:lang w:eastAsia="zh-CN"/>
        </w:rPr>
        <w:drawing>
          <wp:inline distT="0" distB="0" distL="114300" distR="114300">
            <wp:extent cx="5747385" cy="8871585"/>
            <wp:effectExtent l="0" t="0" r="5715" b="571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5747385" cy="8871585"/>
                    </a:xfrm>
                    <a:prstGeom prst="rect">
                      <a:avLst/>
                    </a:prstGeom>
                  </pic:spPr>
                </pic:pic>
              </a:graphicData>
            </a:graphic>
          </wp:inline>
        </w:drawing>
      </w:r>
      <w:r>
        <w:rPr>
          <w:rFonts w:hint="eastAsia" w:eastAsia="宋体" w:cs="宋体"/>
          <w:color w:val="auto"/>
          <w:lang w:eastAsia="zh-CN"/>
        </w:rPr>
        <w:drawing>
          <wp:inline distT="0" distB="0" distL="114300" distR="114300">
            <wp:extent cx="5658485" cy="8871585"/>
            <wp:effectExtent l="0" t="0" r="18415" b="5715"/>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6"/>
                    <a:stretch>
                      <a:fillRect/>
                    </a:stretch>
                  </pic:blipFill>
                  <pic:spPr>
                    <a:xfrm>
                      <a:off x="0" y="0"/>
                      <a:ext cx="5658485" cy="8871585"/>
                    </a:xfrm>
                    <a:prstGeom prst="rect">
                      <a:avLst/>
                    </a:prstGeom>
                  </pic:spPr>
                </pic:pic>
              </a:graphicData>
            </a:graphic>
          </wp:inline>
        </w:drawing>
      </w:r>
    </w:p>
    <w:p w14:paraId="13EE9904">
      <w:pPr>
        <w:rPr>
          <w:rFonts w:ascii="宋体" w:hAnsi="宋体" w:eastAsia="宋体" w:cs="宋体"/>
          <w:kern w:val="0"/>
          <w:sz w:val="24"/>
        </w:rPr>
      </w:pPr>
    </w:p>
    <w:p w14:paraId="15215982">
      <w:pPr>
        <w:adjustRightInd w:val="0"/>
        <w:snapToGrid w:val="0"/>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泰安汉威集团有限公司汉威集团产业园设备更新与技改升级项目Ⅲ</w:t>
      </w:r>
    </w:p>
    <w:p w14:paraId="73460CAB">
      <w:pPr>
        <w:adjustRightInd w:val="0"/>
        <w:snapToGrid w:val="0"/>
        <w:jc w:val="center"/>
        <w:rPr>
          <w:rFonts w:ascii="宋体" w:hAnsi="宋体" w:eastAsia="宋体" w:cs="宋体"/>
          <w:kern w:val="0"/>
          <w:sz w:val="24"/>
        </w:rPr>
      </w:pPr>
      <w:r>
        <w:rPr>
          <w:rFonts w:hint="eastAsia" w:ascii="宋体" w:hAnsi="宋体" w:eastAsia="宋体" w:cs="宋体"/>
          <w:kern w:val="0"/>
          <w:sz w:val="24"/>
          <w:lang w:eastAsia="zh-CN"/>
        </w:rPr>
        <w:t>—年产100t碘乙烷技改项目安全设施竣工验收评价</w:t>
      </w:r>
      <w:r>
        <w:rPr>
          <w:rFonts w:hint="eastAsia" w:ascii="宋体" w:hAnsi="宋体" w:eastAsia="宋体" w:cs="宋体"/>
          <w:kern w:val="0"/>
          <w:sz w:val="24"/>
        </w:rPr>
        <w:t>现场照片</w:t>
      </w:r>
    </w:p>
    <w:p w14:paraId="378CA0D8">
      <w:pPr>
        <w:pStyle w:val="5"/>
        <w:widowControl w:val="0"/>
        <w:adjustRightInd w:val="0"/>
        <w:snapToGrid w:val="0"/>
        <w:spacing w:line="240" w:lineRule="auto"/>
        <w:ind w:firstLine="0" w:firstLineChars="0"/>
        <w:rPr>
          <w:rFonts w:hint="eastAsia" w:eastAsiaTheme="minorEastAsia"/>
          <w:lang w:eastAsia="zh-CN"/>
        </w:rPr>
        <w:sectPr>
          <w:pgSz w:w="11906" w:h="16838"/>
          <w:pgMar w:top="1417" w:right="1417" w:bottom="1417" w:left="1417" w:header="851" w:footer="992" w:gutter="0"/>
          <w:cols w:space="425" w:num="1"/>
          <w:docGrid w:type="lines" w:linePitch="312" w:charSpace="0"/>
        </w:sectPr>
      </w:pPr>
      <w:r>
        <w:rPr>
          <w:rFonts w:hint="eastAsia" w:eastAsiaTheme="minorEastAsia"/>
          <w:lang w:eastAsia="zh-CN"/>
        </w:rPr>
        <w:drawing>
          <wp:inline distT="0" distB="0" distL="114300" distR="114300">
            <wp:extent cx="5286375" cy="3963035"/>
            <wp:effectExtent l="0" t="0" r="9525" b="18415"/>
            <wp:docPr id="5" name="图片 5" descr="微信图片_20260310140259_126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310140259_126_31"/>
                    <pic:cNvPicPr>
                      <a:picLocks noChangeAspect="1"/>
                    </pic:cNvPicPr>
                  </pic:nvPicPr>
                  <pic:blipFill>
                    <a:blip r:embed="rId7"/>
                    <a:stretch>
                      <a:fillRect/>
                    </a:stretch>
                  </pic:blipFill>
                  <pic:spPr>
                    <a:xfrm>
                      <a:off x="0" y="0"/>
                      <a:ext cx="5286375" cy="3963035"/>
                    </a:xfrm>
                    <a:prstGeom prst="rect">
                      <a:avLst/>
                    </a:prstGeom>
                  </pic:spPr>
                </pic:pic>
              </a:graphicData>
            </a:graphic>
          </wp:inline>
        </w:drawing>
      </w:r>
      <w:r>
        <w:rPr>
          <w:rFonts w:hint="eastAsia" w:eastAsiaTheme="minorEastAsia"/>
          <w:lang w:eastAsia="zh-CN"/>
        </w:rPr>
        <w:drawing>
          <wp:inline distT="0" distB="0" distL="114300" distR="114300">
            <wp:extent cx="5280660" cy="3959225"/>
            <wp:effectExtent l="0" t="0" r="15240" b="3175"/>
            <wp:docPr id="4" name="图片 4" descr="微信图片_20260310140309_133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310140309_133_31"/>
                    <pic:cNvPicPr>
                      <a:picLocks noChangeAspect="1"/>
                    </pic:cNvPicPr>
                  </pic:nvPicPr>
                  <pic:blipFill>
                    <a:blip r:embed="rId8"/>
                    <a:stretch>
                      <a:fillRect/>
                    </a:stretch>
                  </pic:blipFill>
                  <pic:spPr>
                    <a:xfrm>
                      <a:off x="0" y="0"/>
                      <a:ext cx="5280660" cy="3959225"/>
                    </a:xfrm>
                    <a:prstGeom prst="rect">
                      <a:avLst/>
                    </a:prstGeom>
                  </pic:spPr>
                </pic:pic>
              </a:graphicData>
            </a:graphic>
          </wp:inline>
        </w:drawing>
      </w:r>
    </w:p>
    <w:p w14:paraId="52D5D73D">
      <w:pPr>
        <w:keepNext/>
        <w:keepLines/>
        <w:widowControl w:val="0"/>
        <w:spacing w:before="340" w:after="330" w:line="360" w:lineRule="auto"/>
        <w:ind w:firstLine="0" w:firstLineChars="0"/>
        <w:jc w:val="center"/>
        <w:outlineLvl w:val="0"/>
        <w:rPr>
          <w:rFonts w:ascii="Times New Roman" w:hAnsi="Times New Roman" w:eastAsia="黑体" w:cs="Times New Roman"/>
          <w:b/>
          <w:color w:val="000000"/>
          <w:kern w:val="44"/>
          <w:sz w:val="44"/>
          <w:szCs w:val="20"/>
          <w:lang w:val="zh-CN" w:eastAsia="zh-CN" w:bidi="ar-SA"/>
        </w:rPr>
      </w:pPr>
      <w:bookmarkStart w:id="0" w:name="_Toc492708655"/>
      <w:bookmarkStart w:id="1" w:name="_Toc462405588"/>
      <w:bookmarkStart w:id="2" w:name="_Toc462405377"/>
      <w:bookmarkStart w:id="3" w:name="_Toc11147"/>
      <w:bookmarkStart w:id="4" w:name="_Toc462405313"/>
      <w:bookmarkStart w:id="5" w:name="_Toc483746065"/>
      <w:bookmarkStart w:id="6" w:name="_Toc39158198"/>
      <w:r>
        <w:rPr>
          <w:rFonts w:hint="eastAsia" w:ascii="Times New Roman" w:hAnsi="Times New Roman" w:eastAsia="黑体" w:cs="Times New Roman"/>
          <w:b w:val="0"/>
          <w:color w:val="000000"/>
          <w:kern w:val="2"/>
          <w:sz w:val="32"/>
          <w:szCs w:val="21"/>
          <w:lang w:val="zh-CN" w:eastAsia="zh-CN" w:bidi="ar-SA"/>
        </w:rPr>
        <w:t>第二章</w:t>
      </w:r>
      <w:r>
        <w:rPr>
          <w:rFonts w:hint="eastAsia" w:ascii="Times New Roman" w:hAnsi="Times New Roman" w:eastAsia="黑体" w:cs="Times New Roman"/>
          <w:b w:val="0"/>
          <w:color w:val="000000"/>
          <w:kern w:val="2"/>
          <w:sz w:val="32"/>
          <w:szCs w:val="21"/>
          <w:lang w:val="en-US" w:eastAsia="zh-CN" w:bidi="ar-SA"/>
        </w:rPr>
        <w:t xml:space="preserve"> </w:t>
      </w:r>
      <w:r>
        <w:rPr>
          <w:rFonts w:hint="eastAsia" w:ascii="Times New Roman" w:hAnsi="Times New Roman" w:eastAsia="黑体" w:cs="Times New Roman"/>
          <w:b w:val="0"/>
          <w:color w:val="000000"/>
          <w:kern w:val="2"/>
          <w:sz w:val="32"/>
          <w:szCs w:val="21"/>
          <w:lang w:val="zh-CN" w:eastAsia="zh-CN" w:bidi="ar-SA"/>
        </w:rPr>
        <w:t>概况</w:t>
      </w:r>
      <w:bookmarkEnd w:id="0"/>
      <w:bookmarkEnd w:id="1"/>
      <w:bookmarkEnd w:id="2"/>
      <w:bookmarkEnd w:id="3"/>
      <w:bookmarkEnd w:id="4"/>
      <w:bookmarkEnd w:id="5"/>
      <w:bookmarkEnd w:id="6"/>
    </w:p>
    <w:p w14:paraId="70AF2955">
      <w:pPr>
        <w:widowControl w:val="0"/>
        <w:snapToGrid w:val="0"/>
        <w:spacing w:before="156" w:beforeLines="50" w:after="156" w:afterLines="50" w:line="360" w:lineRule="auto"/>
        <w:jc w:val="center"/>
        <w:outlineLvl w:val="1"/>
        <w:rPr>
          <w:rFonts w:ascii="Times New Roman" w:hAnsi="Times New Roman" w:eastAsia="楷体_GB2312" w:cs="楷体_GB2312"/>
          <w:b/>
          <w:bCs/>
          <w:color w:val="000000"/>
          <w:kern w:val="2"/>
          <w:sz w:val="32"/>
          <w:szCs w:val="32"/>
          <w:lang w:val="en-US" w:eastAsia="zh-CN" w:bidi="ar-SA"/>
        </w:rPr>
      </w:pPr>
      <w:bookmarkStart w:id="7" w:name="_Toc462405589"/>
      <w:bookmarkStart w:id="8" w:name="_Toc462405378"/>
      <w:bookmarkStart w:id="9" w:name="_Toc492708656"/>
      <w:bookmarkStart w:id="10" w:name="_Toc39158199"/>
      <w:bookmarkStart w:id="11" w:name="_Toc462405314"/>
      <w:bookmarkStart w:id="12" w:name="_Toc483746066"/>
      <w:bookmarkStart w:id="13" w:name="_Toc20718"/>
      <w:r>
        <w:rPr>
          <w:rFonts w:hint="eastAsia" w:ascii="Times New Roman" w:hAnsi="Times New Roman" w:eastAsia="楷体_GB2312" w:cs="楷体_GB2312"/>
          <w:b/>
          <w:bCs/>
          <w:color w:val="000000"/>
          <w:kern w:val="2"/>
          <w:sz w:val="32"/>
          <w:szCs w:val="32"/>
          <w:lang w:val="zh-CN" w:eastAsia="zh-CN" w:bidi="ar-SA"/>
        </w:rPr>
        <w:t xml:space="preserve">第一节 </w:t>
      </w:r>
      <w:bookmarkEnd w:id="7"/>
      <w:bookmarkEnd w:id="8"/>
      <w:bookmarkEnd w:id="9"/>
      <w:bookmarkEnd w:id="10"/>
      <w:bookmarkEnd w:id="11"/>
      <w:bookmarkEnd w:id="12"/>
      <w:r>
        <w:rPr>
          <w:rFonts w:hint="eastAsia" w:ascii="Times New Roman" w:hAnsi="Times New Roman" w:eastAsia="楷体_GB2312" w:cs="楷体_GB2312"/>
          <w:b/>
          <w:bCs/>
          <w:color w:val="000000"/>
          <w:kern w:val="2"/>
          <w:sz w:val="32"/>
          <w:szCs w:val="32"/>
          <w:lang w:val="en-US" w:eastAsia="zh-CN" w:bidi="ar-SA"/>
        </w:rPr>
        <w:t>建设单位基本情况</w:t>
      </w:r>
      <w:bookmarkEnd w:id="13"/>
    </w:p>
    <w:p w14:paraId="0AD18A7B">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bookmarkStart w:id="14" w:name="_Toc39158200"/>
      <w:r>
        <w:rPr>
          <w:rFonts w:hint="eastAsia" w:ascii="Times New Roman" w:hAnsi="Times New Roman" w:eastAsia="黑体" w:cs="Times New Roman"/>
          <w:color w:val="000000"/>
          <w:sz w:val="28"/>
          <w:u w:color="000000"/>
          <w:lang w:val="en-US" w:eastAsia="zh-CN" w:bidi="ar-SA"/>
        </w:rPr>
        <w:t>一、单位名称、性质及负责人</w:t>
      </w:r>
      <w:bookmarkEnd w:id="14"/>
    </w:p>
    <w:p w14:paraId="23BA5A0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建设单位：泰安汉威集团有限公司</w:t>
      </w:r>
    </w:p>
    <w:p w14:paraId="3F1D04CE">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注册地址：泰安大汶口石膏工业园</w:t>
      </w:r>
    </w:p>
    <w:p w14:paraId="574E1E23">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法定代表人：尹燕滨</w:t>
      </w:r>
    </w:p>
    <w:p w14:paraId="6AE7139B">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注册资本：壹亿贰仟陆佰肆拾万零叁仟零壹拾壹元整</w:t>
      </w:r>
    </w:p>
    <w:p w14:paraId="3DE81AEB">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公司类型：其他有限责任公司</w:t>
      </w:r>
    </w:p>
    <w:p w14:paraId="0C5D7BB9">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二、项目基本情况</w:t>
      </w:r>
    </w:p>
    <w:p w14:paraId="79600D38">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项目名称：</w:t>
      </w:r>
      <w:bookmarkStart w:id="15" w:name="OLE_LINK1"/>
      <w:r>
        <w:rPr>
          <w:rFonts w:hint="eastAsia" w:ascii="宋体" w:hAnsi="宋体" w:eastAsia="宋体" w:cs="宋体"/>
          <w:color w:val="000000"/>
          <w:sz w:val="28"/>
          <w:szCs w:val="21"/>
        </w:rPr>
        <w:t>汉威集团产业园设备更新与技改升级项目Ⅲ—年产100t碘乙烷技改项目</w:t>
      </w:r>
    </w:p>
    <w:p w14:paraId="74E81334">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建设单位：泰安汉威集团有限公司</w:t>
      </w:r>
    </w:p>
    <w:bookmarkEnd w:id="15"/>
    <w:p w14:paraId="0635A775">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项目性质：改建危险化学品生产项目</w:t>
      </w:r>
    </w:p>
    <w:p w14:paraId="5365E6D4">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建设地址：泰安岱岳化工产业园</w:t>
      </w:r>
    </w:p>
    <w:p w14:paraId="07553D1E">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项目投资：101.77万元</w:t>
      </w:r>
    </w:p>
    <w:p w14:paraId="6C16632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项目建设主要内容：依托原中间体车间碘甲烷装置进行改造，在原设备不变的情况下新增1台3000L碘乙烷成品暂存罐；依托中间体车间东侧投料间1，内设碘乙烷灌装机（同时作为碘甲烷灌装机），新增亚硫酸钠配置釜和亚硫酸钠打料泵；储存设施及公辅设施均依托公司原有设施。</w:t>
      </w:r>
    </w:p>
    <w:p w14:paraId="31E73619">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劳动定员：该项目劳动定员11人，其中管理人员2人，操作人员9人，均为原有碘甲烷装置生产人员，不新增人员。该项目管理人员实行白班制或值班制，生产人员实行三班倒工作制，每班工作时间为8小时，全年生产时间按300天计，折合7200小时。</w:t>
      </w:r>
    </w:p>
    <w:p w14:paraId="0E133008">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本次评价对象为汉威集团产业园设备更新与技改升级项目Ⅲ—年产100t碘乙烷技改项目，建成后达到年产碘乙烷100t、年产碘甲烷400t的生产能力。该项目生产规模及产品方案见下表：</w:t>
      </w:r>
    </w:p>
    <w:p w14:paraId="1126594F">
      <w:pPr>
        <w:keepNext/>
        <w:spacing w:line="360" w:lineRule="auto"/>
        <w:ind w:firstLine="480" w:firstLineChars="200"/>
        <w:jc w:val="center"/>
        <w:outlineLvl w:val="4"/>
        <w:rPr>
          <w:rFonts w:ascii="Times New Roman" w:hAnsi="Times New Roman" w:eastAsia="黑体" w:cs="Times New Roman"/>
          <w:color w:val="000000"/>
          <w:sz w:val="24"/>
          <w:szCs w:val="28"/>
          <w:lang w:val="en-GB"/>
        </w:rPr>
      </w:pPr>
      <w:r>
        <w:rPr>
          <w:rFonts w:hint="eastAsia" w:ascii="黑体" w:hAnsi="黑体" w:eastAsia="黑体" w:cs="黑体"/>
          <w:color w:val="000000"/>
          <w:kern w:val="2"/>
          <w:sz w:val="24"/>
          <w:szCs w:val="28"/>
          <w:lang w:val="en-GB" w:eastAsia="zh-CN" w:bidi="ar-SA"/>
        </w:rPr>
        <w:t>表2.1-1 产品方案</w:t>
      </w:r>
    </w:p>
    <w:tbl>
      <w:tblPr>
        <w:tblStyle w:val="11"/>
        <w:tblW w:w="47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594"/>
        <w:gridCol w:w="2445"/>
        <w:gridCol w:w="3174"/>
      </w:tblGrid>
      <w:tr w14:paraId="057A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073CDA3C">
            <w:pPr>
              <w:spacing w:line="240" w:lineRule="auto"/>
              <w:ind w:firstLine="0" w:firstLineChars="0"/>
              <w:jc w:val="center"/>
              <w:rPr>
                <w:rFonts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1461" w:type="pct"/>
            <w:vAlign w:val="center"/>
          </w:tcPr>
          <w:p w14:paraId="448CDB8E">
            <w:pPr>
              <w:spacing w:line="240" w:lineRule="auto"/>
              <w:ind w:firstLine="0" w:firstLineChars="0"/>
              <w:jc w:val="center"/>
              <w:rPr>
                <w:rFonts w:ascii="宋体" w:hAnsi="宋体" w:eastAsia="宋体" w:cs="宋体"/>
                <w:b/>
                <w:bCs/>
                <w:color w:val="000000"/>
                <w:sz w:val="21"/>
                <w:szCs w:val="21"/>
              </w:rPr>
            </w:pPr>
            <w:r>
              <w:rPr>
                <w:rFonts w:hint="eastAsia" w:ascii="宋体" w:hAnsi="宋体" w:eastAsia="宋体" w:cs="宋体"/>
                <w:b/>
                <w:bCs/>
                <w:color w:val="000000"/>
                <w:sz w:val="21"/>
                <w:szCs w:val="21"/>
              </w:rPr>
              <w:t>产品名称</w:t>
            </w:r>
          </w:p>
        </w:tc>
        <w:tc>
          <w:tcPr>
            <w:tcW w:w="1377" w:type="pct"/>
            <w:vAlign w:val="center"/>
          </w:tcPr>
          <w:p w14:paraId="6ACFB36B">
            <w:pPr>
              <w:spacing w:line="240" w:lineRule="auto"/>
              <w:ind w:firstLine="0" w:firstLineChars="0"/>
              <w:jc w:val="center"/>
              <w:rPr>
                <w:rFonts w:ascii="宋体" w:hAnsi="宋体" w:eastAsia="宋体" w:cs="宋体"/>
                <w:b/>
                <w:bCs/>
                <w:color w:val="000000"/>
                <w:sz w:val="21"/>
                <w:szCs w:val="21"/>
              </w:rPr>
            </w:pPr>
            <w:r>
              <w:rPr>
                <w:rFonts w:hint="eastAsia" w:ascii="宋体" w:hAnsi="宋体" w:eastAsia="宋体" w:cs="宋体"/>
                <w:b/>
                <w:bCs/>
                <w:color w:val="000000"/>
                <w:sz w:val="21"/>
                <w:szCs w:val="21"/>
              </w:rPr>
              <w:t>生产规模</w:t>
            </w:r>
          </w:p>
        </w:tc>
        <w:tc>
          <w:tcPr>
            <w:tcW w:w="1788" w:type="pct"/>
            <w:vAlign w:val="center"/>
          </w:tcPr>
          <w:p w14:paraId="3D231219">
            <w:pPr>
              <w:spacing w:line="240" w:lineRule="auto"/>
              <w:ind w:firstLine="0" w:firstLineChars="0"/>
              <w:jc w:val="center"/>
              <w:rPr>
                <w:rFonts w:ascii="宋体" w:hAnsi="宋体" w:eastAsia="宋体" w:cs="宋体"/>
                <w:b/>
                <w:bCs/>
                <w:color w:val="000000"/>
                <w:sz w:val="21"/>
                <w:szCs w:val="21"/>
              </w:rPr>
            </w:pPr>
            <w:r>
              <w:rPr>
                <w:rFonts w:hint="eastAsia" w:ascii="宋体" w:hAnsi="宋体" w:eastAsia="宋体" w:cs="宋体"/>
                <w:b/>
                <w:bCs/>
                <w:color w:val="000000"/>
                <w:sz w:val="21"/>
                <w:szCs w:val="21"/>
              </w:rPr>
              <w:t>备注</w:t>
            </w:r>
          </w:p>
        </w:tc>
      </w:tr>
      <w:tr w14:paraId="2B2AD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371" w:type="pct"/>
            <w:vAlign w:val="center"/>
          </w:tcPr>
          <w:p w14:paraId="37DA1D95">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1461" w:type="pct"/>
            <w:vAlign w:val="center"/>
          </w:tcPr>
          <w:p w14:paraId="45ADAD3A">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碘乙烷</w:t>
            </w:r>
          </w:p>
        </w:tc>
        <w:tc>
          <w:tcPr>
            <w:tcW w:w="1377" w:type="pct"/>
            <w:vAlign w:val="center"/>
          </w:tcPr>
          <w:p w14:paraId="32DB6A94">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100t/a</w:t>
            </w:r>
          </w:p>
        </w:tc>
        <w:tc>
          <w:tcPr>
            <w:tcW w:w="1788" w:type="pct"/>
            <w:vAlign w:val="center"/>
          </w:tcPr>
          <w:p w14:paraId="269487CF">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产品，外售</w:t>
            </w:r>
          </w:p>
        </w:tc>
      </w:tr>
      <w:tr w14:paraId="17B77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25171933">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1461" w:type="pct"/>
            <w:shd w:val="clear" w:color="auto" w:fill="auto"/>
            <w:vAlign w:val="center"/>
          </w:tcPr>
          <w:p w14:paraId="022E7EC4">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碘甲烷</w:t>
            </w:r>
          </w:p>
        </w:tc>
        <w:tc>
          <w:tcPr>
            <w:tcW w:w="1377" w:type="pct"/>
            <w:vAlign w:val="center"/>
          </w:tcPr>
          <w:p w14:paraId="4CC1D262">
            <w:pPr>
              <w:spacing w:line="240" w:lineRule="auto"/>
              <w:ind w:firstLine="0" w:firstLineChars="0"/>
              <w:jc w:val="center"/>
              <w:rPr>
                <w:rFonts w:ascii="宋体" w:hAnsi="宋体" w:eastAsia="宋体" w:cs="宋体"/>
                <w:color w:val="000000"/>
                <w:sz w:val="21"/>
                <w:szCs w:val="21"/>
                <w:lang w:eastAsia="en-US"/>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eastAsia="en-US"/>
              </w:rPr>
              <w:t>00t/a</w:t>
            </w:r>
          </w:p>
        </w:tc>
        <w:tc>
          <w:tcPr>
            <w:tcW w:w="1788" w:type="pct"/>
            <w:vAlign w:val="center"/>
          </w:tcPr>
          <w:p w14:paraId="42B0E7C0">
            <w:pPr>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产品，外售</w:t>
            </w:r>
          </w:p>
        </w:tc>
      </w:tr>
    </w:tbl>
    <w:p w14:paraId="75108E43">
      <w:pPr>
        <w:adjustRightIn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主要建设内容与项目备案证明、安全设施专篇、试生产阶段一致性检查情况：</w:t>
      </w:r>
    </w:p>
    <w:p w14:paraId="172E8831">
      <w:pPr>
        <w:keepNext/>
        <w:adjustRightInd w:val="0"/>
        <w:snapToGrid w:val="0"/>
        <w:spacing w:line="360" w:lineRule="auto"/>
        <w:ind w:firstLine="480" w:firstLineChars="200"/>
        <w:jc w:val="center"/>
        <w:rPr>
          <w:rFonts w:ascii="Times New Roman" w:hAnsi="Times New Roman" w:eastAsia="黑体" w:cs="Times New Roman"/>
          <w:color w:val="000000"/>
          <w:sz w:val="24"/>
          <w:szCs w:val="28"/>
          <w:lang w:val="en-GB"/>
        </w:rPr>
      </w:pPr>
      <w:r>
        <w:rPr>
          <w:rFonts w:hint="eastAsia" w:ascii="黑体" w:hAnsi="黑体" w:eastAsia="黑体" w:cs="黑体"/>
          <w:color w:val="000000"/>
          <w:kern w:val="2"/>
          <w:sz w:val="24"/>
          <w:szCs w:val="28"/>
          <w:lang w:val="en-GB" w:eastAsia="zh-CN" w:bidi="ar-SA"/>
        </w:rPr>
        <w:t>表2.1-2 主要建设内容一致性</w:t>
      </w:r>
      <w:r>
        <w:rPr>
          <w:rFonts w:hint="eastAsia" w:ascii="Times New Roman" w:hAnsi="Times New Roman" w:eastAsia="黑体" w:cs="Times New Roman"/>
          <w:color w:val="000000"/>
          <w:sz w:val="24"/>
          <w:szCs w:val="28"/>
          <w:lang w:val="en-GB"/>
        </w:rPr>
        <w:t>检查</w:t>
      </w: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961"/>
        <w:gridCol w:w="1954"/>
        <w:gridCol w:w="1654"/>
        <w:gridCol w:w="1695"/>
        <w:gridCol w:w="1139"/>
      </w:tblGrid>
      <w:tr w14:paraId="689F3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921" w:type="dxa"/>
            <w:tcBorders>
              <w:tl2br w:val="nil"/>
              <w:tr2bl w:val="nil"/>
            </w:tcBorders>
          </w:tcPr>
          <w:p w14:paraId="6F2B9059">
            <w:pPr>
              <w:snapToGrid w:val="0"/>
              <w:spacing w:line="240" w:lineRule="auto"/>
              <w:ind w:firstLine="0" w:firstLineChars="0"/>
              <w:jc w:val="center"/>
              <w:textAlignment w:val="center"/>
              <w:rPr>
                <w:rFonts w:ascii="宋体" w:hAnsi="宋体" w:eastAsia="宋体" w:cs="宋体"/>
                <w:b/>
                <w:bCs/>
                <w:color w:val="000000"/>
                <w:sz w:val="21"/>
                <w:szCs w:val="21"/>
              </w:rPr>
            </w:pPr>
          </w:p>
        </w:tc>
        <w:tc>
          <w:tcPr>
            <w:tcW w:w="2046" w:type="dxa"/>
            <w:tcBorders>
              <w:tl2br w:val="nil"/>
              <w:tr2bl w:val="nil"/>
            </w:tcBorders>
          </w:tcPr>
          <w:p w14:paraId="754D8A49">
            <w:pPr>
              <w:snapToGrid w:val="0"/>
              <w:spacing w:line="240" w:lineRule="auto"/>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sz w:val="21"/>
                <w:szCs w:val="21"/>
              </w:rPr>
              <w:t>项目备案证明</w:t>
            </w:r>
          </w:p>
        </w:tc>
        <w:tc>
          <w:tcPr>
            <w:tcW w:w="2046" w:type="dxa"/>
            <w:tcBorders>
              <w:tl2br w:val="nil"/>
              <w:tr2bl w:val="nil"/>
            </w:tcBorders>
          </w:tcPr>
          <w:p w14:paraId="3ABEF859">
            <w:pPr>
              <w:snapToGrid w:val="0"/>
              <w:spacing w:line="240" w:lineRule="auto"/>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sz w:val="21"/>
                <w:szCs w:val="21"/>
              </w:rPr>
              <w:t>安全设施专篇</w:t>
            </w:r>
          </w:p>
        </w:tc>
        <w:tc>
          <w:tcPr>
            <w:tcW w:w="1723" w:type="dxa"/>
            <w:tcBorders>
              <w:tl2br w:val="nil"/>
              <w:tr2bl w:val="nil"/>
            </w:tcBorders>
          </w:tcPr>
          <w:p w14:paraId="4B4A427A">
            <w:pPr>
              <w:snapToGrid w:val="0"/>
              <w:spacing w:line="240" w:lineRule="auto"/>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sz w:val="21"/>
                <w:szCs w:val="21"/>
              </w:rPr>
              <w:t>试生产</w:t>
            </w:r>
          </w:p>
        </w:tc>
        <w:tc>
          <w:tcPr>
            <w:tcW w:w="1767" w:type="dxa"/>
            <w:tcBorders>
              <w:tl2br w:val="nil"/>
              <w:tr2bl w:val="nil"/>
            </w:tcBorders>
            <w:shd w:val="clear" w:color="auto" w:fill="auto"/>
          </w:tcPr>
          <w:p w14:paraId="7AE51B7B">
            <w:pPr>
              <w:snapToGrid w:val="0"/>
              <w:spacing w:line="240" w:lineRule="auto"/>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sz w:val="21"/>
                <w:szCs w:val="21"/>
              </w:rPr>
              <w:t>安全设施验收</w:t>
            </w:r>
          </w:p>
        </w:tc>
        <w:tc>
          <w:tcPr>
            <w:tcW w:w="1177" w:type="dxa"/>
            <w:tcBorders>
              <w:tl2br w:val="nil"/>
              <w:tr2bl w:val="nil"/>
            </w:tcBorders>
          </w:tcPr>
          <w:p w14:paraId="425C43BB">
            <w:pPr>
              <w:snapToGrid w:val="0"/>
              <w:spacing w:line="240" w:lineRule="auto"/>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sz w:val="21"/>
                <w:szCs w:val="21"/>
              </w:rPr>
              <w:t>一致性</w:t>
            </w:r>
          </w:p>
        </w:tc>
      </w:tr>
      <w:tr w14:paraId="7D406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1" w:type="dxa"/>
            <w:tcBorders>
              <w:tl2br w:val="nil"/>
              <w:tr2bl w:val="nil"/>
            </w:tcBorders>
            <w:vAlign w:val="center"/>
          </w:tcPr>
          <w:p w14:paraId="3EC5DE72">
            <w:pPr>
              <w:snapToGrid w:val="0"/>
              <w:spacing w:line="240" w:lineRule="auto"/>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主要建设内容</w:t>
            </w:r>
          </w:p>
        </w:tc>
        <w:tc>
          <w:tcPr>
            <w:tcW w:w="2046" w:type="dxa"/>
            <w:tcBorders>
              <w:tl2br w:val="nil"/>
              <w:tr2bl w:val="nil"/>
            </w:tcBorders>
            <w:vAlign w:val="center"/>
          </w:tcPr>
          <w:p w14:paraId="47F3A2BD">
            <w:pPr>
              <w:snapToGrid w:val="0"/>
              <w:spacing w:line="240" w:lineRule="auto"/>
              <w:ind w:firstLine="0" w:firstLineChars="0"/>
              <w:textAlignment w:val="center"/>
              <w:rPr>
                <w:rFonts w:ascii="宋体" w:hAnsi="宋体" w:eastAsia="宋体" w:cs="宋体"/>
                <w:color w:val="000000"/>
                <w:sz w:val="21"/>
                <w:szCs w:val="21"/>
              </w:rPr>
            </w:pPr>
            <w:r>
              <w:rPr>
                <w:rFonts w:hint="eastAsia" w:ascii="宋体" w:hAnsi="宋体" w:eastAsia="宋体" w:cs="宋体"/>
                <w:color w:val="000000"/>
                <w:sz w:val="21"/>
                <w:szCs w:val="21"/>
              </w:rPr>
              <w:t>该项目建设在厂区现有中间体车间内，不新增占地面积，为零增地；本项目共新增设备1台(套)；项目主要原材料：57%氢碘酸、乙醇等；本次技改升级利用现有碘甲烷生产线采用氢碘酸与乙醇反应经洗涤、干燥、精制得碘乙烷产品，与碘甲烷共线生产。</w:t>
            </w:r>
          </w:p>
        </w:tc>
        <w:tc>
          <w:tcPr>
            <w:tcW w:w="2046" w:type="dxa"/>
            <w:tcBorders>
              <w:tl2br w:val="nil"/>
              <w:tr2bl w:val="nil"/>
            </w:tcBorders>
            <w:vAlign w:val="center"/>
          </w:tcPr>
          <w:p w14:paraId="68B71901">
            <w:pPr>
              <w:snapToGrid w:val="0"/>
              <w:spacing w:line="240" w:lineRule="auto"/>
              <w:ind w:firstLine="0" w:firstLineChars="0"/>
              <w:textAlignment w:val="center"/>
              <w:rPr>
                <w:rFonts w:ascii="宋体" w:hAnsi="宋体" w:eastAsia="宋体" w:cs="宋体"/>
                <w:color w:val="000000"/>
                <w:sz w:val="21"/>
                <w:szCs w:val="21"/>
              </w:rPr>
            </w:pPr>
            <w:r>
              <w:rPr>
                <w:rFonts w:hint="eastAsia" w:ascii="宋体" w:hAnsi="宋体" w:eastAsia="宋体" w:cs="宋体"/>
                <w:color w:val="000000"/>
                <w:sz w:val="21"/>
                <w:szCs w:val="21"/>
              </w:rPr>
              <w:t>依托原中间体车间碘甲烷装置进行改造，在原设备不变的情况下新增1台3000L碘乙烷成品暂存罐；依托中间体车间东侧投料间1，内设乙醇打料泵（同时作为甲醇打料泵）、碘乙烷灌装机（同时作为碘甲烷灌装机），新增亚硫酸钠配置釜和亚硫酸钠打料泵；储存设施及公辅设施均依托公司原有设施。</w:t>
            </w:r>
          </w:p>
        </w:tc>
        <w:tc>
          <w:tcPr>
            <w:tcW w:w="1723" w:type="dxa"/>
            <w:tcBorders>
              <w:tl2br w:val="nil"/>
              <w:tr2bl w:val="nil"/>
            </w:tcBorders>
            <w:vAlign w:val="center"/>
          </w:tcPr>
          <w:p w14:paraId="53472E3A">
            <w:pPr>
              <w:snapToGrid w:val="0"/>
              <w:spacing w:line="240" w:lineRule="auto"/>
              <w:ind w:firstLine="0" w:firstLineChars="0"/>
              <w:textAlignment w:val="center"/>
              <w:rPr>
                <w:rFonts w:ascii="宋体" w:hAnsi="宋体" w:eastAsia="宋体" w:cs="宋体"/>
                <w:color w:val="000000"/>
                <w:sz w:val="21"/>
                <w:szCs w:val="21"/>
              </w:rPr>
            </w:pPr>
            <w:r>
              <w:rPr>
                <w:rFonts w:hint="eastAsia" w:ascii="宋体" w:hAnsi="宋体" w:eastAsia="宋体" w:cs="宋体"/>
                <w:color w:val="000000"/>
                <w:sz w:val="21"/>
                <w:szCs w:val="21"/>
              </w:rPr>
              <w:t>依托原中间体车间碘甲烷装置进行改造，在原设备不变的情况下新增1台3000L碘乙烷成品暂存罐；依托中间体车间东侧投料间1，内设乙醇打料泵（同时作为甲醇打料泵）、碘乙烷灌装机（同时作为碘甲烷灌装机），新增亚硫酸钠配置釜和亚硫酸钠打料泵；储存设施及公辅设施均依托公司原有设施。</w:t>
            </w:r>
          </w:p>
        </w:tc>
        <w:tc>
          <w:tcPr>
            <w:tcW w:w="1767" w:type="dxa"/>
            <w:tcBorders>
              <w:tl2br w:val="nil"/>
              <w:tr2bl w:val="nil"/>
            </w:tcBorders>
            <w:shd w:val="clear" w:color="auto" w:fill="auto"/>
            <w:vAlign w:val="center"/>
          </w:tcPr>
          <w:p w14:paraId="6CC5525D">
            <w:pPr>
              <w:snapToGrid w:val="0"/>
              <w:spacing w:line="240" w:lineRule="auto"/>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sz w:val="21"/>
                <w:szCs w:val="21"/>
              </w:rPr>
              <w:t>依托原中间体车间碘甲烷装置进行改造，在原设备不变的情况下新增1台3000L碘乙烷成品暂存罐；依托中间体车间东侧投料间1，内设碘乙烷灌装机（同时作为碘甲烷灌装机），新增亚硫酸钠配置釜和亚硫酸钠打料泵；乙醇由乙醇储罐经打料泵及管线进入尾气吸收罐；储存设施及公辅设施均依托公司原有设施。</w:t>
            </w:r>
          </w:p>
        </w:tc>
        <w:tc>
          <w:tcPr>
            <w:tcW w:w="1177" w:type="dxa"/>
            <w:tcBorders>
              <w:tl2br w:val="nil"/>
              <w:tr2bl w:val="nil"/>
            </w:tcBorders>
            <w:vAlign w:val="center"/>
          </w:tcPr>
          <w:p w14:paraId="68F5BE2E">
            <w:pPr>
              <w:snapToGrid w:val="0"/>
              <w:spacing w:line="240" w:lineRule="auto"/>
              <w:ind w:firstLine="0" w:firstLineChars="0"/>
              <w:rPr>
                <w:rFonts w:ascii="宋体" w:hAnsi="宋体" w:eastAsia="宋体" w:cs="宋体"/>
                <w:color w:val="000000"/>
                <w:sz w:val="21"/>
                <w:szCs w:val="21"/>
              </w:rPr>
            </w:pPr>
            <w:r>
              <w:rPr>
                <w:rFonts w:hint="eastAsia" w:ascii="宋体" w:hAnsi="宋体" w:eastAsia="宋体" w:cs="宋体"/>
                <w:color w:val="000000"/>
                <w:sz w:val="21"/>
                <w:szCs w:val="21"/>
              </w:rPr>
              <w:t>该项目验收除乙醇投料方式与安全设施专篇、试生产不一致外，其余周边环境、总平面布置、工艺技术、原料、主要设备、生产规模等与安全设施专篇、试生产</w:t>
            </w:r>
          </w:p>
          <w:p w14:paraId="368DE96A">
            <w:pPr>
              <w:snapToGrid w:val="0"/>
              <w:spacing w:line="240" w:lineRule="auto"/>
              <w:ind w:firstLine="0" w:firstLineChars="0"/>
              <w:rPr>
                <w:rFonts w:ascii="宋体" w:hAnsi="宋体" w:eastAsia="宋体" w:cs="宋体"/>
                <w:color w:val="000000"/>
                <w:sz w:val="21"/>
                <w:szCs w:val="21"/>
              </w:rPr>
            </w:pPr>
            <w:r>
              <w:rPr>
                <w:rFonts w:hint="eastAsia" w:ascii="宋体" w:hAnsi="宋体" w:eastAsia="宋体" w:cs="宋体"/>
                <w:color w:val="000000"/>
                <w:sz w:val="21"/>
                <w:szCs w:val="21"/>
              </w:rPr>
              <w:t>一致，与项目备案部分一致。</w:t>
            </w:r>
          </w:p>
        </w:tc>
      </w:tr>
    </w:tbl>
    <w:p w14:paraId="2AC67ACA">
      <w:pPr>
        <w:adjustRightInd w:val="0"/>
        <w:spacing w:line="360" w:lineRule="auto"/>
        <w:ind w:firstLine="560" w:firstLineChars="200"/>
        <w:rPr>
          <w:rFonts w:ascii="宋体" w:hAnsi="宋体" w:eastAsia="宋体" w:cs="宋体"/>
          <w:color w:val="000000"/>
          <w:sz w:val="28"/>
          <w:szCs w:val="21"/>
        </w:rPr>
      </w:pPr>
      <w:bookmarkStart w:id="16" w:name="_Toc39158201"/>
      <w:r>
        <w:rPr>
          <w:rFonts w:hint="eastAsia" w:ascii="宋体" w:hAnsi="宋体" w:eastAsia="宋体" w:cs="宋体"/>
          <w:color w:val="000000"/>
          <w:sz w:val="28"/>
          <w:szCs w:val="21"/>
        </w:rPr>
        <w:t>本项目按照《关于印发&lt;全省危险化学品安全生产 “机械化换人、自动化减人”工作方案&gt;的通知》鲁应急字(2021)135号、《山东省应急厅关于加快推进具有爆炸风险的化工装置及设施实现无人化操作的通知》鲁应急函(2023)70号及《关于推进具有爆炸风险的化工装置及设施实现无人化操作的专家会商意见(一)》的要求，在中间体车间东侧新增投料间1，将需要人员操作的桶装料打料泵及碘乙烷灌装机挪至投料间内，投料间与中间体车间之间由抗爆墙阻隔，增强了人员操作时的安全性。</w:t>
      </w:r>
    </w:p>
    <w:p w14:paraId="1B615E31">
      <w:pPr>
        <w:adjustRightIn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桶装乙醇经打料泵打料至尾气吸收罐改为由乙醇储罐经打料泵及管线进入尾气吸收罐，设计单位出具了设计更改通知单。该项目建设内容与备案内容部分一致。</w:t>
      </w:r>
    </w:p>
    <w:p w14:paraId="01674A3B">
      <w:pPr>
        <w:adjustRightInd w:val="0"/>
        <w:spacing w:line="360" w:lineRule="auto"/>
        <w:ind w:firstLine="560" w:firstLineChars="200"/>
        <w:rPr>
          <w:rFonts w:ascii="Times New Roman" w:hAnsi="Times New Roman" w:eastAsia="宋体" w:cs="Times New Roman"/>
          <w:color w:val="000000"/>
          <w:sz w:val="28"/>
          <w:szCs w:val="22"/>
        </w:rPr>
      </w:pPr>
      <w:r>
        <w:rPr>
          <w:rFonts w:hint="eastAsia" w:ascii="宋体" w:hAnsi="宋体" w:eastAsia="宋体" w:cs="宋体"/>
          <w:color w:val="000000"/>
          <w:sz w:val="28"/>
          <w:szCs w:val="21"/>
        </w:rPr>
        <w:t>企业现有安全生产许可证（（鲁）WH安许证字[2023]090049号）许可范围为：碘甲烷500吨/年、氢碘酸400吨/年、氢碘酸(中间产品)3045.16吨/年、亚硒酸钠500吨/年、硫酸二乙酯6000吨/年、乙醇1000吨/年、TM异氰酸酯混合物(TDI80%，聚合MDI20%)1500吨/年、碘酸钾1500吨/年、碘酸钙500吨/年、高碘酸钠50吨/年、碘酸铵5.5吨/年、四碘化锡10.2吨/年、碘酸锂5.5吨/年、碘酸52吨/年、碘酸(中间产品)9.55吨/年、高碘酸10吨/年、高碘酸钾10吨/年、碘酸钡0.5吨/年、碘酸钠50吨/年、碘酸钠(中间产品)67吨/年、80000吨/年甲胺(一甲胺(无水)6250吨/年，二甲胺(无水)8750吨/年，三甲胺(无水)50000吨/年，一甲胺水溶液15625吨/年，二甲胺水溶液21875吨/年)***，有效期至2026年11月20日。该项目建成后安全生产许可证许可范围中碘甲烷400吨/年、碘乙烷100吨/年，其他许可范围内容不变。</w:t>
      </w:r>
    </w:p>
    <w:p w14:paraId="72977766">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三、企业概况</w:t>
      </w:r>
      <w:bookmarkEnd w:id="16"/>
    </w:p>
    <w:p w14:paraId="37CC6636">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泰安汉威化工有限公司成立于2010年11月份，于2016年11月16日变更为泰安汉威集团有限公司。公司注册资本壹亿贰仟陆佰肆拾万零叁仟零壹拾壹元整，法人代表尹燕滨，企业类型为其他有限责任公司，注册地址为泰安大汶口石膏工业园，分为东厂区和西厂区。主要从事甜菜碱、氯化胆碱、碘化钾、碘酸钾、碘酸钙等的生产和销售。经营范围为许可项目：饲料添加剂生产；危险化学品生产；危险化学品经营；药品生产[分支机构经营]；药品批发[分支机构经营]；药品零售[分支机构经营]。（依法须经批准的项目，经相关部门批准后方可开展经营活动，具体经营项目以相关部门批准文件或许可证件为准）一般项目：饲料添加剂销售；基础化学原料制造（不含危险化学品等许可类化学品的制造）；化工产品销售（不含许可类化工产品）；技术服务、技术开发、技术咨询、技术交流、技术转让、技术推广；信息咨询服务（不含许可类信息咨询服务）；生物化工产品技术研发；市场调查（不含涉外调查）；技术进出口；货物进出口；第一类医疗器械销售；第二类医疗器械销售；机械设备销售；电子元器件与机电组件设备销售；建筑材料销售；建筑用钢筋产品销售。（除依法须经批准的项目外，凭营业执照依法自主开展经营活动）。</w:t>
      </w:r>
    </w:p>
    <w:p w14:paraId="377A090C">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公司为危险化学品生产企业，现有员工668人，企业建立了各级各类人员的安全生产责任制及各职能部门安全职责，成立了以总经理、各职能部门、安全管理部门负责人等为领导机构成员的安全生产委员会，成立了安全管理机构—安全部，任命李平泽为安全总监（中级化工安全注册安全工程师、化学工程与工艺本科），专项分管安全工作，符合《国家安全监管总局工业和信息化部关于危险化学品企业贯彻落实《国务院关于进一步加强企业安全生产工作的通知》的实施意见》（安监总管三〔2010〕186号）、《关于印发&lt;山东省生产经营单位安全总监制度实施办法&gt;的通知》（鲁政办字〔2025〕137号）及《山东省应急管理厅关于印发&lt;山东省危险化学品生产企业安全生产许可证实施细则&gt;的通知》鲁应急发〔2025〕3号的要求；另外配备了专职安全生产管理人员14人，其中10人为化工安全类中级注册安全工程师，4人为化工工程类工程师，符合《山东省生产经营单位安全生产主体责任规定》（山东省人民政府令260号令第303、311、357号修订）第十条第三款、《危险化学品生产建设项目安全风险防控指南（试行）》应急〔2022〕52号第9.3.5条第三款和第五款及安监总管三[2010]186号、《山东省应急管理厅关于印发&lt;山东省危险化学品生产企业安全生产许可证实施细则&gt;的通知》鲁应急发〔2025〕3号第3.9条的要求。</w:t>
      </w:r>
    </w:p>
    <w:p w14:paraId="5FB9EC9F">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主要负责人陈毅勤，南京化工大学化学工程本科毕业（1995年7月），一直从事化工生产工作，符合《山东省应急管理厅关于印发&lt;山东省危险化学品生产企业安全生产许可证实施细则&gt;的通知》鲁应急发〔2025〕3号第3.9条的规定。</w:t>
      </w:r>
    </w:p>
    <w:p w14:paraId="7AB772BD">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技术负责人孙绍光，山东大学应用化学本科毕业（2006年7月），一直从事化工生产工作，符合安监总局令第41号（总局令第79、89号修改）及《危险化学品生产建设项目安全风险防控指南（试行）》应急〔2022〕52号第9.3.5条第三款的规定。</w:t>
      </w:r>
    </w:p>
    <w:p w14:paraId="6AB9BAD6">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该公司设备负责人仲计康，天津大学化学工程与工艺本科毕业（2006年7月），一直从事化工生产工作，符合《危险化学品生产建设项目安全风险防控指南（试行）》应急〔2022〕52号第9.3.5条第三款的规定。</w:t>
      </w:r>
    </w:p>
    <w:p w14:paraId="72419F72">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该公司（西厂区）生产负责人解洪伟，济南大学制药工程本科毕业（2006年7月），一直从事化工生产工作，符合《危险化学品生产建设项目安全风险防控指南（试行）》应急〔2022〕52号第9.3.5条第三款的规定。</w:t>
      </w:r>
    </w:p>
    <w:p w14:paraId="5A8ED458">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东厂区）生产负责人杨林，西北民族大学化学工程与工艺本科毕业（2009年6月），一直从事化工生产工作，符合《危险化学品生产建设项目安全风险防控指南（试行）》应急〔2022〕52号第9.3.5条第三款的规定。</w:t>
      </w:r>
    </w:p>
    <w:p w14:paraId="34751E98">
      <w:pPr>
        <w:adjustRightInd w:val="0"/>
        <w:snapToGrid w:val="0"/>
        <w:spacing w:line="360" w:lineRule="auto"/>
        <w:ind w:firstLine="560" w:firstLineChars="200"/>
        <w:rPr>
          <w:rFonts w:ascii="宋体" w:hAnsi="宋体" w:eastAsia="宋体" w:cs="宋体"/>
          <w:snapToGrid w:val="0"/>
          <w:color w:val="000000"/>
          <w:sz w:val="28"/>
          <w:szCs w:val="28"/>
        </w:rPr>
      </w:pPr>
      <w:r>
        <w:rPr>
          <w:rFonts w:hint="eastAsia" w:ascii="宋体" w:hAnsi="宋体" w:eastAsia="宋体" w:cs="宋体"/>
          <w:snapToGrid w:val="0"/>
          <w:color w:val="000000"/>
          <w:sz w:val="28"/>
          <w:szCs w:val="28"/>
        </w:rPr>
        <w:t>该公司编制了安全管理制度和岗位安全生产操作规程；该公司编制了事故应急预案，并于2025年11月21日在泰安市岱岳区应急管理局备案，备案编号为3709112025070。事故应急预案包含了危险化学品（重大危险源）事故、火灾爆炸事故、中毒和窒息（危险化学品泄漏、受限空间窒息）事故、装卸环节危险化学品泄漏事故、特种设备事故、自然灾害的专项应急预案及重大危险源事故、灼烫腐蚀事故、机械伤害事故、触电事故、粉尘爆炸事故、高处坠落事故、车辆伤害事故、淹溺事故的现场处置方案；应急预案内容格式符合《生产安全事故应急预案编制导则》GB/T29639-2020的要求。</w:t>
      </w:r>
    </w:p>
    <w:p w14:paraId="0C2372E8">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snapToGrid w:val="0"/>
          <w:color w:val="000000"/>
          <w:sz w:val="28"/>
          <w:szCs w:val="28"/>
        </w:rPr>
        <w:t>该公司主要负责人、技术负责人、生产负责人、安全总监及安全生产管理人员已参加培训并考核合格，取得安全生产管理合格证，证书在有效期内。该项目涉及特种设备安全管理人员1人、焊接与热切割作业6人、高压电工作业5人、低压电工作业6人、防爆电气作业5人、化工自动化控制仪表作业5人、高处作业7人、叉车司机3人，均经过培训持证上岗，证书在有效期内。特种作业人员及特种设备作业人员的配备符合《特种作业人员安全技术培训考核管理规定》（中华人民共和国应急管理部令第19号）、《关于特种设备行政许可有关事项的公告》（市场监管总局2021年第41号公告）的要求；其他员工上岗前均经过三级安全教育和专业工种培训，并经考核合格后上岗</w:t>
      </w:r>
      <w:r>
        <w:rPr>
          <w:rFonts w:hint="eastAsia" w:ascii="宋体" w:hAnsi="宋体" w:eastAsia="宋体" w:cs="宋体"/>
          <w:color w:val="000000"/>
          <w:sz w:val="28"/>
          <w:szCs w:val="21"/>
        </w:rPr>
        <w:t>。</w:t>
      </w:r>
    </w:p>
    <w:p w14:paraId="46FBDEE9">
      <w:pPr>
        <w:widowControl w:val="0"/>
        <w:spacing w:line="360" w:lineRule="auto"/>
        <w:jc w:val="center"/>
        <w:outlineLvl w:val="4"/>
        <w:rPr>
          <w:rFonts w:ascii="黑体" w:hAnsi="黑体" w:eastAsia="黑体" w:cs="黑体"/>
          <w:color w:val="000000"/>
          <w:kern w:val="2"/>
          <w:sz w:val="24"/>
          <w:szCs w:val="28"/>
          <w:lang w:val="en-US" w:eastAsia="zh-CN" w:bidi="ar-SA"/>
        </w:rPr>
      </w:pPr>
      <w:r>
        <w:rPr>
          <w:rFonts w:ascii="黑体" w:hAnsi="黑体" w:eastAsia="黑体" w:cs="黑体"/>
          <w:color w:val="000000"/>
          <w:kern w:val="2"/>
          <w:sz w:val="24"/>
          <w:szCs w:val="28"/>
          <w:lang w:val="en-US" w:eastAsia="zh-CN" w:bidi="ar-SA"/>
        </w:rPr>
        <w:t>表2.1-</w:t>
      </w:r>
      <w:r>
        <w:rPr>
          <w:rFonts w:hint="eastAsia" w:ascii="黑体" w:hAnsi="黑体" w:eastAsia="黑体" w:cs="黑体"/>
          <w:color w:val="000000"/>
          <w:kern w:val="2"/>
          <w:sz w:val="24"/>
          <w:szCs w:val="28"/>
          <w:lang w:val="en-US" w:eastAsia="zh-CN" w:bidi="ar-SA"/>
        </w:rPr>
        <w:t>2</w:t>
      </w:r>
      <w:r>
        <w:rPr>
          <w:rFonts w:ascii="黑体" w:hAnsi="黑体" w:eastAsia="黑体" w:cs="黑体"/>
          <w:color w:val="000000"/>
          <w:kern w:val="2"/>
          <w:sz w:val="24"/>
          <w:szCs w:val="28"/>
          <w:lang w:val="en-US" w:eastAsia="zh-CN" w:bidi="ar-SA"/>
        </w:rPr>
        <w:t xml:space="preserve"> 企业基本情况表</w:t>
      </w:r>
    </w:p>
    <w:tbl>
      <w:tblPr>
        <w:tblStyle w:val="11"/>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68" w:type="dxa"/>
          <w:left w:w="57" w:type="dxa"/>
          <w:bottom w:w="68" w:type="dxa"/>
          <w:right w:w="57" w:type="dxa"/>
        </w:tblCellMar>
      </w:tblPr>
      <w:tblGrid>
        <w:gridCol w:w="3248"/>
        <w:gridCol w:w="5938"/>
      </w:tblGrid>
      <w:tr w14:paraId="2F0A4C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47A36610">
            <w:pPr>
              <w:tabs>
                <w:tab w:val="left" w:pos="255"/>
                <w:tab w:val="left" w:pos="540"/>
                <w:tab w:val="left" w:pos="600"/>
                <w:tab w:val="left" w:pos="720"/>
                <w:tab w:val="left" w:pos="1200"/>
                <w:tab w:val="left" w:pos="1440"/>
                <w:tab w:val="left" w:pos="2448"/>
                <w:tab w:val="left" w:pos="3000"/>
                <w:tab w:val="left" w:pos="3888"/>
                <w:tab w:val="left" w:pos="4800"/>
              </w:tabs>
              <w:snapToGrid w:val="0"/>
              <w:spacing w:line="240" w:lineRule="auto"/>
              <w:ind w:firstLine="0" w:firstLineChars="0"/>
              <w:jc w:val="center"/>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企业名称</w:t>
            </w:r>
          </w:p>
        </w:tc>
        <w:tc>
          <w:tcPr>
            <w:tcW w:w="6004" w:type="dxa"/>
            <w:tcBorders>
              <w:tl2br w:val="nil"/>
              <w:tr2bl w:val="nil"/>
            </w:tcBorders>
            <w:vAlign w:val="center"/>
          </w:tcPr>
          <w:p w14:paraId="628F5059">
            <w:pPr>
              <w:tabs>
                <w:tab w:val="left" w:pos="255"/>
                <w:tab w:val="left" w:pos="540"/>
                <w:tab w:val="left" w:pos="600"/>
                <w:tab w:val="left" w:pos="720"/>
                <w:tab w:val="left" w:pos="1200"/>
                <w:tab w:val="left" w:pos="1440"/>
                <w:tab w:val="left" w:pos="2448"/>
                <w:tab w:val="left" w:pos="3000"/>
                <w:tab w:val="left" w:pos="3888"/>
                <w:tab w:val="left" w:pos="4800"/>
              </w:tabs>
              <w:snapToGrid w:val="0"/>
              <w:spacing w:line="240" w:lineRule="auto"/>
              <w:ind w:firstLine="420" w:firstLineChars="200"/>
              <w:jc w:val="center"/>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泰安汉威集团有限公司</w:t>
            </w:r>
          </w:p>
        </w:tc>
      </w:tr>
      <w:tr w14:paraId="5E8F2E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392CB40F">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注册地址</w:t>
            </w:r>
          </w:p>
        </w:tc>
        <w:tc>
          <w:tcPr>
            <w:tcW w:w="6004" w:type="dxa"/>
            <w:tcBorders>
              <w:tl2br w:val="nil"/>
              <w:tr2bl w:val="nil"/>
            </w:tcBorders>
            <w:vAlign w:val="center"/>
          </w:tcPr>
          <w:p w14:paraId="03047F2A">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泰安大汶口石膏工业园</w:t>
            </w:r>
          </w:p>
        </w:tc>
      </w:tr>
      <w:tr w14:paraId="4CCEDE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35F0E53F">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企业类型</w:t>
            </w:r>
          </w:p>
        </w:tc>
        <w:tc>
          <w:tcPr>
            <w:tcW w:w="6004" w:type="dxa"/>
            <w:tcBorders>
              <w:tl2br w:val="nil"/>
              <w:tr2bl w:val="nil"/>
            </w:tcBorders>
            <w:vAlign w:val="center"/>
          </w:tcPr>
          <w:p w14:paraId="75976A1D">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有限责任公司</w:t>
            </w:r>
          </w:p>
        </w:tc>
      </w:tr>
      <w:tr w14:paraId="30A8DD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373FCFAF">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登记机关</w:t>
            </w:r>
          </w:p>
        </w:tc>
        <w:tc>
          <w:tcPr>
            <w:tcW w:w="6004" w:type="dxa"/>
            <w:tcBorders>
              <w:tl2br w:val="nil"/>
              <w:tr2bl w:val="nil"/>
            </w:tcBorders>
            <w:vAlign w:val="center"/>
          </w:tcPr>
          <w:p w14:paraId="260F3675">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泰安市行政审批服务局</w:t>
            </w:r>
          </w:p>
        </w:tc>
      </w:tr>
      <w:tr w14:paraId="468E3F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594EFD63">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注册资本</w:t>
            </w:r>
          </w:p>
        </w:tc>
        <w:tc>
          <w:tcPr>
            <w:tcW w:w="6004" w:type="dxa"/>
            <w:tcBorders>
              <w:tl2br w:val="nil"/>
              <w:tr2bl w:val="nil"/>
            </w:tcBorders>
            <w:vAlign w:val="center"/>
          </w:tcPr>
          <w:p w14:paraId="465BB07B">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壹亿贰仟陆佰肆拾万零叁仟零壹拾壹元整</w:t>
            </w:r>
          </w:p>
        </w:tc>
      </w:tr>
      <w:tr w14:paraId="6AE0C9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5A2C5210">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法定代表人</w:t>
            </w:r>
          </w:p>
        </w:tc>
        <w:tc>
          <w:tcPr>
            <w:tcW w:w="6004" w:type="dxa"/>
            <w:tcBorders>
              <w:tl2br w:val="nil"/>
              <w:tr2bl w:val="nil"/>
            </w:tcBorders>
            <w:vAlign w:val="center"/>
          </w:tcPr>
          <w:p w14:paraId="715527B2">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尹燕滨</w:t>
            </w:r>
          </w:p>
        </w:tc>
      </w:tr>
      <w:tr w14:paraId="5E3E05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4C9E4A3A">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主要负责人</w:t>
            </w:r>
          </w:p>
        </w:tc>
        <w:tc>
          <w:tcPr>
            <w:tcW w:w="6004" w:type="dxa"/>
            <w:tcBorders>
              <w:tl2br w:val="nil"/>
              <w:tr2bl w:val="nil"/>
            </w:tcBorders>
            <w:vAlign w:val="center"/>
          </w:tcPr>
          <w:p w14:paraId="6F92651D">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陈毅勤</w:t>
            </w:r>
          </w:p>
        </w:tc>
      </w:tr>
      <w:tr w14:paraId="35864D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0C701057">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职工人数</w:t>
            </w:r>
          </w:p>
        </w:tc>
        <w:tc>
          <w:tcPr>
            <w:tcW w:w="6004" w:type="dxa"/>
            <w:tcBorders>
              <w:tl2br w:val="nil"/>
              <w:tr2bl w:val="nil"/>
            </w:tcBorders>
            <w:vAlign w:val="center"/>
          </w:tcPr>
          <w:p w14:paraId="422F8ECE">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668人</w:t>
            </w:r>
          </w:p>
        </w:tc>
      </w:tr>
      <w:tr w14:paraId="087D49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7C5156D8">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安全总监</w:t>
            </w:r>
          </w:p>
        </w:tc>
        <w:tc>
          <w:tcPr>
            <w:tcW w:w="6004" w:type="dxa"/>
            <w:tcBorders>
              <w:tl2br w:val="nil"/>
              <w:tr2bl w:val="nil"/>
            </w:tcBorders>
            <w:vAlign w:val="center"/>
          </w:tcPr>
          <w:p w14:paraId="577D99AC">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1人</w:t>
            </w:r>
          </w:p>
        </w:tc>
      </w:tr>
      <w:tr w14:paraId="1D9514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8" w:type="dxa"/>
            <w:left w:w="57" w:type="dxa"/>
            <w:bottom w:w="68" w:type="dxa"/>
            <w:right w:w="57" w:type="dxa"/>
          </w:tblCellMar>
        </w:tblPrEx>
        <w:trPr>
          <w:trHeight w:val="425" w:hRule="exact"/>
          <w:jc w:val="center"/>
        </w:trPr>
        <w:tc>
          <w:tcPr>
            <w:tcW w:w="3284" w:type="dxa"/>
            <w:tcBorders>
              <w:tl2br w:val="nil"/>
              <w:tr2bl w:val="nil"/>
            </w:tcBorders>
            <w:vAlign w:val="center"/>
          </w:tcPr>
          <w:p w14:paraId="4975E02A">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专职安全管理人数</w:t>
            </w:r>
          </w:p>
        </w:tc>
        <w:tc>
          <w:tcPr>
            <w:tcW w:w="6004" w:type="dxa"/>
            <w:tcBorders>
              <w:tl2br w:val="nil"/>
              <w:tr2bl w:val="nil"/>
            </w:tcBorders>
            <w:vAlign w:val="center"/>
          </w:tcPr>
          <w:p w14:paraId="4A258CBD">
            <w:pPr>
              <w:widowControl w:val="0"/>
              <w:autoSpaceDE w:val="0"/>
              <w:autoSpaceDN w:val="0"/>
              <w:adjustRightInd w:val="0"/>
              <w:snapToGrid w:val="0"/>
              <w:spacing w:line="240" w:lineRule="auto"/>
              <w:ind w:firstLine="420" w:firstLineChars="200"/>
              <w:jc w:val="center"/>
              <w:rPr>
                <w:rFonts w:ascii="宋体" w:hAnsi="宋体" w:eastAsia="宋体" w:cs="仿宋_GB2312"/>
                <w:color w:val="000000"/>
                <w:kern w:val="2"/>
                <w:sz w:val="21"/>
                <w:szCs w:val="21"/>
                <w:lang w:val="en-US" w:eastAsia="zh-CN" w:bidi="ar-SA"/>
              </w:rPr>
            </w:pPr>
            <w:r>
              <w:rPr>
                <w:rFonts w:hint="eastAsia" w:ascii="宋体" w:hAnsi="宋体" w:eastAsia="宋体" w:cs="仿宋_GB2312"/>
                <w:color w:val="000000"/>
                <w:kern w:val="2"/>
                <w:sz w:val="21"/>
                <w:szCs w:val="21"/>
                <w:lang w:val="en-US" w:eastAsia="zh-CN" w:bidi="ar-SA"/>
              </w:rPr>
              <w:t>14人</w:t>
            </w:r>
          </w:p>
        </w:tc>
      </w:tr>
    </w:tbl>
    <w:p w14:paraId="7B42B359">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四、与设立安全评价报告、安全设施设计专篇的符合性</w:t>
      </w:r>
    </w:p>
    <w:p w14:paraId="48E751C5">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根据《危险化学品建设项目安全监督管理办法》（国家安全生产监督管理总局令[2012]第45号）（第79号令修改），对照《泰安汉威集团有限公司汉威集团产业园设备更新与技改升级项目Ⅲ—年产100t碘乙烷技改项目设立安全评价报告》（山东鲁建安全技术有限公司，2025年5月编制）、《泰安汉威集团有限公司汉威集团产业园设备更新与技改升级项目Ⅲ—年产100t碘乙烷技改项目安全设施设计专篇》（山东鲁新设计工程股份有限公司，2025年7月编制），对该项目的以下情况进行检查：</w:t>
      </w:r>
    </w:p>
    <w:p w14:paraId="6D38D6E5">
      <w:pPr>
        <w:keepNext/>
        <w:widowControl w:val="0"/>
        <w:spacing w:line="360" w:lineRule="auto"/>
        <w:jc w:val="center"/>
        <w:outlineLvl w:val="4"/>
        <w:rPr>
          <w:rFonts w:ascii="黑体" w:hAnsi="黑体" w:eastAsia="黑体" w:cs="黑体"/>
          <w:color w:val="000000"/>
          <w:kern w:val="2"/>
          <w:sz w:val="24"/>
          <w:szCs w:val="28"/>
          <w:lang w:val="en-US" w:eastAsia="zh-CN" w:bidi="ar-SA"/>
        </w:rPr>
      </w:pPr>
      <w:r>
        <w:rPr>
          <w:rFonts w:hint="eastAsia" w:ascii="黑体" w:hAnsi="黑体" w:eastAsia="黑体" w:cs="黑体"/>
          <w:color w:val="000000"/>
          <w:kern w:val="2"/>
          <w:sz w:val="24"/>
          <w:szCs w:val="28"/>
          <w:lang w:val="en-GB" w:eastAsia="zh-CN" w:bidi="ar-SA"/>
        </w:rPr>
        <w:t>表2.1-3 项目现场与通过的《设</w:t>
      </w:r>
      <w:r>
        <w:rPr>
          <w:rFonts w:hint="eastAsia" w:ascii="Times New Roman" w:hAnsi="Times New Roman" w:eastAsia="黑体" w:cs="Times New Roman"/>
          <w:color w:val="000000"/>
          <w:kern w:val="2"/>
          <w:sz w:val="24"/>
          <w:szCs w:val="28"/>
          <w:lang w:val="en-US" w:eastAsia="zh-CN" w:bidi="ar-SA"/>
        </w:rPr>
        <w:t>立安全评价报告》、</w:t>
      </w:r>
      <w:r>
        <w:rPr>
          <w:rFonts w:hint="eastAsia" w:ascii="黑体" w:hAnsi="黑体" w:eastAsia="黑体" w:cs="黑体"/>
          <w:color w:val="000000"/>
          <w:kern w:val="2"/>
          <w:sz w:val="24"/>
          <w:szCs w:val="28"/>
          <w:lang w:val="en-US" w:eastAsia="zh-CN" w:bidi="ar-SA"/>
        </w:rPr>
        <w:t>《安全设施设计专篇》的一致性</w:t>
      </w:r>
    </w:p>
    <w:tbl>
      <w:tblPr>
        <w:tblStyle w:val="11"/>
        <w:tblW w:w="9298" w:type="dxa"/>
        <w:jc w:val="center"/>
        <w:tblLayout w:type="fixed"/>
        <w:tblCellMar>
          <w:top w:w="0" w:type="dxa"/>
          <w:left w:w="108" w:type="dxa"/>
          <w:bottom w:w="0" w:type="dxa"/>
          <w:right w:w="108" w:type="dxa"/>
        </w:tblCellMar>
      </w:tblPr>
      <w:tblGrid>
        <w:gridCol w:w="4537"/>
        <w:gridCol w:w="4761"/>
      </w:tblGrid>
      <w:tr w14:paraId="2373A30C">
        <w:tblPrEx>
          <w:tblCellMar>
            <w:top w:w="0" w:type="dxa"/>
            <w:left w:w="108" w:type="dxa"/>
            <w:bottom w:w="0" w:type="dxa"/>
            <w:right w:w="108" w:type="dxa"/>
          </w:tblCellMar>
        </w:tblPrEx>
        <w:trPr>
          <w:trHeight w:val="725" w:hRule="atLeast"/>
          <w:jc w:val="center"/>
        </w:trPr>
        <w:tc>
          <w:tcPr>
            <w:tcW w:w="4537" w:type="dxa"/>
            <w:tcBorders>
              <w:top w:val="single" w:color="000000" w:sz="12"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3898F159">
            <w:pPr>
              <w:snapToGrid w:val="0"/>
              <w:spacing w:line="240" w:lineRule="auto"/>
              <w:ind w:firstLine="0" w:firstLineChars="0"/>
              <w:jc w:val="center"/>
              <w:rPr>
                <w:rFonts w:ascii="Times New Roman" w:hAnsi="Times New Roman" w:eastAsia="宋体" w:cs="Times New Roman"/>
                <w:b/>
                <w:color w:val="000000"/>
                <w:sz w:val="21"/>
                <w:szCs w:val="22"/>
              </w:rPr>
            </w:pPr>
            <w:r>
              <w:rPr>
                <w:rFonts w:hint="eastAsia" w:ascii="Times New Roman" w:hAnsi="Times New Roman" w:eastAsia="宋体" w:cs="Times New Roman"/>
                <w:b/>
                <w:color w:val="000000"/>
                <w:sz w:val="21"/>
                <w:szCs w:val="22"/>
              </w:rPr>
              <w:t>《危险化学品建设项目安全监督管理办法》</w:t>
            </w:r>
          </w:p>
          <w:p w14:paraId="5E6FBB5F">
            <w:pPr>
              <w:snapToGrid w:val="0"/>
              <w:spacing w:line="240" w:lineRule="auto"/>
              <w:ind w:firstLine="0" w:firstLineChars="0"/>
              <w:jc w:val="center"/>
              <w:rPr>
                <w:rFonts w:ascii="Times New Roman" w:hAnsi="Times New Roman" w:eastAsia="宋体" w:cs="Times New Roman"/>
                <w:b/>
                <w:color w:val="000000"/>
                <w:sz w:val="21"/>
                <w:szCs w:val="22"/>
              </w:rPr>
            </w:pPr>
            <w:r>
              <w:rPr>
                <w:rFonts w:hint="eastAsia" w:ascii="Times New Roman" w:hAnsi="Times New Roman" w:eastAsia="宋体" w:cs="Times New Roman"/>
                <w:b/>
                <w:color w:val="000000"/>
                <w:sz w:val="21"/>
                <w:szCs w:val="22"/>
              </w:rPr>
              <w:t>第十四条</w:t>
            </w:r>
          </w:p>
        </w:tc>
        <w:tc>
          <w:tcPr>
            <w:tcW w:w="4761" w:type="dxa"/>
            <w:tcBorders>
              <w:top w:val="single" w:color="000000" w:sz="12" w:space="0"/>
              <w:left w:val="single" w:color="000000" w:sz="4" w:space="0"/>
              <w:bottom w:val="single" w:color="000000" w:sz="4" w:space="0"/>
              <w:right w:val="single" w:color="000000" w:sz="12" w:space="0"/>
            </w:tcBorders>
            <w:tcMar>
              <w:top w:w="0" w:type="dxa"/>
              <w:left w:w="108" w:type="dxa"/>
              <w:bottom w:w="0" w:type="dxa"/>
              <w:right w:w="108" w:type="dxa"/>
            </w:tcMar>
            <w:vAlign w:val="center"/>
          </w:tcPr>
          <w:p w14:paraId="7F7415C2">
            <w:pPr>
              <w:snapToGrid w:val="0"/>
              <w:spacing w:line="240" w:lineRule="auto"/>
              <w:ind w:firstLine="0" w:firstLineChars="0"/>
              <w:jc w:val="center"/>
              <w:rPr>
                <w:rFonts w:ascii="Times New Roman" w:hAnsi="Times New Roman" w:eastAsia="宋体" w:cs="Times New Roman"/>
                <w:b/>
                <w:color w:val="000000"/>
                <w:sz w:val="21"/>
                <w:szCs w:val="22"/>
              </w:rPr>
            </w:pPr>
            <w:r>
              <w:rPr>
                <w:rFonts w:ascii="Times New Roman" w:hAnsi="Times New Roman" w:eastAsia="宋体" w:cs="Times New Roman"/>
                <w:b/>
                <w:color w:val="000000"/>
                <w:sz w:val="21"/>
                <w:szCs w:val="22"/>
              </w:rPr>
              <w:t>与通过的《设立安全评价报告》的一致性检查</w:t>
            </w:r>
          </w:p>
        </w:tc>
      </w:tr>
      <w:tr w14:paraId="3E528AE0">
        <w:tblPrEx>
          <w:tblCellMar>
            <w:top w:w="0" w:type="dxa"/>
            <w:left w:w="108" w:type="dxa"/>
            <w:bottom w:w="0" w:type="dxa"/>
            <w:right w:w="108" w:type="dxa"/>
          </w:tblCellMar>
        </w:tblPrEx>
        <w:trPr>
          <w:trHeight w:val="477"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2642C8AC">
            <w:pPr>
              <w:snapToGrid w:val="0"/>
              <w:spacing w:line="240" w:lineRule="auto"/>
              <w:ind w:firstLine="0" w:firstLineChars="0"/>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（一）</w:t>
            </w:r>
            <w:r>
              <w:rPr>
                <w:rFonts w:hint="eastAsia" w:ascii="Times New Roman" w:hAnsi="Times New Roman" w:eastAsia="宋体" w:cs="Times New Roman"/>
                <w:color w:val="000000"/>
                <w:sz w:val="21"/>
                <w:szCs w:val="22"/>
              </w:rPr>
              <w:t>建设项目周边条件发生重大变化的</w:t>
            </w:r>
            <w:r>
              <w:rPr>
                <w:rFonts w:ascii="Times New Roman" w:hAnsi="Times New Roman" w:eastAsia="宋体" w:cs="Times New Roman"/>
                <w:color w:val="000000"/>
                <w:sz w:val="21"/>
                <w:szCs w:val="22"/>
              </w:rPr>
              <w:t>；</w:t>
            </w:r>
          </w:p>
        </w:tc>
        <w:tc>
          <w:tcPr>
            <w:tcW w:w="4761" w:type="dxa"/>
            <w:tcBorders>
              <w:top w:val="single" w:color="000000" w:sz="4" w:space="0"/>
              <w:left w:val="single" w:color="000000" w:sz="4" w:space="0"/>
              <w:bottom w:val="single" w:color="000000" w:sz="4" w:space="0"/>
              <w:right w:val="single" w:color="000000" w:sz="12" w:space="0"/>
            </w:tcBorders>
            <w:shd w:val="clear" w:color="auto" w:fill="auto"/>
            <w:tcMar>
              <w:top w:w="0" w:type="dxa"/>
              <w:left w:w="108" w:type="dxa"/>
              <w:bottom w:w="0" w:type="dxa"/>
              <w:right w:w="108" w:type="dxa"/>
            </w:tcMar>
            <w:vAlign w:val="center"/>
          </w:tcPr>
          <w:p w14:paraId="6B1922A2">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建设项目周边条件未发生重大变化</w:t>
            </w:r>
            <w:r>
              <w:rPr>
                <w:rFonts w:ascii="Times New Roman" w:hAnsi="Times New Roman" w:eastAsia="宋体" w:cs="Times New Roman"/>
                <w:color w:val="000000"/>
                <w:sz w:val="21"/>
                <w:szCs w:val="22"/>
              </w:rPr>
              <w:t>；</w:t>
            </w:r>
          </w:p>
        </w:tc>
      </w:tr>
      <w:tr w14:paraId="2030FEE6">
        <w:tblPrEx>
          <w:tblCellMar>
            <w:top w:w="0" w:type="dxa"/>
            <w:left w:w="108" w:type="dxa"/>
            <w:bottom w:w="0" w:type="dxa"/>
            <w:right w:w="108" w:type="dxa"/>
          </w:tblCellMar>
        </w:tblPrEx>
        <w:trPr>
          <w:trHeight w:val="432"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7FA68E1C">
            <w:pPr>
              <w:snapToGrid w:val="0"/>
              <w:spacing w:line="240" w:lineRule="auto"/>
              <w:ind w:firstLine="0" w:firstLineChars="0"/>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（二）变更建设地址的；</w:t>
            </w:r>
          </w:p>
        </w:tc>
        <w:tc>
          <w:tcPr>
            <w:tcW w:w="4761" w:type="dxa"/>
            <w:tcBorders>
              <w:top w:val="single" w:color="000000" w:sz="4" w:space="0"/>
              <w:left w:val="single" w:color="000000" w:sz="4" w:space="0"/>
              <w:bottom w:val="single" w:color="000000" w:sz="4" w:space="0"/>
              <w:right w:val="single" w:color="000000" w:sz="12" w:space="0"/>
            </w:tcBorders>
            <w:shd w:val="clear" w:color="auto" w:fill="auto"/>
            <w:tcMar>
              <w:top w:w="0" w:type="dxa"/>
              <w:left w:w="108" w:type="dxa"/>
              <w:bottom w:w="0" w:type="dxa"/>
              <w:right w:w="108" w:type="dxa"/>
            </w:tcMar>
            <w:vAlign w:val="center"/>
          </w:tcPr>
          <w:p w14:paraId="33A6C71A">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未</w:t>
            </w:r>
            <w:r>
              <w:rPr>
                <w:rFonts w:ascii="Times New Roman" w:hAnsi="Times New Roman" w:eastAsia="宋体" w:cs="Times New Roman"/>
                <w:color w:val="000000"/>
                <w:sz w:val="21"/>
                <w:szCs w:val="22"/>
              </w:rPr>
              <w:t>变更建设地址；</w:t>
            </w:r>
          </w:p>
        </w:tc>
      </w:tr>
      <w:tr w14:paraId="3806D835">
        <w:tblPrEx>
          <w:tblCellMar>
            <w:top w:w="0" w:type="dxa"/>
            <w:left w:w="108" w:type="dxa"/>
            <w:bottom w:w="0" w:type="dxa"/>
            <w:right w:w="108" w:type="dxa"/>
          </w:tblCellMar>
        </w:tblPrEx>
        <w:trPr>
          <w:trHeight w:val="725"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12AF77DA">
            <w:pPr>
              <w:snapToGrid w:val="0"/>
              <w:spacing w:line="240" w:lineRule="auto"/>
              <w:ind w:firstLine="0" w:firstLineChars="0"/>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（三）主要技术、工艺路线、产品方案或者装置规模发生重大变化的；</w:t>
            </w:r>
          </w:p>
        </w:tc>
        <w:tc>
          <w:tcPr>
            <w:tcW w:w="4761" w:type="dxa"/>
            <w:tcBorders>
              <w:top w:val="single" w:color="000000" w:sz="4" w:space="0"/>
              <w:left w:val="single" w:color="000000" w:sz="4" w:space="0"/>
              <w:bottom w:val="single" w:color="000000" w:sz="4" w:space="0"/>
              <w:right w:val="single" w:color="000000" w:sz="12" w:space="0"/>
            </w:tcBorders>
            <w:shd w:val="clear" w:color="auto" w:fill="auto"/>
            <w:tcMar>
              <w:top w:w="0" w:type="dxa"/>
              <w:left w:w="108" w:type="dxa"/>
              <w:bottom w:w="0" w:type="dxa"/>
              <w:right w:w="108" w:type="dxa"/>
            </w:tcMar>
            <w:vAlign w:val="center"/>
          </w:tcPr>
          <w:p w14:paraId="7095A5CF">
            <w:pPr>
              <w:snapToGrid w:val="0"/>
              <w:spacing w:line="240" w:lineRule="auto"/>
              <w:ind w:firstLine="0" w:firstLineChars="0"/>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主要技术、工艺路线、产品方案或者装置规模</w:t>
            </w:r>
            <w:r>
              <w:rPr>
                <w:rFonts w:hint="eastAsia" w:ascii="Times New Roman" w:hAnsi="Times New Roman" w:eastAsia="宋体" w:cs="Times New Roman"/>
                <w:color w:val="000000"/>
                <w:sz w:val="21"/>
                <w:szCs w:val="22"/>
              </w:rPr>
              <w:t>未</w:t>
            </w:r>
            <w:r>
              <w:rPr>
                <w:rFonts w:ascii="Times New Roman" w:hAnsi="Times New Roman" w:eastAsia="宋体" w:cs="Times New Roman"/>
                <w:color w:val="000000"/>
                <w:sz w:val="21"/>
                <w:szCs w:val="22"/>
              </w:rPr>
              <w:t>发生变化；</w:t>
            </w:r>
          </w:p>
        </w:tc>
      </w:tr>
      <w:tr w14:paraId="1893420D">
        <w:tblPrEx>
          <w:tblCellMar>
            <w:top w:w="0" w:type="dxa"/>
            <w:left w:w="108" w:type="dxa"/>
            <w:bottom w:w="0" w:type="dxa"/>
            <w:right w:w="108" w:type="dxa"/>
          </w:tblCellMar>
        </w:tblPrEx>
        <w:trPr>
          <w:trHeight w:val="725"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79A13334">
            <w:pPr>
              <w:snapToGrid w:val="0"/>
              <w:spacing w:line="240" w:lineRule="auto"/>
              <w:ind w:firstLine="0" w:firstLineChars="0"/>
              <w:rPr>
                <w:rFonts w:ascii="Times New Roman" w:hAnsi="Times New Roman" w:eastAsia="宋体" w:cs="Times New Roman"/>
                <w:color w:val="000000"/>
                <w:sz w:val="21"/>
                <w:szCs w:val="22"/>
              </w:rPr>
            </w:pPr>
            <w:r>
              <w:rPr>
                <w:rFonts w:ascii="Times New Roman" w:hAnsi="Times New Roman" w:eastAsia="宋体" w:cs="Times New Roman"/>
                <w:color w:val="000000"/>
                <w:sz w:val="21"/>
                <w:szCs w:val="22"/>
              </w:rPr>
              <w:t>（四）</w:t>
            </w:r>
            <w:r>
              <w:rPr>
                <w:rFonts w:hint="eastAsia" w:ascii="Times New Roman" w:hAnsi="Times New Roman" w:eastAsia="宋体" w:cs="Times New Roman"/>
                <w:color w:val="000000"/>
                <w:sz w:val="21"/>
                <w:szCs w:val="22"/>
              </w:rPr>
              <w:t>建设项目在安全条件审查意见书有效期内未开工建设，期限届满后需要开工建设的</w:t>
            </w:r>
            <w:r>
              <w:rPr>
                <w:rFonts w:ascii="Times New Roman" w:hAnsi="Times New Roman" w:eastAsia="宋体" w:cs="Times New Roman"/>
                <w:color w:val="000000"/>
                <w:sz w:val="21"/>
                <w:szCs w:val="22"/>
              </w:rPr>
              <w:t>；</w:t>
            </w:r>
          </w:p>
        </w:tc>
        <w:tc>
          <w:tcPr>
            <w:tcW w:w="4761" w:type="dxa"/>
            <w:tcBorders>
              <w:top w:val="single" w:color="000000" w:sz="4" w:space="0"/>
              <w:left w:val="single" w:color="000000" w:sz="4" w:space="0"/>
              <w:bottom w:val="single" w:color="000000" w:sz="4" w:space="0"/>
              <w:right w:val="single" w:color="000000" w:sz="12" w:space="0"/>
            </w:tcBorders>
            <w:shd w:val="clear" w:color="auto" w:fill="auto"/>
            <w:tcMar>
              <w:top w:w="0" w:type="dxa"/>
              <w:left w:w="108" w:type="dxa"/>
              <w:bottom w:w="0" w:type="dxa"/>
              <w:right w:w="108" w:type="dxa"/>
            </w:tcMar>
            <w:vAlign w:val="center"/>
          </w:tcPr>
          <w:p w14:paraId="38365CCF">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建设项目在安全条件审查意见书有效期内开工建设完成</w:t>
            </w:r>
            <w:r>
              <w:rPr>
                <w:rFonts w:ascii="Times New Roman" w:hAnsi="Times New Roman" w:eastAsia="宋体" w:cs="Times New Roman"/>
                <w:color w:val="000000"/>
                <w:sz w:val="21"/>
                <w:szCs w:val="22"/>
              </w:rPr>
              <w:t>；</w:t>
            </w:r>
          </w:p>
        </w:tc>
      </w:tr>
      <w:tr w14:paraId="2EA0A395">
        <w:tblPrEx>
          <w:tblCellMar>
            <w:top w:w="0" w:type="dxa"/>
            <w:left w:w="108" w:type="dxa"/>
            <w:bottom w:w="0" w:type="dxa"/>
            <w:right w:w="108" w:type="dxa"/>
          </w:tblCellMar>
        </w:tblPrEx>
        <w:trPr>
          <w:trHeight w:val="725"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64599FD2">
            <w:pPr>
              <w:snapToGrid w:val="0"/>
              <w:spacing w:line="240" w:lineRule="auto"/>
              <w:ind w:firstLine="0" w:firstLineChars="0"/>
              <w:jc w:val="center"/>
              <w:rPr>
                <w:rFonts w:ascii="Times New Roman" w:hAnsi="Times New Roman" w:eastAsia="宋体" w:cs="Times New Roman"/>
                <w:b/>
                <w:color w:val="000000"/>
                <w:sz w:val="21"/>
                <w:szCs w:val="22"/>
              </w:rPr>
            </w:pPr>
            <w:r>
              <w:rPr>
                <w:rFonts w:hint="eastAsia" w:ascii="Times New Roman" w:hAnsi="Times New Roman" w:eastAsia="宋体" w:cs="Times New Roman"/>
                <w:b/>
                <w:color w:val="000000"/>
                <w:sz w:val="21"/>
                <w:szCs w:val="22"/>
              </w:rPr>
              <w:t>《危险化学品建设项目安全监督管理办法》</w:t>
            </w:r>
          </w:p>
          <w:p w14:paraId="5D5536D8">
            <w:pPr>
              <w:snapToGrid w:val="0"/>
              <w:spacing w:line="240" w:lineRule="auto"/>
              <w:ind w:firstLine="0" w:firstLineChars="0"/>
              <w:jc w:val="center"/>
              <w:rPr>
                <w:rFonts w:ascii="Times New Roman" w:hAnsi="Times New Roman" w:eastAsia="宋体" w:cs="Times New Roman"/>
                <w:color w:val="000000"/>
                <w:sz w:val="21"/>
                <w:szCs w:val="22"/>
              </w:rPr>
            </w:pPr>
            <w:r>
              <w:rPr>
                <w:rFonts w:hint="eastAsia" w:ascii="Times New Roman" w:hAnsi="Times New Roman" w:eastAsia="宋体" w:cs="Times New Roman"/>
                <w:b/>
                <w:color w:val="000000"/>
                <w:sz w:val="21"/>
                <w:szCs w:val="22"/>
              </w:rPr>
              <w:t>第二十条</w:t>
            </w:r>
          </w:p>
        </w:tc>
        <w:tc>
          <w:tcPr>
            <w:tcW w:w="476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14:paraId="2925EA77">
            <w:pPr>
              <w:snapToGrid w:val="0"/>
              <w:spacing w:line="240" w:lineRule="auto"/>
              <w:ind w:firstLine="0" w:firstLineChars="0"/>
              <w:jc w:val="center"/>
              <w:rPr>
                <w:rFonts w:ascii="Times New Roman" w:hAnsi="Times New Roman" w:eastAsia="宋体" w:cs="Times New Roman"/>
                <w:color w:val="000000"/>
                <w:sz w:val="21"/>
                <w:szCs w:val="22"/>
              </w:rPr>
            </w:pPr>
            <w:r>
              <w:rPr>
                <w:rFonts w:hint="eastAsia" w:ascii="Times New Roman" w:hAnsi="Times New Roman" w:eastAsia="宋体" w:cs="Times New Roman"/>
                <w:b/>
                <w:color w:val="000000"/>
                <w:sz w:val="21"/>
                <w:szCs w:val="22"/>
              </w:rPr>
              <w:t>与通过的《安全设施设计专篇》的一致性检查</w:t>
            </w:r>
          </w:p>
        </w:tc>
      </w:tr>
      <w:tr w14:paraId="41D45C74">
        <w:tblPrEx>
          <w:tblCellMar>
            <w:top w:w="0" w:type="dxa"/>
            <w:left w:w="108" w:type="dxa"/>
            <w:bottom w:w="0" w:type="dxa"/>
            <w:right w:w="108" w:type="dxa"/>
          </w:tblCellMar>
        </w:tblPrEx>
        <w:trPr>
          <w:trHeight w:val="725"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63B0687D">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（一）</w:t>
            </w:r>
            <w:r>
              <w:rPr>
                <w:rFonts w:ascii="Times New Roman" w:hAnsi="Times New Roman" w:eastAsia="宋体" w:cs="Times New Roman"/>
                <w:color w:val="000000"/>
                <w:sz w:val="21"/>
                <w:szCs w:val="22"/>
              </w:rPr>
              <w:t>改变安全设施设计且可能降低安全性能的</w:t>
            </w:r>
          </w:p>
        </w:tc>
        <w:tc>
          <w:tcPr>
            <w:tcW w:w="476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14:paraId="01A569B1">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设计单位出具了设计变更，未降低安全性能。</w:t>
            </w:r>
          </w:p>
        </w:tc>
      </w:tr>
      <w:tr w14:paraId="16DDA36B">
        <w:tblPrEx>
          <w:tblCellMar>
            <w:top w:w="0" w:type="dxa"/>
            <w:left w:w="108" w:type="dxa"/>
            <w:bottom w:w="0" w:type="dxa"/>
            <w:right w:w="108" w:type="dxa"/>
          </w:tblCellMar>
        </w:tblPrEx>
        <w:trPr>
          <w:trHeight w:val="725" w:hRule="atLeast"/>
          <w:jc w:val="center"/>
        </w:trPr>
        <w:tc>
          <w:tcPr>
            <w:tcW w:w="453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14:paraId="0AEBADFB">
            <w:pPr>
              <w:snapToGrid w:val="0"/>
              <w:spacing w:line="240" w:lineRule="auto"/>
              <w:ind w:firstLine="0" w:firstLineChars="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（二）</w:t>
            </w:r>
            <w:r>
              <w:rPr>
                <w:rFonts w:ascii="Times New Roman" w:hAnsi="Times New Roman" w:eastAsia="宋体" w:cs="Times New Roman"/>
                <w:color w:val="000000"/>
                <w:sz w:val="21"/>
                <w:szCs w:val="22"/>
              </w:rPr>
              <w:t>在施工期间重新设计的</w:t>
            </w:r>
          </w:p>
        </w:tc>
        <w:tc>
          <w:tcPr>
            <w:tcW w:w="476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14:paraId="0E7E1AFA">
            <w:pPr>
              <w:snapToGrid w:val="0"/>
              <w:spacing w:line="240" w:lineRule="auto"/>
              <w:ind w:firstLine="0" w:firstLineChars="0"/>
              <w:jc w:val="left"/>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施工期间未重新设计。</w:t>
            </w:r>
          </w:p>
        </w:tc>
      </w:tr>
      <w:tr w14:paraId="6B0DAC28">
        <w:tblPrEx>
          <w:tblCellMar>
            <w:top w:w="0" w:type="dxa"/>
            <w:left w:w="108" w:type="dxa"/>
            <w:bottom w:w="0" w:type="dxa"/>
            <w:right w:w="108" w:type="dxa"/>
          </w:tblCellMar>
        </w:tblPrEx>
        <w:trPr>
          <w:trHeight w:val="725" w:hRule="atLeast"/>
          <w:jc w:val="center"/>
        </w:trPr>
        <w:tc>
          <w:tcPr>
            <w:tcW w:w="9298" w:type="dxa"/>
            <w:gridSpan w:val="2"/>
            <w:tcBorders>
              <w:top w:val="single" w:color="000000" w:sz="4" w:space="0"/>
              <w:left w:val="single" w:color="000000" w:sz="12" w:space="0"/>
              <w:bottom w:val="single" w:color="000000" w:sz="4" w:space="0"/>
              <w:right w:val="single" w:color="000000" w:sz="12" w:space="0"/>
            </w:tcBorders>
            <w:tcMar>
              <w:top w:w="0" w:type="dxa"/>
              <w:left w:w="108" w:type="dxa"/>
              <w:bottom w:w="0" w:type="dxa"/>
              <w:right w:w="108" w:type="dxa"/>
            </w:tcMar>
            <w:vAlign w:val="center"/>
          </w:tcPr>
          <w:p w14:paraId="4FD2F4FF">
            <w:pPr>
              <w:snapToGrid w:val="0"/>
              <w:spacing w:line="240" w:lineRule="auto"/>
              <w:ind w:firstLine="420" w:firstLineChars="200"/>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结论：该建设项目的规模、生产工艺、原料、设备未发生重大变更，在施工期间没有降低安全性能的安全设施设计变化，施工期间未重新设计；该项目不需要重新申请安全设施设计专篇审查。</w:t>
            </w:r>
          </w:p>
        </w:tc>
      </w:tr>
    </w:tbl>
    <w:p w14:paraId="06926C5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该项目安全设施设计变更内容如下：</w:t>
      </w:r>
    </w:p>
    <w:p w14:paraId="3A5368E0">
      <w:pPr>
        <w:keepNext/>
        <w:widowControl w:val="0"/>
        <w:adjustRightInd w:val="0"/>
        <w:snapToGrid w:val="0"/>
        <w:jc w:val="center"/>
        <w:outlineLvl w:val="4"/>
        <w:rPr>
          <w:rFonts w:ascii="黑体" w:hAnsi="黑体" w:eastAsia="黑体" w:cs="黑体"/>
          <w:color w:val="000000"/>
          <w:kern w:val="2"/>
          <w:sz w:val="24"/>
          <w:szCs w:val="28"/>
          <w:lang w:val="en-US" w:eastAsia="zh-CN" w:bidi="ar-SA"/>
        </w:rPr>
      </w:pPr>
      <w:r>
        <w:rPr>
          <w:rFonts w:hint="eastAsia" w:ascii="黑体" w:hAnsi="黑体" w:eastAsia="黑体" w:cs="黑体"/>
          <w:color w:val="000000"/>
          <w:kern w:val="2"/>
          <w:sz w:val="24"/>
          <w:szCs w:val="28"/>
          <w:lang w:val="en-GB" w:eastAsia="zh-CN" w:bidi="ar-SA"/>
        </w:rPr>
        <w:t>表2.1-4 设计变更一</w:t>
      </w:r>
      <w:r>
        <w:rPr>
          <w:rFonts w:hint="eastAsia" w:ascii="黑体" w:hAnsi="黑体" w:eastAsia="黑体" w:cs="黑体"/>
          <w:color w:val="000000"/>
          <w:kern w:val="2"/>
          <w:sz w:val="24"/>
          <w:szCs w:val="28"/>
          <w:lang w:val="en-US" w:eastAsia="zh-CN" w:bidi="ar-SA"/>
        </w:rPr>
        <w:t>览表</w:t>
      </w:r>
    </w:p>
    <w:tbl>
      <w:tblPr>
        <w:tblStyle w:val="12"/>
        <w:tblW w:w="533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28"/>
        <w:gridCol w:w="1580"/>
        <w:gridCol w:w="4712"/>
        <w:gridCol w:w="1465"/>
        <w:gridCol w:w="894"/>
        <w:gridCol w:w="619"/>
      </w:tblGrid>
      <w:tr w14:paraId="3F1B6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269" w:type="pct"/>
            <w:tcBorders>
              <w:tl2br w:val="nil"/>
              <w:tr2bl w:val="nil"/>
            </w:tcBorders>
            <w:vAlign w:val="center"/>
          </w:tcPr>
          <w:p w14:paraId="2CEB2B59">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序号</w:t>
            </w:r>
          </w:p>
        </w:tc>
        <w:tc>
          <w:tcPr>
            <w:tcW w:w="806" w:type="pct"/>
            <w:tcBorders>
              <w:tl2br w:val="nil"/>
              <w:tr2bl w:val="nil"/>
            </w:tcBorders>
            <w:vAlign w:val="center"/>
          </w:tcPr>
          <w:p w14:paraId="54EAC43B">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设计变更原因</w:t>
            </w:r>
          </w:p>
        </w:tc>
        <w:tc>
          <w:tcPr>
            <w:tcW w:w="2403" w:type="pct"/>
            <w:tcBorders>
              <w:tl2br w:val="nil"/>
              <w:tr2bl w:val="nil"/>
            </w:tcBorders>
            <w:vAlign w:val="center"/>
          </w:tcPr>
          <w:p w14:paraId="4D76EF8A">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设计变更内容</w:t>
            </w:r>
          </w:p>
        </w:tc>
        <w:tc>
          <w:tcPr>
            <w:tcW w:w="747" w:type="pct"/>
            <w:tcBorders>
              <w:tl2br w:val="nil"/>
              <w:tr2bl w:val="nil"/>
            </w:tcBorders>
            <w:vAlign w:val="center"/>
          </w:tcPr>
          <w:p w14:paraId="66D04E62">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图纸编号</w:t>
            </w:r>
          </w:p>
        </w:tc>
        <w:tc>
          <w:tcPr>
            <w:tcW w:w="456" w:type="pct"/>
            <w:tcBorders>
              <w:tl2br w:val="nil"/>
              <w:tr2bl w:val="nil"/>
            </w:tcBorders>
            <w:vAlign w:val="center"/>
          </w:tcPr>
          <w:p w14:paraId="605BE9DB">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变更</w:t>
            </w:r>
          </w:p>
          <w:p w14:paraId="412751BF">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时间</w:t>
            </w:r>
          </w:p>
        </w:tc>
        <w:tc>
          <w:tcPr>
            <w:tcW w:w="316" w:type="pct"/>
            <w:tcBorders>
              <w:tl2br w:val="nil"/>
              <w:tr2bl w:val="nil"/>
            </w:tcBorders>
            <w:vAlign w:val="center"/>
          </w:tcPr>
          <w:p w14:paraId="1C77E867">
            <w:pPr>
              <w:adjustRightInd w:val="0"/>
              <w:snapToGrid w:val="0"/>
              <w:spacing w:line="240" w:lineRule="auto"/>
              <w:ind w:firstLine="0" w:firstLineChars="0"/>
              <w:jc w:val="center"/>
              <w:rPr>
                <w:rFonts w:ascii="宋体" w:hAnsi="宋体" w:eastAsia="宋体" w:cs="宋体"/>
                <w:b/>
                <w:bCs/>
                <w:color w:val="000000"/>
                <w:sz w:val="21"/>
                <w:szCs w:val="24"/>
              </w:rPr>
            </w:pPr>
            <w:r>
              <w:rPr>
                <w:rFonts w:hint="eastAsia" w:ascii="宋体" w:hAnsi="宋体" w:eastAsia="宋体" w:cs="宋体"/>
                <w:b/>
                <w:bCs/>
                <w:color w:val="000000"/>
                <w:sz w:val="21"/>
                <w:szCs w:val="24"/>
              </w:rPr>
              <w:t>变更类别</w:t>
            </w:r>
          </w:p>
        </w:tc>
      </w:tr>
      <w:tr w14:paraId="4F405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269" w:type="pct"/>
            <w:tcBorders>
              <w:tl2br w:val="nil"/>
              <w:tr2bl w:val="nil"/>
            </w:tcBorders>
            <w:vAlign w:val="center"/>
          </w:tcPr>
          <w:p w14:paraId="1A31213F">
            <w:pPr>
              <w:adjustRightInd w:val="0"/>
              <w:snapToGrid w:val="0"/>
              <w:spacing w:line="240" w:lineRule="auto"/>
              <w:ind w:firstLine="0" w:firstLineChars="0"/>
              <w:rPr>
                <w:rFonts w:ascii="宋体" w:hAnsi="宋体" w:eastAsia="宋体" w:cs="宋体"/>
                <w:color w:val="000000"/>
                <w:sz w:val="21"/>
                <w:szCs w:val="24"/>
              </w:rPr>
            </w:pPr>
            <w:r>
              <w:rPr>
                <w:rFonts w:hint="eastAsia" w:ascii="宋体" w:hAnsi="宋体" w:eastAsia="宋体" w:cs="宋体"/>
                <w:color w:val="000000"/>
                <w:sz w:val="21"/>
                <w:szCs w:val="24"/>
              </w:rPr>
              <w:t>1</w:t>
            </w:r>
          </w:p>
        </w:tc>
        <w:tc>
          <w:tcPr>
            <w:tcW w:w="806" w:type="pct"/>
            <w:tcBorders>
              <w:tl2br w:val="nil"/>
              <w:tr2bl w:val="nil"/>
            </w:tcBorders>
            <w:shd w:val="clear" w:color="auto" w:fill="auto"/>
            <w:vAlign w:val="center"/>
          </w:tcPr>
          <w:p w14:paraId="69D5209C">
            <w:pPr>
              <w:autoSpaceDE w:val="0"/>
              <w:autoSpaceDN w:val="0"/>
              <w:adjustRightInd w:val="0"/>
              <w:snapToGrid w:val="0"/>
              <w:spacing w:line="240" w:lineRule="auto"/>
              <w:ind w:firstLine="0" w:firstLineChars="0"/>
              <w:jc w:val="center"/>
              <w:rPr>
                <w:rFonts w:ascii="宋体" w:hAnsi="宋体" w:eastAsia="宋体" w:cs="仿宋_GB2312"/>
                <w:color w:val="000000"/>
                <w:kern w:val="0"/>
                <w:sz w:val="21"/>
                <w:szCs w:val="21"/>
              </w:rPr>
            </w:pPr>
            <w:r>
              <w:rPr>
                <w:rFonts w:hint="eastAsia" w:ascii="宋体" w:hAnsi="宋体" w:eastAsia="宋体" w:cs="仿宋_GB2312"/>
                <w:color w:val="000000"/>
                <w:kern w:val="0"/>
                <w:sz w:val="21"/>
                <w:szCs w:val="21"/>
              </w:rPr>
              <w:t>工艺生产需要</w:t>
            </w:r>
          </w:p>
        </w:tc>
        <w:tc>
          <w:tcPr>
            <w:tcW w:w="2403" w:type="pct"/>
            <w:tcBorders>
              <w:tl2br w:val="nil"/>
              <w:tr2bl w:val="nil"/>
            </w:tcBorders>
            <w:shd w:val="clear" w:color="auto" w:fill="auto"/>
            <w:vAlign w:val="center"/>
          </w:tcPr>
          <w:p w14:paraId="3050FFC0">
            <w:pPr>
              <w:autoSpaceDE w:val="0"/>
              <w:autoSpaceDN w:val="0"/>
              <w:adjustRightInd w:val="0"/>
              <w:snapToGrid w:val="0"/>
              <w:spacing w:line="240" w:lineRule="auto"/>
              <w:ind w:firstLine="0" w:firstLineChars="0"/>
              <w:rPr>
                <w:rFonts w:ascii="宋体" w:hAnsi="宋体" w:eastAsia="宋体" w:cs="仿宋_GB2312"/>
                <w:color w:val="000000"/>
                <w:kern w:val="0"/>
                <w:sz w:val="21"/>
                <w:szCs w:val="21"/>
              </w:rPr>
            </w:pPr>
            <w:r>
              <w:rPr>
                <w:rFonts w:hint="eastAsia" w:ascii="宋体" w:hAnsi="宋体" w:eastAsia="宋体" w:cs="仿宋_GB2312"/>
                <w:color w:val="000000"/>
                <w:kern w:val="0"/>
                <w:sz w:val="21"/>
                <w:szCs w:val="21"/>
              </w:rPr>
              <w:t>去掉位于投料间1的乙醇进料泵P5219，乙醇进料方式改为从西厂区的502罐区来，从外管廊乙醇管线进车间尾气吸收罐V5215B，操作步骤减少，泄漏风险降低。</w:t>
            </w:r>
          </w:p>
        </w:tc>
        <w:tc>
          <w:tcPr>
            <w:tcW w:w="747" w:type="pct"/>
            <w:tcBorders>
              <w:tl2br w:val="nil"/>
              <w:tr2bl w:val="nil"/>
            </w:tcBorders>
            <w:shd w:val="clear" w:color="auto" w:fill="auto"/>
            <w:vAlign w:val="center"/>
          </w:tcPr>
          <w:p w14:paraId="2E7044FD">
            <w:pPr>
              <w:autoSpaceDE w:val="0"/>
              <w:autoSpaceDN w:val="0"/>
              <w:adjustRightInd w:val="0"/>
              <w:snapToGrid w:val="0"/>
              <w:spacing w:line="240" w:lineRule="auto"/>
              <w:ind w:firstLine="0" w:firstLineChars="0"/>
              <w:jc w:val="center"/>
              <w:rPr>
                <w:rFonts w:ascii="宋体" w:hAnsi="宋体" w:eastAsia="宋体" w:cs="仿宋_GB2312"/>
                <w:color w:val="000000"/>
                <w:kern w:val="0"/>
                <w:sz w:val="21"/>
                <w:szCs w:val="21"/>
              </w:rPr>
            </w:pPr>
            <w:r>
              <w:rPr>
                <w:rFonts w:hint="eastAsia" w:ascii="宋体" w:hAnsi="宋体" w:eastAsia="宋体" w:cs="仿宋_GB2312"/>
                <w:color w:val="000000"/>
                <w:kern w:val="0"/>
                <w:sz w:val="21"/>
                <w:szCs w:val="21"/>
              </w:rPr>
              <w:t>24745-01YLC-02-更</w:t>
            </w:r>
          </w:p>
          <w:p w14:paraId="24136864">
            <w:pPr>
              <w:autoSpaceDE w:val="0"/>
              <w:autoSpaceDN w:val="0"/>
              <w:adjustRightInd w:val="0"/>
              <w:snapToGrid w:val="0"/>
              <w:spacing w:line="240" w:lineRule="auto"/>
              <w:ind w:firstLine="0" w:firstLineChars="0"/>
              <w:jc w:val="center"/>
              <w:rPr>
                <w:rFonts w:ascii="宋体" w:hAnsi="宋体" w:eastAsia="宋体" w:cs="仿宋_GB2312"/>
                <w:color w:val="000000"/>
                <w:kern w:val="0"/>
                <w:sz w:val="21"/>
                <w:szCs w:val="21"/>
              </w:rPr>
            </w:pPr>
            <w:r>
              <w:rPr>
                <w:rFonts w:hint="eastAsia" w:ascii="宋体" w:hAnsi="宋体" w:eastAsia="宋体" w:cs="仿宋_GB2312"/>
                <w:color w:val="000000"/>
                <w:kern w:val="0"/>
                <w:sz w:val="21"/>
                <w:szCs w:val="21"/>
              </w:rPr>
              <w:t>24745-01YLC-03-更</w:t>
            </w:r>
          </w:p>
        </w:tc>
        <w:tc>
          <w:tcPr>
            <w:tcW w:w="456" w:type="pct"/>
            <w:tcBorders>
              <w:tl2br w:val="nil"/>
              <w:tr2bl w:val="nil"/>
            </w:tcBorders>
            <w:shd w:val="clear" w:color="auto" w:fill="auto"/>
            <w:vAlign w:val="center"/>
          </w:tcPr>
          <w:p w14:paraId="17988CF0">
            <w:pPr>
              <w:autoSpaceDE w:val="0"/>
              <w:autoSpaceDN w:val="0"/>
              <w:adjustRightInd w:val="0"/>
              <w:snapToGrid w:val="0"/>
              <w:spacing w:line="240" w:lineRule="auto"/>
              <w:ind w:firstLine="0" w:firstLineChars="0"/>
              <w:jc w:val="center"/>
              <w:rPr>
                <w:rFonts w:hint="default" w:ascii="宋体" w:hAnsi="宋体" w:eastAsia="宋体" w:cs="仿宋_GB2312"/>
                <w:color w:val="000000"/>
                <w:kern w:val="0"/>
                <w:sz w:val="21"/>
                <w:szCs w:val="21"/>
                <w:lang w:val="en-US" w:eastAsia="zh-CN"/>
              </w:rPr>
            </w:pPr>
            <w:r>
              <w:rPr>
                <w:rFonts w:hint="eastAsia" w:ascii="宋体" w:hAnsi="宋体" w:eastAsia="宋体" w:cs="仿宋_GB2312"/>
                <w:color w:val="000000"/>
                <w:kern w:val="0"/>
                <w:sz w:val="21"/>
                <w:szCs w:val="21"/>
              </w:rPr>
              <w:t>2026.0</w:t>
            </w:r>
            <w:r>
              <w:rPr>
                <w:rFonts w:hint="eastAsia" w:ascii="宋体" w:hAnsi="宋体" w:eastAsia="宋体" w:cs="仿宋_GB2312"/>
                <w:color w:val="000000"/>
                <w:kern w:val="0"/>
                <w:sz w:val="21"/>
                <w:szCs w:val="21"/>
                <w:lang w:val="en-US" w:eastAsia="zh-CN"/>
              </w:rPr>
              <w:t>2</w:t>
            </w:r>
            <w:r>
              <w:rPr>
                <w:rFonts w:hint="eastAsia" w:ascii="宋体" w:hAnsi="宋体" w:eastAsia="宋体" w:cs="仿宋_GB2312"/>
                <w:color w:val="000000"/>
                <w:kern w:val="0"/>
                <w:sz w:val="21"/>
                <w:szCs w:val="21"/>
              </w:rPr>
              <w:t>.</w:t>
            </w:r>
            <w:r>
              <w:rPr>
                <w:rFonts w:hint="eastAsia" w:ascii="宋体" w:hAnsi="宋体" w:eastAsia="宋体" w:cs="仿宋_GB2312"/>
                <w:color w:val="000000"/>
                <w:kern w:val="0"/>
                <w:sz w:val="21"/>
                <w:szCs w:val="21"/>
                <w:lang w:val="en-US" w:eastAsia="zh-CN"/>
              </w:rPr>
              <w:t>05</w:t>
            </w:r>
          </w:p>
        </w:tc>
        <w:tc>
          <w:tcPr>
            <w:tcW w:w="316" w:type="pct"/>
            <w:tcBorders>
              <w:tl2br w:val="nil"/>
              <w:tr2bl w:val="nil"/>
            </w:tcBorders>
            <w:shd w:val="clear" w:color="auto" w:fill="auto"/>
            <w:vAlign w:val="center"/>
          </w:tcPr>
          <w:p w14:paraId="52638709">
            <w:pPr>
              <w:autoSpaceDE w:val="0"/>
              <w:autoSpaceDN w:val="0"/>
              <w:adjustRightInd w:val="0"/>
              <w:snapToGrid w:val="0"/>
              <w:spacing w:line="240" w:lineRule="auto"/>
              <w:ind w:firstLine="0" w:firstLineChars="0"/>
              <w:jc w:val="center"/>
              <w:rPr>
                <w:rFonts w:ascii="宋体" w:hAnsi="宋体" w:eastAsia="宋体" w:cs="仿宋_GB2312"/>
                <w:color w:val="000000"/>
                <w:sz w:val="21"/>
                <w:szCs w:val="21"/>
              </w:rPr>
            </w:pPr>
            <w:r>
              <w:rPr>
                <w:rFonts w:hint="eastAsia" w:ascii="宋体" w:hAnsi="宋体" w:eastAsia="宋体" w:cs="仿宋_GB2312"/>
                <w:color w:val="000000"/>
                <w:sz w:val="21"/>
                <w:szCs w:val="21"/>
              </w:rPr>
              <w:t>四类</w:t>
            </w:r>
          </w:p>
        </w:tc>
      </w:tr>
    </w:tbl>
    <w:p w14:paraId="729ADBCD">
      <w:pPr>
        <w:widowControl w:val="0"/>
        <w:adjustRightInd w:val="0"/>
        <w:snapToGrid w:val="0"/>
        <w:spacing w:line="360" w:lineRule="auto"/>
        <w:ind w:firstLine="560" w:firstLineChars="200"/>
        <w:jc w:val="both"/>
        <w:outlineLvl w:val="9"/>
        <w:rPr>
          <w:rFonts w:ascii="宋体" w:hAnsi="宋体" w:eastAsia="宋体" w:cs="宋体"/>
          <w:color w:val="000000"/>
          <w:kern w:val="2"/>
          <w:sz w:val="28"/>
          <w:szCs w:val="21"/>
          <w:u w:color="000000"/>
          <w:lang w:val="en-US" w:eastAsia="zh-CN" w:bidi="ar-SA"/>
        </w:rPr>
      </w:pPr>
      <w:r>
        <w:rPr>
          <w:rFonts w:hint="eastAsia" w:ascii="宋体" w:hAnsi="宋体" w:eastAsia="宋体" w:cs="宋体"/>
          <w:color w:val="000000"/>
          <w:kern w:val="2"/>
          <w:sz w:val="28"/>
          <w:szCs w:val="21"/>
          <w:u w:color="000000"/>
          <w:lang w:val="en-US" w:eastAsia="zh-CN" w:bidi="ar-SA"/>
        </w:rPr>
        <w:t>以上变更内容符合国家法律、法规、标准规范、文件要求，不涉及重大变更，未降低安全性能，无新增安全风险，均已由山东鲁新设计工程股份有限公司出具《设计更改通知单》及变更图纸，详见附件。</w:t>
      </w:r>
    </w:p>
    <w:p w14:paraId="39EF3DEF">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五、项目许可情况</w:t>
      </w:r>
    </w:p>
    <w:p w14:paraId="2A27DA69">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泰安汉威集团有限公司汉威集团产业园设备更新与技改升级项目Ⅲ—年产100t碘乙烷技改项目于2025年4月14日取得了山东省建设项目备案证明，项目代码：2504-370900-07-02-2501358。</w:t>
      </w:r>
    </w:p>
    <w:p w14:paraId="55F2A6C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该公司于2019年12月19日取得了不动产权证：鲁（2019）泰安市不动产权第0052739号），该用地为工业用地。</w:t>
      </w:r>
    </w:p>
    <w:p w14:paraId="58F57982">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中间体车间于2021年9月10日取得了泰安市行政审批服务局出具的《建设工程规划许可证》（建字第370900202100047号）。</w:t>
      </w:r>
    </w:p>
    <w:p w14:paraId="5C43602B">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2025年5月，山东鲁健安全技术有限公司编制的《泰安汉威集团有限公司汉威集团产业园设备更新与技改升级项目Ⅲ—年产100t碘乙烷技改项目设立安全评价报告》通过了专家审查，2025年6月11日泰安市应急管理局出具了《危险化学品建设项目安全审查意见书》（泰应急危化项目审字[2025]035号）。</w:t>
      </w:r>
    </w:p>
    <w:p w14:paraId="1FCD39B3">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2025年7月，山东鲁新设计工程股份有限公司编制的《泰安汉威集团有限公司汉威集团产业园设备更新与技改升级项目Ⅲ—年产100t碘乙烷技改项目安全设施设计专篇》通过了专家审查，2025年9月2日泰安市应急管理局出具了《危险化学品建设项目安全审查意见书》（泰应急危化项目审字[2025]047号）。</w:t>
      </w:r>
    </w:p>
    <w:p w14:paraId="1F2B46F8">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2025年10月，该公司编制了《泰安汉威集团有限公司汉威集团产业园设备更新与技改升级项目Ⅲ—年产100t碘乙烷技改项目试生产方案》；成立了试车机构及领导小组指导试车工作，并对试车领导小组成员各自的职责做出了明确规定，对人员进行了培训。</w:t>
      </w:r>
    </w:p>
    <w:p w14:paraId="5A4E61BF">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2025年11月，山东新安达工程咨询有限公司编制了《泰安汉威集团有限公司汉威集团产业园设备更新与技改升级项目Ⅲ—年产100t碘乙烷技改项目试生产条件安全评价报告》，并通过专家审查。</w:t>
      </w:r>
    </w:p>
    <w:p w14:paraId="0C08CB6F">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六、项目设计、施工情况</w:t>
      </w:r>
    </w:p>
    <w:p w14:paraId="48711C25">
      <w:pPr>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该项目安全设施设计专篇和施工图设计由山东鲁新设计工程股份有限公司完成。</w:t>
      </w:r>
    </w:p>
    <w:p w14:paraId="36518179">
      <w:pPr>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该项目设备设施安装由江苏栩益设备安装工程有限公司完成。本项目新增的碘乙烷的成品暂存罐位于6.000m 钢平台，依托原碘甲烷项目的钢平台，企业已对此钢平台进行加固改造，加固后钢平台主梁、柱荷载可以满足新增设备后的要求。</w:t>
      </w:r>
    </w:p>
    <w:p w14:paraId="6FE0C41D">
      <w:pPr>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该项目总投资101.77万元，故未设置监理单位。</w:t>
      </w:r>
    </w:p>
    <w:p w14:paraId="1CD07F7A">
      <w:pPr>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该项目于2025年9月5日开工建设，2025年9月15日建设完工，并由建设、设计、施工、技术提供单位联合出具了《工程竣工质量验收报告》，验收意见：经验收，该工程符合设计及规范规定要求，合格。</w:t>
      </w:r>
    </w:p>
    <w:p w14:paraId="05B73760">
      <w:pPr>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通过对各设计、施工、安装单位资质及承担的工程范围的核实，可知该项目的设计、施工、安装单位所承担的工程范围能涵盖项目的全部内容，且与其资质相适应，符合要求，详见下表：</w:t>
      </w:r>
    </w:p>
    <w:p w14:paraId="60D41F5C">
      <w:pPr>
        <w:widowControl w:val="0"/>
        <w:spacing w:line="360" w:lineRule="auto"/>
        <w:jc w:val="center"/>
        <w:outlineLvl w:val="4"/>
        <w:rPr>
          <w:rFonts w:ascii="黑体" w:hAnsi="黑体" w:eastAsia="黑体" w:cs="黑体"/>
          <w:color w:val="000000"/>
          <w:kern w:val="2"/>
          <w:sz w:val="24"/>
          <w:szCs w:val="28"/>
          <w:lang w:val="en-US" w:eastAsia="zh-CN" w:bidi="ar-SA"/>
        </w:rPr>
      </w:pPr>
      <w:r>
        <w:rPr>
          <w:rFonts w:hint="eastAsia" w:ascii="黑体" w:hAnsi="黑体" w:eastAsia="黑体" w:cs="黑体"/>
          <w:color w:val="000000"/>
          <w:kern w:val="2"/>
          <w:sz w:val="24"/>
          <w:szCs w:val="28"/>
          <w:lang w:val="en-GB" w:eastAsia="zh-CN" w:bidi="ar-SA"/>
        </w:rPr>
        <w:t>表2.1-5 设计、施工</w:t>
      </w:r>
      <w:r>
        <w:rPr>
          <w:rFonts w:hint="eastAsia" w:ascii="黑体" w:hAnsi="黑体" w:eastAsia="黑体" w:cs="黑体"/>
          <w:color w:val="000000"/>
          <w:kern w:val="2"/>
          <w:sz w:val="24"/>
          <w:szCs w:val="28"/>
          <w:lang w:val="en-US" w:eastAsia="zh-CN" w:bidi="ar-SA"/>
        </w:rPr>
        <w:t>、安装单位及工程承担范围情况表</w:t>
      </w:r>
    </w:p>
    <w:tbl>
      <w:tblPr>
        <w:tblStyle w:val="11"/>
        <w:tblW w:w="486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469"/>
        <w:gridCol w:w="1151"/>
        <w:gridCol w:w="1391"/>
        <w:gridCol w:w="3280"/>
        <w:gridCol w:w="719"/>
        <w:gridCol w:w="1038"/>
        <w:gridCol w:w="886"/>
      </w:tblGrid>
      <w:tr w14:paraId="2823B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283" w:hRule="atLeast"/>
          <w:tblHeader/>
          <w:jc w:val="center"/>
        </w:trPr>
        <w:tc>
          <w:tcPr>
            <w:tcW w:w="906" w:type="pct"/>
            <w:gridSpan w:val="2"/>
            <w:tcBorders>
              <w:tl2br w:val="nil"/>
              <w:tr2bl w:val="nil"/>
            </w:tcBorders>
            <w:vAlign w:val="center"/>
          </w:tcPr>
          <w:p w14:paraId="44C4032F">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单位名称</w:t>
            </w:r>
          </w:p>
        </w:tc>
        <w:tc>
          <w:tcPr>
            <w:tcW w:w="778" w:type="pct"/>
            <w:tcBorders>
              <w:tl2br w:val="nil"/>
              <w:tr2bl w:val="nil"/>
            </w:tcBorders>
            <w:vAlign w:val="center"/>
          </w:tcPr>
          <w:p w14:paraId="2EBAF818">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承担工作</w:t>
            </w:r>
          </w:p>
        </w:tc>
        <w:tc>
          <w:tcPr>
            <w:tcW w:w="1834" w:type="pct"/>
            <w:tcBorders>
              <w:tl2br w:val="nil"/>
              <w:tr2bl w:val="nil"/>
            </w:tcBorders>
            <w:vAlign w:val="center"/>
          </w:tcPr>
          <w:p w14:paraId="55CC7846">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资质范围</w:t>
            </w:r>
          </w:p>
        </w:tc>
        <w:tc>
          <w:tcPr>
            <w:tcW w:w="402" w:type="pct"/>
            <w:tcBorders>
              <w:tl2br w:val="nil"/>
              <w:tr2bl w:val="nil"/>
            </w:tcBorders>
            <w:vAlign w:val="center"/>
          </w:tcPr>
          <w:p w14:paraId="202F012E">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资质证书</w:t>
            </w:r>
          </w:p>
        </w:tc>
        <w:tc>
          <w:tcPr>
            <w:tcW w:w="581" w:type="pct"/>
            <w:tcBorders>
              <w:tl2br w:val="nil"/>
              <w:tr2bl w:val="nil"/>
            </w:tcBorders>
            <w:vAlign w:val="center"/>
          </w:tcPr>
          <w:p w14:paraId="464CFCD4">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有效期</w:t>
            </w:r>
          </w:p>
        </w:tc>
        <w:tc>
          <w:tcPr>
            <w:tcW w:w="496" w:type="pct"/>
            <w:tcBorders>
              <w:tl2br w:val="nil"/>
              <w:tr2bl w:val="nil"/>
            </w:tcBorders>
            <w:vAlign w:val="center"/>
          </w:tcPr>
          <w:p w14:paraId="128C36EC">
            <w:pPr>
              <w:widowControl w:val="0"/>
              <w:adjustRightInd w:val="0"/>
              <w:snapToGrid w:val="0"/>
              <w:jc w:val="center"/>
              <w:rPr>
                <w:rFonts w:ascii="宋体" w:hAnsi="宋体" w:eastAsia="宋体" w:cs="宋体"/>
                <w:b/>
                <w:bCs/>
                <w:color w:val="000000"/>
                <w:kern w:val="2"/>
                <w:sz w:val="21"/>
                <w:szCs w:val="24"/>
                <w:lang w:val="en-US" w:eastAsia="zh-CN" w:bidi="ar-SA"/>
              </w:rPr>
            </w:pPr>
            <w:r>
              <w:rPr>
                <w:rFonts w:hint="eastAsia" w:ascii="宋体" w:hAnsi="宋体" w:eastAsia="宋体" w:cs="宋体"/>
                <w:b/>
                <w:bCs/>
                <w:color w:val="000000"/>
                <w:kern w:val="2"/>
                <w:sz w:val="21"/>
                <w:szCs w:val="24"/>
                <w:lang w:val="en-US" w:eastAsia="zh-CN" w:bidi="ar-SA"/>
              </w:rPr>
              <w:t>资质符合性</w:t>
            </w:r>
          </w:p>
        </w:tc>
      </w:tr>
      <w:tr w14:paraId="0A51E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283" w:hRule="atLeast"/>
          <w:jc w:val="center"/>
        </w:trPr>
        <w:tc>
          <w:tcPr>
            <w:tcW w:w="262" w:type="pct"/>
            <w:tcBorders>
              <w:tl2br w:val="nil"/>
              <w:tr2bl w:val="nil"/>
            </w:tcBorders>
            <w:vAlign w:val="center"/>
          </w:tcPr>
          <w:p w14:paraId="7C337A37">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设计单位</w:t>
            </w:r>
          </w:p>
        </w:tc>
        <w:tc>
          <w:tcPr>
            <w:tcW w:w="644" w:type="pct"/>
            <w:tcBorders>
              <w:tl2br w:val="nil"/>
              <w:tr2bl w:val="nil"/>
            </w:tcBorders>
            <w:vAlign w:val="center"/>
          </w:tcPr>
          <w:p w14:paraId="5DE49A85">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山东鲁新设计工程股份有限公司</w:t>
            </w:r>
          </w:p>
        </w:tc>
        <w:tc>
          <w:tcPr>
            <w:tcW w:w="778" w:type="pct"/>
            <w:tcBorders>
              <w:tl2br w:val="nil"/>
              <w:tr2bl w:val="nil"/>
            </w:tcBorders>
            <w:vAlign w:val="center"/>
          </w:tcPr>
          <w:p w14:paraId="2608DAFA">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安全设施设计专篇、施工图设计</w:t>
            </w:r>
          </w:p>
        </w:tc>
        <w:tc>
          <w:tcPr>
            <w:tcW w:w="1834" w:type="pct"/>
            <w:tcBorders>
              <w:tl2br w:val="nil"/>
              <w:tr2bl w:val="nil"/>
            </w:tcBorders>
            <w:vAlign w:val="center"/>
          </w:tcPr>
          <w:p w14:paraId="3CC5698F">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化工石化医药行业甲级</w:t>
            </w:r>
          </w:p>
        </w:tc>
        <w:tc>
          <w:tcPr>
            <w:tcW w:w="402" w:type="pct"/>
            <w:tcBorders>
              <w:tl2br w:val="nil"/>
              <w:tr2bl w:val="nil"/>
            </w:tcBorders>
            <w:vAlign w:val="center"/>
          </w:tcPr>
          <w:p w14:paraId="7C6F6A63">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A237004046</w:t>
            </w:r>
          </w:p>
        </w:tc>
        <w:tc>
          <w:tcPr>
            <w:tcW w:w="581" w:type="pct"/>
            <w:tcBorders>
              <w:tl2br w:val="nil"/>
              <w:tr2bl w:val="nil"/>
            </w:tcBorders>
            <w:vAlign w:val="center"/>
          </w:tcPr>
          <w:p w14:paraId="59515731">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2028年01月12日</w:t>
            </w:r>
          </w:p>
        </w:tc>
        <w:tc>
          <w:tcPr>
            <w:tcW w:w="496" w:type="pct"/>
            <w:tcBorders>
              <w:tl2br w:val="nil"/>
              <w:tr2bl w:val="nil"/>
            </w:tcBorders>
            <w:vAlign w:val="center"/>
          </w:tcPr>
          <w:p w14:paraId="208ADD20">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符合</w:t>
            </w:r>
          </w:p>
        </w:tc>
      </w:tr>
      <w:tr w14:paraId="4F383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283" w:hRule="atLeast"/>
          <w:jc w:val="center"/>
        </w:trPr>
        <w:tc>
          <w:tcPr>
            <w:tcW w:w="262" w:type="pct"/>
            <w:tcBorders>
              <w:tl2br w:val="nil"/>
              <w:tr2bl w:val="nil"/>
            </w:tcBorders>
            <w:vAlign w:val="center"/>
          </w:tcPr>
          <w:p w14:paraId="02C34D97">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施工安装单位</w:t>
            </w:r>
          </w:p>
        </w:tc>
        <w:tc>
          <w:tcPr>
            <w:tcW w:w="644" w:type="pct"/>
            <w:tcBorders>
              <w:tl2br w:val="nil"/>
              <w:tr2bl w:val="nil"/>
            </w:tcBorders>
            <w:shd w:val="clear" w:color="auto" w:fill="auto"/>
            <w:vAlign w:val="center"/>
          </w:tcPr>
          <w:p w14:paraId="1984476A">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江苏栩益设备安装工程有限公司</w:t>
            </w:r>
          </w:p>
        </w:tc>
        <w:tc>
          <w:tcPr>
            <w:tcW w:w="778" w:type="pct"/>
            <w:tcBorders>
              <w:tl2br w:val="nil"/>
              <w:tr2bl w:val="nil"/>
            </w:tcBorders>
            <w:shd w:val="clear" w:color="auto" w:fill="auto"/>
            <w:vAlign w:val="center"/>
          </w:tcPr>
          <w:p w14:paraId="02B471C6">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设备设施安装及投料间土建施工</w:t>
            </w:r>
          </w:p>
        </w:tc>
        <w:tc>
          <w:tcPr>
            <w:tcW w:w="1834" w:type="pct"/>
            <w:tcBorders>
              <w:tl2br w:val="nil"/>
              <w:tr2bl w:val="nil"/>
            </w:tcBorders>
            <w:shd w:val="clear" w:color="auto" w:fill="auto"/>
            <w:vAlign w:val="center"/>
          </w:tcPr>
          <w:p w14:paraId="5F7D6F40">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建筑工程施工总承包贰级</w:t>
            </w:r>
          </w:p>
          <w:p w14:paraId="6A21DE8A">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石油化工工程施工总承包贰级</w:t>
            </w:r>
          </w:p>
          <w:p w14:paraId="30634161">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电子与智能化工程专业承包壹级</w:t>
            </w:r>
          </w:p>
          <w:p w14:paraId="6ACFF9A2">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消防设施工程专业承包贰级</w:t>
            </w:r>
          </w:p>
          <w:p w14:paraId="47A89C0F">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防水防腐保温工程专业承包贰级</w:t>
            </w:r>
          </w:p>
        </w:tc>
        <w:tc>
          <w:tcPr>
            <w:tcW w:w="402" w:type="pct"/>
            <w:tcBorders>
              <w:tl2br w:val="nil"/>
              <w:tr2bl w:val="nil"/>
            </w:tcBorders>
            <w:shd w:val="clear" w:color="auto" w:fill="auto"/>
            <w:vAlign w:val="center"/>
          </w:tcPr>
          <w:p w14:paraId="2A77CDFB">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D232252813</w:t>
            </w:r>
          </w:p>
        </w:tc>
        <w:tc>
          <w:tcPr>
            <w:tcW w:w="581" w:type="pct"/>
            <w:tcBorders>
              <w:tl2br w:val="nil"/>
              <w:tr2bl w:val="nil"/>
            </w:tcBorders>
            <w:shd w:val="clear" w:color="auto" w:fill="auto"/>
            <w:vAlign w:val="center"/>
          </w:tcPr>
          <w:p w14:paraId="5125EA8D">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2030年04月19日</w:t>
            </w:r>
          </w:p>
        </w:tc>
        <w:tc>
          <w:tcPr>
            <w:tcW w:w="496" w:type="pct"/>
            <w:tcBorders>
              <w:tl2br w:val="nil"/>
              <w:tr2bl w:val="nil"/>
            </w:tcBorders>
            <w:shd w:val="clear" w:color="auto" w:fill="auto"/>
            <w:vAlign w:val="center"/>
          </w:tcPr>
          <w:p w14:paraId="36A4114B">
            <w:pPr>
              <w:widowControl w:val="0"/>
              <w:adjustRightInd w:val="0"/>
              <w:snapToGrid w:val="0"/>
              <w:jc w:val="center"/>
              <w:rPr>
                <w:rFonts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符合</w:t>
            </w:r>
          </w:p>
        </w:tc>
      </w:tr>
    </w:tbl>
    <w:p w14:paraId="3B9EBCEA">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七、法定检验、检测及验收情况</w:t>
      </w:r>
    </w:p>
    <w:p w14:paraId="53C243A9">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项目3台压力容器分别于2022年11月01日、2025年11月07日在泰安市市场监督管理局注册登记，最早下次检验日期为2028年02月；该项目1辆叉车于2023年06月08日在泰安市市场监督管理局注册登记，下次检验日期为2027年05月；该项目3只压力变送器于2025年07月31日由德州市产品质量标准计量研究院检定合格，下次检定日期为2026年07月30日；该项目1只压力变送器于2025年09月09日由山东鲁邹检验检测有限公司检定合格，下次检定日期为2026年09月08日；该项目2只固定式可燃气体报警器分别于2025年10月21日、2026年04月07日由德州市产品质量标准计量研究院检定合格，最早下次检定日期为2026年10月20日；该项目5只固定式可燃气体报警器分别于2025年09月08日、2025年09月09日由山东鲁邹检验检测有限公司检定合格，最早下次检定日期为2026年09月07日；该项目6只固定式有毒气体报警器分别于2025年10月15日、2025年11月05日由安正计量检测有限公司校准合格，下次最早校准日期为2026年10月14日；该项目5只便携式气体报警器分别于2025年10月20日、2025年10月21日由德州市产品质量标准计量研究院检定合格，最早下次检定日期为2026年10月19日。</w:t>
      </w:r>
    </w:p>
    <w:p w14:paraId="5EAA7E63">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该项目防爆电气装置于2025年9月7日由苏州恒安检测技术服务有限公司进行检测，并于2025年9月11日出具了检测报告，报告编号：F2025-08-025-002，检测结果：所检项目符合规范要求。</w:t>
      </w:r>
    </w:p>
    <w:p w14:paraId="4DBF8D8E">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项目涉及的防雷设施于2026年04月16日由山东天科防雷工程有限公司进行检测，并出具《雷电防护装置定期检测报告》，报告编号：112016001[2026]D-TADY0123，检测结论：合格，雷电防护装置符合现行国家防雷规范标准要求，报告有效期至2026年10月20日。</w:t>
      </w:r>
    </w:p>
    <w:p w14:paraId="48A66883">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该项目依托的雷电防护装置于2022年7月8日取得泰安市岱岳区气象局颁发的《防雷装置验收合格证》（雷验No：DY202202），结论：上述建构筑物的防雷装置经验收合格。</w:t>
      </w:r>
    </w:p>
    <w:p w14:paraId="330440F5">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该公司于2021年12月24日由泰安市岱岳区住房和城乡建设局对该项目依托的甲类仓库二进行消防验收，并出具了合格的《建设工程消防意见书》（编号：泰岱消验字[2021]第0065号）。</w:t>
      </w:r>
    </w:p>
    <w:p w14:paraId="453CC8E7">
      <w:pPr>
        <w:snapToGrid w:val="0"/>
        <w:spacing w:line="360" w:lineRule="auto"/>
        <w:ind w:firstLine="560" w:firstLineChars="200"/>
        <w:rPr>
          <w:rFonts w:ascii="宋体" w:hAnsi="宋体" w:eastAsia="宋体" w:cs="宋体"/>
          <w:color w:val="000000"/>
          <w:sz w:val="28"/>
          <w:szCs w:val="22"/>
        </w:rPr>
      </w:pPr>
      <w:r>
        <w:rPr>
          <w:rFonts w:hint="eastAsia" w:ascii="宋体" w:hAnsi="宋体" w:eastAsia="宋体" w:cs="宋体"/>
          <w:color w:val="000000"/>
          <w:sz w:val="28"/>
          <w:szCs w:val="22"/>
        </w:rPr>
        <w:t>该公司于2022年8月22日由泰安市岱岳区住房和城乡建设局对该项目所在中间体车间进行消防验收，并出具了合格的《建设工程消防意见书》（编号：泰岱消验字[2022]第0021号）。</w:t>
      </w:r>
    </w:p>
    <w:p w14:paraId="47F40DD9">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八、该项目试生产情况</w:t>
      </w:r>
    </w:p>
    <w:p w14:paraId="78C4260E">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所有设备、管线、电气、仪表安装完毕后，对整个装置进行了全面检查，并对装置所有的设备、管线进行了吹扫、冲洗、试压、单机及联运试验，全面检验了装置所属设备、管线、电气、仪表的安装质量，达到了装置试运行所具备的条件。</w:t>
      </w:r>
    </w:p>
    <w:p w14:paraId="17F4DA54">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为切实做到试生产期间的安全生产，公司专门成立试生产领导小组，小组成员根据分工，分别对操作人员进行专门培训，并考核合格；对所有设备、阀门、法兰、安全设施等进行详细检查，配备劳动防护用品和应急救援器材，制定详细试生产应急救援预案，做到责任到人，以使试生产顺利完成。</w:t>
      </w:r>
    </w:p>
    <w:p w14:paraId="27688A14">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企业编制了该项目试生产方案，并由相关部门组织了审查；山东新安达工程咨询有限公司出具了该项目试生产条件安全评价报告，并于2025年11月通过专家评审。该项目试车前检查调试了供电系统、供水系统、仪表、控制系统、管路、泵类符合安全运行条件。</w:t>
      </w:r>
    </w:p>
    <w:p w14:paraId="7085F8A1">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该项目操作人员上岗前均进行了培训考试，考试合格后方上岗作业。</w:t>
      </w:r>
    </w:p>
    <w:p w14:paraId="5EA030BF">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企业按照试车规范要求，组织有关人员对施工质量隐患、设计施工漏项、未完工程等进行检查，对查出的问题，定任务、定人员、定时间、定措施。在联动试车和化工投料试车前，把“三查四定”的问题全部整改消除完毕，遗留尾项已处理。经过试运行前的调试工作，该装置的安全设施确保完好，能够正常使用，可以对装置的试运行起到可靠的保障作用。</w:t>
      </w:r>
    </w:p>
    <w:p w14:paraId="427AFDC2">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公司根据项目的实际情况，按照《试生产开车安全条件确认表》，对开车前的各项工作进行了逐项检查，并由相关负责人进行签字确认。</w:t>
      </w:r>
    </w:p>
    <w:p w14:paraId="0365C450">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该项目于2026年1月开始试车至今。试车结束后设计、施工单位出具确认表，确认该项目装置试生产期间工况正常，符合安全设施设计要求，具备安全验收条件。</w:t>
      </w:r>
    </w:p>
    <w:p w14:paraId="7228D374">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整个试生产期间，装置各项控制指标达到设计要求，产品质量达到质量标准要求，产品产量达到设计值，安全设施有效运行。</w:t>
      </w:r>
    </w:p>
    <w:p w14:paraId="2344F14B">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企业于2026年03月编制了试生产总结报告，共检查隐患2条，均已整改完毕（整改报告详见附件），无事故发生，整改情况如下。</w:t>
      </w:r>
    </w:p>
    <w:p w14:paraId="26E9904E">
      <w:pPr>
        <w:spacing w:line="360" w:lineRule="auto"/>
        <w:ind w:firstLine="480" w:firstLineChars="200"/>
        <w:jc w:val="center"/>
        <w:outlineLvl w:val="4"/>
        <w:rPr>
          <w:rFonts w:ascii="黑体" w:hAnsi="黑体" w:eastAsia="黑体" w:cs="黑体"/>
          <w:color w:val="000000"/>
          <w:sz w:val="24"/>
          <w:szCs w:val="28"/>
        </w:rPr>
      </w:pPr>
      <w:r>
        <w:rPr>
          <w:rFonts w:hint="eastAsia" w:ascii="黑体" w:hAnsi="黑体" w:eastAsia="黑体" w:cs="黑体"/>
          <w:color w:val="000000"/>
          <w:kern w:val="2"/>
          <w:sz w:val="24"/>
          <w:szCs w:val="28"/>
          <w:lang w:val="en-GB" w:eastAsia="zh-CN" w:bidi="ar-SA"/>
        </w:rPr>
        <w:t>表2.1-6 试生产期</w:t>
      </w:r>
      <w:r>
        <w:rPr>
          <w:rFonts w:hint="eastAsia" w:ascii="黑体" w:hAnsi="黑体" w:eastAsia="黑体" w:cs="黑体"/>
          <w:color w:val="000000"/>
          <w:sz w:val="24"/>
          <w:szCs w:val="28"/>
        </w:rPr>
        <w:t>间存在问题及整改情况</w:t>
      </w:r>
    </w:p>
    <w:tbl>
      <w:tblPr>
        <w:tblStyle w:val="11"/>
        <w:tblW w:w="910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04"/>
        <w:gridCol w:w="4170"/>
        <w:gridCol w:w="4126"/>
      </w:tblGrid>
      <w:tr w14:paraId="2DFA05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4" w:type="dxa"/>
            <w:tcBorders>
              <w:tl2br w:val="nil"/>
              <w:tr2bl w:val="nil"/>
            </w:tcBorders>
            <w:shd w:val="clear" w:color="auto" w:fill="auto"/>
            <w:vAlign w:val="center"/>
          </w:tcPr>
          <w:p w14:paraId="6951D3CE">
            <w:pPr>
              <w:widowControl w:val="0"/>
              <w:snapToGrid w:val="0"/>
              <w:spacing w:before="0" w:after="0" w:line="240" w:lineRule="auto"/>
              <w:ind w:firstLine="0" w:firstLineChars="0"/>
              <w:jc w:val="center"/>
              <w:outlineLvl w:val="0"/>
              <w:rPr>
                <w:rFonts w:ascii="黑体" w:hAnsi="黑体" w:eastAsia="宋体" w:cs="宋体"/>
                <w:b/>
                <w:bCs/>
                <w:color w:val="000000"/>
                <w:kern w:val="2"/>
                <w:sz w:val="21"/>
                <w:szCs w:val="21"/>
                <w:lang w:val="en-US" w:eastAsia="zh-CN" w:bidi="ar-SA"/>
              </w:rPr>
            </w:pPr>
            <w:bookmarkStart w:id="17" w:name="_Toc24930"/>
            <w:r>
              <w:rPr>
                <w:rFonts w:hint="eastAsia" w:ascii="黑体" w:hAnsi="黑体" w:eastAsia="宋体" w:cs="宋体"/>
                <w:b/>
                <w:bCs/>
                <w:color w:val="000000"/>
                <w:kern w:val="2"/>
                <w:sz w:val="21"/>
                <w:szCs w:val="21"/>
                <w:lang w:val="en-US" w:eastAsia="zh-CN" w:bidi="ar-SA"/>
              </w:rPr>
              <w:t>序号</w:t>
            </w:r>
            <w:bookmarkEnd w:id="17"/>
          </w:p>
        </w:tc>
        <w:tc>
          <w:tcPr>
            <w:tcW w:w="4170" w:type="dxa"/>
            <w:tcBorders>
              <w:tl2br w:val="nil"/>
              <w:tr2bl w:val="nil"/>
            </w:tcBorders>
            <w:shd w:val="clear" w:color="auto" w:fill="auto"/>
            <w:vAlign w:val="center"/>
          </w:tcPr>
          <w:p w14:paraId="03376D04">
            <w:pPr>
              <w:widowControl w:val="0"/>
              <w:snapToGrid w:val="0"/>
              <w:spacing w:before="0" w:after="0" w:line="240" w:lineRule="auto"/>
              <w:ind w:firstLine="0" w:firstLineChars="0"/>
              <w:jc w:val="center"/>
              <w:outlineLvl w:val="0"/>
              <w:rPr>
                <w:rFonts w:ascii="黑体" w:hAnsi="黑体" w:eastAsia="宋体" w:cs="宋体"/>
                <w:b/>
                <w:bCs/>
                <w:color w:val="000000"/>
                <w:kern w:val="2"/>
                <w:sz w:val="21"/>
                <w:szCs w:val="21"/>
                <w:lang w:val="en-US" w:eastAsia="zh-CN" w:bidi="ar-SA"/>
              </w:rPr>
            </w:pPr>
            <w:bookmarkStart w:id="18" w:name="_Toc6427"/>
            <w:r>
              <w:rPr>
                <w:rFonts w:hint="eastAsia" w:ascii="黑体" w:hAnsi="黑体" w:eastAsia="宋体" w:cs="宋体"/>
                <w:b/>
                <w:bCs/>
                <w:color w:val="000000"/>
                <w:kern w:val="2"/>
                <w:sz w:val="21"/>
                <w:szCs w:val="21"/>
                <w:lang w:val="en-US" w:eastAsia="zh-CN" w:bidi="ar-SA"/>
              </w:rPr>
              <w:t>隐患描述</w:t>
            </w:r>
            <w:bookmarkEnd w:id="18"/>
          </w:p>
        </w:tc>
        <w:tc>
          <w:tcPr>
            <w:tcW w:w="4126" w:type="dxa"/>
            <w:tcBorders>
              <w:tl2br w:val="nil"/>
              <w:tr2bl w:val="nil"/>
            </w:tcBorders>
            <w:shd w:val="clear" w:color="auto" w:fill="auto"/>
            <w:vAlign w:val="center"/>
          </w:tcPr>
          <w:p w14:paraId="005DEA81">
            <w:pPr>
              <w:widowControl w:val="0"/>
              <w:snapToGrid w:val="0"/>
              <w:spacing w:before="0" w:after="0" w:line="240" w:lineRule="auto"/>
              <w:ind w:firstLine="0" w:firstLineChars="0"/>
              <w:jc w:val="center"/>
              <w:outlineLvl w:val="0"/>
              <w:rPr>
                <w:rFonts w:ascii="黑体" w:hAnsi="黑体" w:eastAsia="宋体" w:cs="宋体"/>
                <w:b/>
                <w:bCs/>
                <w:color w:val="000000"/>
                <w:kern w:val="2"/>
                <w:sz w:val="21"/>
                <w:szCs w:val="21"/>
                <w:lang w:val="en-US" w:eastAsia="zh-CN" w:bidi="ar-SA"/>
              </w:rPr>
            </w:pPr>
            <w:bookmarkStart w:id="19" w:name="_Toc13790"/>
            <w:r>
              <w:rPr>
                <w:rFonts w:hint="eastAsia" w:ascii="黑体" w:hAnsi="黑体" w:eastAsia="宋体" w:cs="宋体"/>
                <w:b/>
                <w:bCs/>
                <w:color w:val="000000"/>
                <w:kern w:val="2"/>
                <w:sz w:val="21"/>
                <w:szCs w:val="21"/>
                <w:lang w:val="en-US" w:eastAsia="zh-CN" w:bidi="ar-SA"/>
              </w:rPr>
              <w:t>整改情况</w:t>
            </w:r>
            <w:bookmarkEnd w:id="19"/>
          </w:p>
        </w:tc>
      </w:tr>
      <w:tr w14:paraId="0D4A0F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4" w:type="dxa"/>
            <w:tcBorders>
              <w:tl2br w:val="nil"/>
              <w:tr2bl w:val="nil"/>
            </w:tcBorders>
            <w:shd w:val="clear" w:color="auto" w:fill="auto"/>
            <w:vAlign w:val="center"/>
          </w:tcPr>
          <w:p w14:paraId="6BA81D11">
            <w:pPr>
              <w:widowControl w:val="0"/>
              <w:snapToGrid w:val="0"/>
              <w:spacing w:before="0" w:after="0" w:line="240" w:lineRule="auto"/>
              <w:ind w:firstLine="0" w:firstLineChars="0"/>
              <w:jc w:val="center"/>
              <w:outlineLvl w:val="0"/>
              <w:rPr>
                <w:rFonts w:ascii="黑体" w:hAnsi="黑体" w:eastAsia="宋体" w:cs="宋体"/>
                <w:b w:val="0"/>
                <w:bCs w:val="0"/>
                <w:color w:val="000000"/>
                <w:kern w:val="2"/>
                <w:sz w:val="21"/>
                <w:szCs w:val="21"/>
                <w:lang w:val="en-US" w:eastAsia="zh-CN" w:bidi="ar-SA"/>
              </w:rPr>
            </w:pPr>
            <w:bookmarkStart w:id="20" w:name="_Toc22076"/>
            <w:r>
              <w:rPr>
                <w:rFonts w:hint="eastAsia" w:ascii="黑体" w:hAnsi="黑体" w:eastAsia="宋体" w:cs="宋体"/>
                <w:b w:val="0"/>
                <w:bCs w:val="0"/>
                <w:color w:val="000000"/>
                <w:kern w:val="2"/>
                <w:sz w:val="21"/>
                <w:szCs w:val="21"/>
                <w:lang w:val="en-US" w:eastAsia="zh-CN" w:bidi="ar-SA"/>
              </w:rPr>
              <w:t>1</w:t>
            </w:r>
            <w:bookmarkEnd w:id="20"/>
          </w:p>
        </w:tc>
        <w:tc>
          <w:tcPr>
            <w:tcW w:w="4170" w:type="dxa"/>
            <w:tcBorders>
              <w:tl2br w:val="nil"/>
              <w:tr2bl w:val="nil"/>
            </w:tcBorders>
            <w:shd w:val="clear" w:color="auto" w:fill="auto"/>
            <w:vAlign w:val="center"/>
          </w:tcPr>
          <w:p w14:paraId="2B70074B">
            <w:pPr>
              <w:widowControl w:val="0"/>
              <w:snapToGrid w:val="0"/>
              <w:spacing w:before="0" w:after="0" w:line="240" w:lineRule="auto"/>
              <w:ind w:firstLine="0" w:firstLineChars="0"/>
              <w:jc w:val="left"/>
              <w:outlineLvl w:val="0"/>
              <w:rPr>
                <w:rFonts w:ascii="黑体" w:hAnsi="黑体" w:eastAsia="宋体" w:cs="宋体"/>
                <w:b w:val="0"/>
                <w:bCs w:val="0"/>
                <w:color w:val="000000"/>
                <w:kern w:val="2"/>
                <w:sz w:val="21"/>
                <w:szCs w:val="21"/>
                <w:lang w:val="en-US" w:eastAsia="zh-CN" w:bidi="ar-SA"/>
              </w:rPr>
            </w:pPr>
            <w:r>
              <w:rPr>
                <w:rFonts w:hint="eastAsia" w:ascii="黑体" w:hAnsi="黑体" w:eastAsia="宋体" w:cs="宋体"/>
                <w:b w:val="0"/>
                <w:bCs w:val="0"/>
                <w:color w:val="000000"/>
                <w:kern w:val="2"/>
                <w:sz w:val="21"/>
                <w:szCs w:val="21"/>
                <w:lang w:val="en-US" w:eastAsia="zh-CN" w:bidi="ar-SA"/>
              </w:rPr>
              <w:t>消防管线有漏点；</w:t>
            </w:r>
          </w:p>
        </w:tc>
        <w:tc>
          <w:tcPr>
            <w:tcW w:w="4126" w:type="dxa"/>
            <w:tcBorders>
              <w:tl2br w:val="nil"/>
              <w:tr2bl w:val="nil"/>
            </w:tcBorders>
            <w:shd w:val="clear" w:color="auto" w:fill="auto"/>
            <w:vAlign w:val="center"/>
          </w:tcPr>
          <w:p w14:paraId="03D4944D">
            <w:pPr>
              <w:widowControl w:val="0"/>
              <w:snapToGrid w:val="0"/>
              <w:spacing w:before="0" w:after="0" w:line="240" w:lineRule="auto"/>
              <w:ind w:firstLine="0" w:firstLineChars="0"/>
              <w:jc w:val="left"/>
              <w:outlineLvl w:val="0"/>
              <w:rPr>
                <w:rFonts w:ascii="黑体" w:hAnsi="黑体" w:eastAsia="宋体" w:cs="宋体"/>
                <w:b w:val="0"/>
                <w:bCs w:val="0"/>
                <w:color w:val="000000"/>
                <w:kern w:val="2"/>
                <w:sz w:val="21"/>
                <w:szCs w:val="21"/>
                <w:lang w:val="en-US" w:eastAsia="zh-CN" w:bidi="ar-SA"/>
              </w:rPr>
            </w:pPr>
            <w:r>
              <w:rPr>
                <w:rFonts w:hint="eastAsia" w:ascii="黑体" w:hAnsi="黑体" w:eastAsia="宋体" w:cs="宋体"/>
                <w:b w:val="0"/>
                <w:bCs w:val="0"/>
                <w:color w:val="000000"/>
                <w:kern w:val="2"/>
                <w:sz w:val="21"/>
                <w:szCs w:val="21"/>
                <w:lang w:val="en-US" w:eastAsia="zh-CN" w:bidi="ar-SA"/>
              </w:rPr>
              <w:t>禁锢螺栓；</w:t>
            </w:r>
          </w:p>
        </w:tc>
      </w:tr>
      <w:tr w14:paraId="47B214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4" w:type="dxa"/>
            <w:tcBorders>
              <w:tl2br w:val="nil"/>
              <w:tr2bl w:val="nil"/>
            </w:tcBorders>
            <w:shd w:val="clear" w:color="auto" w:fill="auto"/>
            <w:vAlign w:val="center"/>
          </w:tcPr>
          <w:p w14:paraId="6D3FF243">
            <w:pPr>
              <w:widowControl w:val="0"/>
              <w:snapToGrid w:val="0"/>
              <w:spacing w:before="0" w:after="0" w:line="240" w:lineRule="auto"/>
              <w:ind w:firstLine="0" w:firstLineChars="0"/>
              <w:jc w:val="center"/>
              <w:outlineLvl w:val="0"/>
              <w:rPr>
                <w:rFonts w:ascii="黑体" w:hAnsi="黑体" w:eastAsia="宋体" w:cs="宋体"/>
                <w:b w:val="0"/>
                <w:bCs w:val="0"/>
                <w:color w:val="000000"/>
                <w:kern w:val="2"/>
                <w:sz w:val="21"/>
                <w:szCs w:val="21"/>
                <w:lang w:val="en-US" w:eastAsia="zh-CN" w:bidi="ar-SA"/>
              </w:rPr>
            </w:pPr>
            <w:bookmarkStart w:id="21" w:name="_Toc1851"/>
            <w:r>
              <w:rPr>
                <w:rFonts w:hint="eastAsia" w:ascii="黑体" w:hAnsi="黑体" w:eastAsia="宋体" w:cs="宋体"/>
                <w:b w:val="0"/>
                <w:bCs w:val="0"/>
                <w:color w:val="000000"/>
                <w:kern w:val="2"/>
                <w:sz w:val="21"/>
                <w:szCs w:val="21"/>
                <w:lang w:val="en-US" w:eastAsia="zh-CN" w:bidi="ar-SA"/>
              </w:rPr>
              <w:t>2</w:t>
            </w:r>
            <w:bookmarkEnd w:id="21"/>
          </w:p>
        </w:tc>
        <w:tc>
          <w:tcPr>
            <w:tcW w:w="4170" w:type="dxa"/>
            <w:tcBorders>
              <w:tl2br w:val="nil"/>
              <w:tr2bl w:val="nil"/>
            </w:tcBorders>
            <w:shd w:val="clear" w:color="auto" w:fill="auto"/>
            <w:vAlign w:val="center"/>
          </w:tcPr>
          <w:p w14:paraId="493DF0B8">
            <w:pPr>
              <w:widowControl w:val="0"/>
              <w:snapToGrid w:val="0"/>
              <w:spacing w:before="0" w:after="0" w:line="240" w:lineRule="auto"/>
              <w:ind w:firstLine="0" w:firstLineChars="0"/>
              <w:jc w:val="left"/>
              <w:outlineLvl w:val="0"/>
              <w:rPr>
                <w:rFonts w:ascii="黑体" w:hAnsi="黑体" w:eastAsia="宋体" w:cs="宋体"/>
                <w:b w:val="0"/>
                <w:bCs w:val="0"/>
                <w:color w:val="000000"/>
                <w:kern w:val="2"/>
                <w:sz w:val="21"/>
                <w:szCs w:val="21"/>
                <w:lang w:val="en-US" w:eastAsia="zh-CN" w:bidi="ar-SA"/>
              </w:rPr>
            </w:pPr>
            <w:r>
              <w:rPr>
                <w:rFonts w:hint="eastAsia" w:ascii="黑体" w:hAnsi="黑体" w:eastAsia="宋体" w:cs="宋体"/>
                <w:b w:val="0"/>
                <w:bCs w:val="0"/>
                <w:color w:val="000000"/>
                <w:kern w:val="2"/>
                <w:sz w:val="21"/>
                <w:szCs w:val="21"/>
                <w:lang w:val="en-US" w:eastAsia="zh-CN" w:bidi="ar-SA"/>
              </w:rPr>
              <w:t>阀门内漏。</w:t>
            </w:r>
          </w:p>
        </w:tc>
        <w:tc>
          <w:tcPr>
            <w:tcW w:w="4126" w:type="dxa"/>
            <w:tcBorders>
              <w:tl2br w:val="nil"/>
              <w:tr2bl w:val="nil"/>
            </w:tcBorders>
            <w:shd w:val="clear" w:color="auto" w:fill="auto"/>
            <w:vAlign w:val="center"/>
          </w:tcPr>
          <w:p w14:paraId="6848B0C3">
            <w:pPr>
              <w:widowControl w:val="0"/>
              <w:snapToGrid w:val="0"/>
              <w:spacing w:before="0" w:after="0" w:line="240" w:lineRule="auto"/>
              <w:ind w:firstLine="0" w:firstLineChars="0"/>
              <w:jc w:val="left"/>
              <w:outlineLvl w:val="0"/>
              <w:rPr>
                <w:rFonts w:ascii="黑体" w:hAnsi="黑体" w:eastAsia="宋体" w:cs="宋体"/>
                <w:b w:val="0"/>
                <w:bCs w:val="0"/>
                <w:color w:val="000000"/>
                <w:kern w:val="2"/>
                <w:sz w:val="21"/>
                <w:szCs w:val="21"/>
                <w:lang w:val="en-US" w:eastAsia="zh-CN" w:bidi="ar-SA"/>
              </w:rPr>
            </w:pPr>
            <w:r>
              <w:rPr>
                <w:rFonts w:hint="eastAsia" w:ascii="黑体" w:hAnsi="黑体" w:eastAsia="宋体" w:cs="宋体"/>
                <w:b w:val="0"/>
                <w:bCs w:val="0"/>
                <w:color w:val="000000"/>
                <w:kern w:val="2"/>
                <w:sz w:val="21"/>
                <w:szCs w:val="21"/>
                <w:lang w:val="en-US" w:eastAsia="zh-CN" w:bidi="ar-SA"/>
              </w:rPr>
              <w:t>更换新阀门。</w:t>
            </w:r>
          </w:p>
        </w:tc>
      </w:tr>
    </w:tbl>
    <w:p w14:paraId="15CC9FF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该项目在试生产过程中对试生产情况进行了考核，过程控制指标（装置生产能力、产品质量指标、化学品及公用工程消耗、污染物排放指标等）均在设计范围内，72h考核期间碘乙烷产量为4.8t</w:t>
      </w:r>
      <w:r>
        <w:rPr>
          <w:rFonts w:hint="eastAsia" w:ascii="宋体" w:hAnsi="宋体" w:eastAsia="宋体" w:cs="宋体"/>
          <w:color w:val="000000"/>
          <w:sz w:val="28"/>
          <w:szCs w:val="21"/>
          <w:lang w:eastAsia="zh-CN"/>
        </w:rPr>
        <w:t>（</w:t>
      </w:r>
      <w:r>
        <w:rPr>
          <w:rFonts w:hint="eastAsia" w:ascii="宋体" w:hAnsi="宋体" w:eastAsia="宋体" w:cs="宋体"/>
          <w:color w:val="000000"/>
          <w:sz w:val="28"/>
          <w:szCs w:val="21"/>
          <w:lang w:val="en-US" w:eastAsia="zh-CN"/>
        </w:rPr>
        <w:t>碘甲烷与碘乙烷根据订单共线生产，其中碘乙烷年生产时间不超过60天</w:t>
      </w:r>
      <w:r>
        <w:rPr>
          <w:rFonts w:hint="eastAsia" w:ascii="宋体" w:hAnsi="宋体" w:eastAsia="宋体" w:cs="宋体"/>
          <w:color w:val="000000"/>
          <w:sz w:val="28"/>
          <w:szCs w:val="21"/>
          <w:lang w:eastAsia="zh-CN"/>
        </w:rPr>
        <w:t>）</w:t>
      </w:r>
      <w:r>
        <w:rPr>
          <w:rFonts w:hint="eastAsia" w:ascii="宋体" w:hAnsi="宋体" w:eastAsia="宋体" w:cs="宋体"/>
          <w:color w:val="000000"/>
          <w:sz w:val="28"/>
          <w:szCs w:val="21"/>
        </w:rPr>
        <w:t>，产能达到设计指标。考核期间，各工艺指标、消耗、质量及环保指标全部达标。考核期间生产装置及其它各设备运行平稳。</w:t>
      </w:r>
    </w:p>
    <w:p w14:paraId="6621F95C">
      <w:pPr>
        <w:adjustRightInd w:val="0"/>
        <w:snapToGrid w:val="0"/>
        <w:spacing w:line="360" w:lineRule="auto"/>
        <w:ind w:firstLine="560" w:firstLineChars="200"/>
        <w:rPr>
          <w:rFonts w:ascii="Times New Roman" w:hAnsi="Times New Roman" w:eastAsia="宋体" w:cs="Times New Roman"/>
          <w:color w:val="000000"/>
          <w:sz w:val="28"/>
          <w:szCs w:val="22"/>
        </w:rPr>
      </w:pPr>
      <w:r>
        <w:rPr>
          <w:rFonts w:hint="eastAsia" w:ascii="宋体" w:hAnsi="宋体" w:eastAsia="宋体" w:cs="宋体"/>
          <w:color w:val="000000"/>
          <w:sz w:val="28"/>
          <w:szCs w:val="21"/>
        </w:rPr>
        <w:t>生产考核结束后，企业对生产考核的原始记录进行了整理、归纳、分析，编制了该项目的试生产总结报告。</w:t>
      </w:r>
    </w:p>
    <w:p w14:paraId="40681976">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综上，该装置试运行以来各种仪表显示正常，工艺参数均在设计范围内，消防设施运行正常，气体报警设施运行正常，装置安全平稳运行至今，无异常情况发生，安全设施安全可靠，装置运行状况良好。</w:t>
      </w:r>
    </w:p>
    <w:p w14:paraId="74A591F1">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九、该项目“两重点一重大”辨识</w:t>
      </w:r>
    </w:p>
    <w:p w14:paraId="0EDCAEBC">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根据《重点监管的危险化学品名录》（2013年完整版），该项目涉及的</w:t>
      </w:r>
      <w:r>
        <w:rPr>
          <w:rFonts w:hint="eastAsia" w:ascii="宋体" w:hAnsi="宋体" w:eastAsia="宋体" w:cs="Times New Roman"/>
          <w:color w:val="000000"/>
          <w:sz w:val="28"/>
          <w:szCs w:val="21"/>
        </w:rPr>
        <w:t>重点监管危险化学品为甲醇</w:t>
      </w:r>
      <w:r>
        <w:rPr>
          <w:rFonts w:hint="eastAsia" w:ascii="宋体" w:hAnsi="宋体" w:eastAsia="宋体" w:cs="宋体"/>
          <w:color w:val="000000"/>
          <w:sz w:val="28"/>
          <w:szCs w:val="21"/>
        </w:rPr>
        <w:t>。</w:t>
      </w:r>
    </w:p>
    <w:p w14:paraId="4328103A">
      <w:pPr>
        <w:adjustRightInd w:val="0"/>
        <w:snapToGrid w:val="0"/>
        <w:spacing w:line="360" w:lineRule="auto"/>
        <w:ind w:firstLine="560" w:firstLineChars="200"/>
        <w:rPr>
          <w:rFonts w:ascii="宋体" w:hAnsi="宋体" w:eastAsia="宋体" w:cs="宋体"/>
          <w:color w:val="000000"/>
          <w:sz w:val="28"/>
          <w:szCs w:val="21"/>
        </w:rPr>
      </w:pPr>
      <w:r>
        <w:rPr>
          <w:rFonts w:hint="eastAsia" w:ascii="宋体" w:hAnsi="宋体" w:eastAsia="宋体" w:cs="宋体"/>
          <w:color w:val="000000"/>
          <w:sz w:val="28"/>
          <w:szCs w:val="21"/>
        </w:rPr>
        <w:t>根据《重点监管危险化工工艺目录》（2013完整版）及</w:t>
      </w:r>
      <w:r>
        <w:rPr>
          <w:rFonts w:hint="eastAsia" w:ascii="宋体" w:hAnsi="宋体" w:eastAsia="宋体" w:cs="宋体"/>
          <w:color w:val="000000"/>
          <w:sz w:val="28"/>
          <w:szCs w:val="22"/>
        </w:rPr>
        <w:t>《全省危险化学品安全生产机械化换人、自动化减人工作方案》（鲁应急字〔2021〕135号）</w:t>
      </w:r>
      <w:r>
        <w:rPr>
          <w:rFonts w:hint="eastAsia" w:ascii="宋体" w:hAnsi="宋体" w:eastAsia="宋体" w:cs="宋体"/>
          <w:color w:val="000000"/>
          <w:sz w:val="28"/>
          <w:szCs w:val="21"/>
        </w:rPr>
        <w:t>，该项目不涉及重点监管危险化工工艺。</w:t>
      </w:r>
    </w:p>
    <w:p w14:paraId="2374800E">
      <w:pPr>
        <w:pStyle w:val="18"/>
        <w:widowControl w:val="0"/>
        <w:adjustRightInd w:val="0"/>
        <w:snapToGrid w:val="0"/>
        <w:spacing w:line="360" w:lineRule="auto"/>
        <w:ind w:firstLine="560"/>
        <w:rPr>
          <w:rFonts w:ascii="宋体"/>
        </w:rPr>
      </w:pPr>
      <w:r>
        <w:rPr>
          <w:rFonts w:hint="eastAsia" w:ascii="宋体" w:hAnsi="宋体" w:eastAsia="宋体" w:cs="宋体"/>
          <w:color w:val="000000"/>
          <w:sz w:val="28"/>
          <w:szCs w:val="21"/>
        </w:rPr>
        <w:t>依据《危险化学品重大危险源辨识》（GB18218-2018），该项目未构成危险化学品重大危险源</w:t>
      </w:r>
      <w:r>
        <w:rPr>
          <w:rFonts w:hint="eastAsia" w:ascii="宋体"/>
        </w:rPr>
        <w:t>。</w:t>
      </w:r>
    </w:p>
    <w:p w14:paraId="188A8397">
      <w:pPr>
        <w:pageBreakBefore/>
        <w:widowControl w:val="0"/>
        <w:spacing w:before="411" w:beforeLines="100" w:after="411" w:afterLines="100" w:line="360" w:lineRule="auto"/>
        <w:jc w:val="center"/>
        <w:outlineLvl w:val="0"/>
        <w:rPr>
          <w:rFonts w:ascii="黑体" w:hAnsi="Times New Roman" w:eastAsia="黑体" w:cs="黑体"/>
          <w:color w:val="000000"/>
          <w:kern w:val="2"/>
          <w:sz w:val="32"/>
          <w:szCs w:val="21"/>
          <w:lang w:val="en-US" w:eastAsia="zh-CN" w:bidi="ar-SA"/>
        </w:rPr>
      </w:pPr>
      <w:bookmarkStart w:id="22" w:name="_Toc22578"/>
      <w:bookmarkStart w:id="23" w:name="_Toc21300"/>
      <w:r>
        <w:rPr>
          <w:rFonts w:hint="eastAsia" w:ascii="Times New Roman" w:hAnsi="Times New Roman" w:eastAsia="黑体" w:cs="Times New Roman"/>
          <w:color w:val="000000"/>
          <w:kern w:val="2"/>
          <w:sz w:val="32"/>
          <w:szCs w:val="21"/>
          <w:lang w:val="zh-CN" w:eastAsia="zh-CN" w:bidi="ar-SA"/>
        </w:rPr>
        <w:t>第四章</w:t>
      </w:r>
      <w:r>
        <w:rPr>
          <w:rFonts w:hint="eastAsia" w:ascii="Times New Roman" w:hAnsi="Times New Roman" w:eastAsia="黑体" w:cs="Times New Roman"/>
          <w:color w:val="000000"/>
          <w:kern w:val="2"/>
          <w:sz w:val="32"/>
          <w:szCs w:val="21"/>
          <w:lang w:val="en-US" w:eastAsia="zh-CN" w:bidi="ar-SA"/>
        </w:rPr>
        <w:t xml:space="preserve"> </w:t>
      </w:r>
      <w:bookmarkEnd w:id="22"/>
      <w:r>
        <w:rPr>
          <w:rFonts w:hint="eastAsia" w:ascii="Times New Roman" w:hAnsi="Times New Roman" w:eastAsia="黑体" w:cs="Times New Roman"/>
          <w:color w:val="000000"/>
          <w:kern w:val="2"/>
          <w:sz w:val="32"/>
          <w:szCs w:val="21"/>
          <w:lang w:val="zh-CN" w:eastAsia="zh-CN" w:bidi="ar-SA"/>
        </w:rPr>
        <w:t>评价单元划分和评价方法选择</w:t>
      </w:r>
      <w:bookmarkEnd w:id="23"/>
    </w:p>
    <w:p w14:paraId="14E709AE">
      <w:pPr>
        <w:widowControl w:val="0"/>
        <w:adjustRightInd w:val="0"/>
        <w:snapToGrid w:val="0"/>
        <w:spacing w:before="205" w:beforeLines="50" w:after="205" w:afterLines="50" w:line="360" w:lineRule="auto"/>
        <w:jc w:val="center"/>
        <w:outlineLvl w:val="1"/>
        <w:rPr>
          <w:rFonts w:ascii="Times New Roman" w:hAnsi="Times New Roman" w:eastAsia="楷体_GB2312" w:cs="Times New Roman"/>
          <w:b/>
          <w:color w:val="000000"/>
          <w:kern w:val="2"/>
          <w:sz w:val="32"/>
          <w:szCs w:val="21"/>
          <w:lang w:val="en-US" w:eastAsia="zh-CN" w:bidi="ar-SA"/>
        </w:rPr>
      </w:pPr>
      <w:bookmarkStart w:id="24" w:name="_Toc314037410"/>
      <w:bookmarkEnd w:id="24"/>
      <w:bookmarkStart w:id="25" w:name="_Toc10634"/>
      <w:bookmarkStart w:id="26" w:name="_Toc28358"/>
      <w:r>
        <w:rPr>
          <w:rFonts w:hint="eastAsia" w:ascii="Times New Roman" w:hAnsi="Times New Roman" w:eastAsia="楷体_GB2312" w:cs="Times New Roman"/>
          <w:b/>
          <w:color w:val="000000"/>
          <w:kern w:val="2"/>
          <w:sz w:val="32"/>
          <w:szCs w:val="21"/>
          <w:lang w:val="en-US" w:eastAsia="zh-CN" w:bidi="ar-SA"/>
        </w:rPr>
        <w:t xml:space="preserve">第一节 </w:t>
      </w:r>
      <w:bookmarkEnd w:id="25"/>
      <w:r>
        <w:rPr>
          <w:rFonts w:hint="eastAsia" w:ascii="Times New Roman" w:hAnsi="Times New Roman" w:eastAsia="楷体_GB2312" w:cs="Times New Roman"/>
          <w:b/>
          <w:color w:val="000000"/>
          <w:kern w:val="2"/>
          <w:sz w:val="32"/>
          <w:szCs w:val="21"/>
          <w:lang w:val="en-US" w:eastAsia="zh-CN" w:bidi="ar-SA"/>
        </w:rPr>
        <w:t>评价单元的划分</w:t>
      </w:r>
      <w:bookmarkEnd w:id="26"/>
    </w:p>
    <w:p w14:paraId="7E6B192C">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一、评价单元的划分原则</w:t>
      </w:r>
    </w:p>
    <w:p w14:paraId="6DB19954">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划分评价单元是为评价目标和评价方法服务的，为便于评价工作的进行，提高评价工作的准确性，评价单元一般以生产工艺、工艺装置、物料的特点和特征与危险有害因素的类别、分布，有机结合起来进行划分，还可以按评价的要求将一个评价单元再划分为若干个子单元或更细致的单元。由于评价要求和目的不同，各类评价方法均有自身的特点，只要达到评价目的，评价单元的划分并不要求绝对一致。</w:t>
      </w:r>
    </w:p>
    <w:p w14:paraId="51541E88">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评价单元的划分应遵循以下原则：</w:t>
      </w:r>
    </w:p>
    <w:p w14:paraId="23241A5B">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1、以危险有害因素的类别为主划分评价单元</w:t>
      </w:r>
    </w:p>
    <w:p w14:paraId="3B13CB75">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（1）对工艺方案、总体布置及自然条件、社会环境等影响系统的危险有害因素的分析和评价，宜将整个系统作为一个评价单元。</w:t>
      </w:r>
    </w:p>
    <w:p w14:paraId="01711C67">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（2）将具有共性危险有害因素的场所和装置划分为一个评价单元。</w:t>
      </w:r>
    </w:p>
    <w:p w14:paraId="6B5B472C">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①按危险、有害因素的类别各划分一个单元，再按工艺、物料、作业特点（即其潜在危险、有害因素的不同）划分子单元分别评价；</w:t>
      </w:r>
    </w:p>
    <w:p w14:paraId="27C66630">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②按有害因素（有害作业）的类别划分评价单元。</w:t>
      </w:r>
    </w:p>
    <w:p w14:paraId="014B008E">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2、以装置特征和物质特征划分评价单元</w:t>
      </w:r>
    </w:p>
    <w:p w14:paraId="3560F525">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（1）按装置的工艺功能划分</w:t>
      </w:r>
    </w:p>
    <w:p w14:paraId="63A950B3">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（2）按布置的相对独立性划分</w:t>
      </w:r>
    </w:p>
    <w:p w14:paraId="7189DA93">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①以安全距离、防火墙、防火堤、隔离带等与（其他）装置隔开的区域或装置部分作为一个评价单元；</w:t>
      </w:r>
    </w:p>
    <w:p w14:paraId="50931F01">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②贮存区域内通常以一个或共同防火堤（防火墙、防火建筑物）内的贮罐、贮存空间作为一个评价单元。</w:t>
      </w:r>
    </w:p>
    <w:p w14:paraId="37194EE4">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（3）按工艺条件划分</w:t>
      </w:r>
    </w:p>
    <w:p w14:paraId="60F45F63">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按操作温度、压力范围的不同，划分不同的评价单元；按开车、加料、卸车、正常运转、添加剂、检修等的不同作业条件划分评价单元。</w:t>
      </w:r>
    </w:p>
    <w:p w14:paraId="19FC3BA6">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（4）按储存、处理危险物品的潜在化学能、毒性和危险物品的数量划分</w:t>
      </w:r>
    </w:p>
    <w:p w14:paraId="7C890B3E">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①一个贮存区域内（如危险品库）贮存不同的危险物质，为了能够正确识别其相对危险性，可作不同单元处理；</w:t>
      </w:r>
    </w:p>
    <w:p w14:paraId="308155B7">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②为避免夸大评价单元的危险性，评价单元的可燃、易燃、易爆等物质应有最低限量。</w:t>
      </w:r>
    </w:p>
    <w:p w14:paraId="6CC2219F">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（5）按重点设备或区域危险划分</w:t>
      </w:r>
    </w:p>
    <w:p w14:paraId="6E90D04A">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根据以往事故资料，将发生事故能导致停产、波及范围大、造成巨大损失和伤害的关键设备作为一个评价单元，将危险、有害因素大且资金密度大的区域作为一个评价单元，将危险、有害因素特别大的区域、装置作为一个评价单元，将具有类似危险性潜能的单元合并为一个大评价单元。</w:t>
      </w:r>
    </w:p>
    <w:p w14:paraId="449386B7">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3、依据评价方法的有关规定划分评价单元。</w:t>
      </w:r>
    </w:p>
    <w:p w14:paraId="6AA4009B">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二、评价单元的分析过程</w:t>
      </w:r>
    </w:p>
    <w:p w14:paraId="30B82A41">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由于项目的地理位置应考虑地质、地形地貌、水文、气象条件、周围环境、交通运输条件、自然灾害、消防等方面的危险有害因素；厂区总平面布置主要从功能分区、防火间距和安全间距、风向、建筑物朝向、危险化学品道路、贮运等方面识别危险有害因素；建筑物从厂房的生产火灾危险性分类、耐火等级、结构、占地面积、防火间距、安全疏散等方面识别危险有害因素。故以危险有害因素的类别为主划分评价单元的原则，将项目选址、总平面布置及建筑作为一个综合评价单元。</w:t>
      </w:r>
    </w:p>
    <w:p w14:paraId="2439C154">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由于装置区的设备、设施的危险、有害因素具有共性，根据具有共性危险有害因素的场所和装置宜划分为一个评价单元的原则，将主要工艺装置、设备、设施划分为一个单元。</w:t>
      </w:r>
    </w:p>
    <w:p w14:paraId="56BA7274">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由于各公用工程和辅助设施的功能不同，同时每一部分的布置具有相对独立性，故以装置特征和物质特征划分评价单元的原则，将公用工程和辅助设施划分为一个评价单元。</w:t>
      </w:r>
    </w:p>
    <w:p w14:paraId="49C5BC28">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安全管理是以保证该项目建成后生产过程安全为目的的现代化、科学化的管理。它包括：管理制度的制订、从业人员的资格及人员培训、安全管理组织的设置、事故应急救援预案的建立与演练等方面，它作为评价对象的一个相对独立部分，宜划分为一个评价单元进行评价。</w:t>
      </w:r>
    </w:p>
    <w:p w14:paraId="41D03993">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三、评价单元的划分结果</w:t>
      </w:r>
    </w:p>
    <w:p w14:paraId="6C3D9D95">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根据上述常用的评价单元划分原则和方法，按照《安全验收评价导则》（AQ8003-2007）的要求，结合该项目工艺特点和总图布置的实际情况，本次评价划分了以下四个评价单元：</w:t>
      </w:r>
    </w:p>
    <w:p w14:paraId="12D34D86">
      <w:pPr>
        <w:widowControl w:val="0"/>
        <w:spacing w:line="360" w:lineRule="auto"/>
        <w:jc w:val="center"/>
        <w:outlineLvl w:val="4"/>
        <w:rPr>
          <w:rFonts w:ascii="黑体" w:hAnsi="黑体" w:eastAsia="黑体" w:cs="黑体"/>
          <w:color w:val="000000"/>
          <w:kern w:val="2"/>
          <w:sz w:val="24"/>
          <w:szCs w:val="28"/>
          <w:lang w:val="en-GB" w:eastAsia="zh-CN" w:bidi="ar-SA"/>
        </w:rPr>
      </w:pPr>
      <w:r>
        <w:rPr>
          <w:rFonts w:hint="eastAsia" w:ascii="黑体" w:hAnsi="黑体" w:eastAsia="黑体" w:cs="黑体"/>
          <w:color w:val="000000"/>
          <w:kern w:val="2"/>
          <w:sz w:val="24"/>
          <w:szCs w:val="28"/>
          <w:lang w:val="en-GB" w:eastAsia="zh-CN" w:bidi="ar-SA"/>
        </w:rPr>
        <w:t>表</w:t>
      </w:r>
      <w:r>
        <w:rPr>
          <w:rFonts w:hint="eastAsia" w:ascii="黑体" w:hAnsi="黑体" w:eastAsia="黑体" w:cs="黑体"/>
          <w:color w:val="000000"/>
          <w:kern w:val="2"/>
          <w:sz w:val="24"/>
          <w:szCs w:val="28"/>
          <w:lang w:val="en-US" w:eastAsia="zh-CN" w:bidi="ar-SA"/>
        </w:rPr>
        <w:t>4</w:t>
      </w:r>
      <w:r>
        <w:rPr>
          <w:rFonts w:hint="eastAsia" w:ascii="黑体" w:hAnsi="黑体" w:eastAsia="黑体" w:cs="黑体"/>
          <w:color w:val="000000"/>
          <w:kern w:val="2"/>
          <w:sz w:val="24"/>
          <w:szCs w:val="28"/>
          <w:lang w:val="en-GB" w:eastAsia="zh-CN" w:bidi="ar-SA"/>
        </w:rPr>
        <w:t>.</w:t>
      </w:r>
      <w:r>
        <w:rPr>
          <w:rFonts w:hint="eastAsia" w:ascii="黑体" w:hAnsi="黑体" w:eastAsia="黑体" w:cs="黑体"/>
          <w:color w:val="000000"/>
          <w:kern w:val="2"/>
          <w:sz w:val="24"/>
          <w:szCs w:val="28"/>
          <w:lang w:val="en-US" w:eastAsia="zh-CN" w:bidi="ar-SA"/>
        </w:rPr>
        <w:t>1</w:t>
      </w:r>
      <w:r>
        <w:rPr>
          <w:rFonts w:hint="eastAsia" w:ascii="黑体" w:hAnsi="黑体" w:eastAsia="黑体" w:cs="黑体"/>
          <w:color w:val="000000"/>
          <w:kern w:val="2"/>
          <w:sz w:val="24"/>
          <w:szCs w:val="28"/>
          <w:lang w:val="en-GB" w:eastAsia="zh-CN" w:bidi="ar-SA"/>
        </w:rPr>
        <w:t>-1</w:t>
      </w:r>
      <w:r>
        <w:rPr>
          <w:rFonts w:hint="eastAsia" w:ascii="黑体" w:hAnsi="黑体" w:eastAsia="黑体" w:cs="黑体"/>
          <w:color w:val="000000"/>
          <w:kern w:val="2"/>
          <w:sz w:val="24"/>
          <w:szCs w:val="28"/>
          <w:lang w:val="en-US" w:eastAsia="zh-CN" w:bidi="ar-SA"/>
        </w:rPr>
        <w:t xml:space="preserve"> 评价单元划分表</w:t>
      </w:r>
    </w:p>
    <w:tbl>
      <w:tblPr>
        <w:tblStyle w:val="11"/>
        <w:tblW w:w="4797" w:type="pct"/>
        <w:jc w:val="center"/>
        <w:tblLayout w:type="autofit"/>
        <w:tblCellMar>
          <w:top w:w="57" w:type="dxa"/>
          <w:left w:w="108" w:type="dxa"/>
          <w:bottom w:w="57" w:type="dxa"/>
          <w:right w:w="108" w:type="dxa"/>
        </w:tblCellMar>
      </w:tblPr>
      <w:tblGrid>
        <w:gridCol w:w="808"/>
        <w:gridCol w:w="2239"/>
        <w:gridCol w:w="5864"/>
      </w:tblGrid>
      <w:tr w14:paraId="5FFF313C">
        <w:tblPrEx>
          <w:tblCellMar>
            <w:top w:w="57" w:type="dxa"/>
            <w:left w:w="108" w:type="dxa"/>
            <w:bottom w:w="57" w:type="dxa"/>
            <w:right w:w="108" w:type="dxa"/>
          </w:tblCellMar>
        </w:tblPrEx>
        <w:trPr>
          <w:trHeight w:val="397" w:hRule="atLeast"/>
          <w:jc w:val="center"/>
        </w:trPr>
        <w:tc>
          <w:tcPr>
            <w:tcW w:w="453"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4F51D2D7">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序号</w:t>
            </w:r>
          </w:p>
        </w:tc>
        <w:tc>
          <w:tcPr>
            <w:tcW w:w="1256" w:type="pct"/>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1124EAF">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单元</w:t>
            </w:r>
          </w:p>
        </w:tc>
        <w:tc>
          <w:tcPr>
            <w:tcW w:w="3289"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06615B7B">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主要内容</w:t>
            </w:r>
          </w:p>
        </w:tc>
      </w:tr>
      <w:tr w14:paraId="44B3C78A">
        <w:tblPrEx>
          <w:tblCellMar>
            <w:top w:w="57" w:type="dxa"/>
            <w:left w:w="108" w:type="dxa"/>
            <w:bottom w:w="57" w:type="dxa"/>
            <w:right w:w="108" w:type="dxa"/>
          </w:tblCellMar>
        </w:tblPrEx>
        <w:trPr>
          <w:trHeight w:val="397" w:hRule="atLeast"/>
          <w:jc w:val="center"/>
        </w:trPr>
        <w:tc>
          <w:tcPr>
            <w:tcW w:w="453"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5C10A370">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1</w:t>
            </w:r>
          </w:p>
        </w:tc>
        <w:tc>
          <w:tcPr>
            <w:tcW w:w="125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55AD4F6">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选址、总图布置单元</w:t>
            </w:r>
          </w:p>
        </w:tc>
        <w:tc>
          <w:tcPr>
            <w:tcW w:w="328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08A8899B">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w:t>
            </w:r>
          </w:p>
        </w:tc>
      </w:tr>
      <w:tr w14:paraId="45A12D02">
        <w:tblPrEx>
          <w:tblCellMar>
            <w:top w:w="57" w:type="dxa"/>
            <w:left w:w="108" w:type="dxa"/>
            <w:bottom w:w="57" w:type="dxa"/>
            <w:right w:w="108" w:type="dxa"/>
          </w:tblCellMar>
        </w:tblPrEx>
        <w:trPr>
          <w:trHeight w:val="397" w:hRule="atLeast"/>
          <w:jc w:val="center"/>
        </w:trPr>
        <w:tc>
          <w:tcPr>
            <w:tcW w:w="453"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3FFAD6DE">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2</w:t>
            </w:r>
          </w:p>
        </w:tc>
        <w:tc>
          <w:tcPr>
            <w:tcW w:w="125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511E568">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设备、设施单元</w:t>
            </w:r>
          </w:p>
        </w:tc>
        <w:tc>
          <w:tcPr>
            <w:tcW w:w="328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6A9A89B1">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生产、储存设备和安全设施</w:t>
            </w:r>
          </w:p>
        </w:tc>
      </w:tr>
      <w:tr w14:paraId="1D4D72D6">
        <w:tblPrEx>
          <w:tblCellMar>
            <w:top w:w="57" w:type="dxa"/>
            <w:left w:w="108" w:type="dxa"/>
            <w:bottom w:w="57" w:type="dxa"/>
            <w:right w:w="108" w:type="dxa"/>
          </w:tblCellMar>
        </w:tblPrEx>
        <w:trPr>
          <w:trHeight w:val="397" w:hRule="atLeast"/>
          <w:jc w:val="center"/>
        </w:trPr>
        <w:tc>
          <w:tcPr>
            <w:tcW w:w="453"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53487A2B">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3</w:t>
            </w:r>
          </w:p>
        </w:tc>
        <w:tc>
          <w:tcPr>
            <w:tcW w:w="125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E83B8A9">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公用辅助工程单元</w:t>
            </w:r>
          </w:p>
        </w:tc>
        <w:tc>
          <w:tcPr>
            <w:tcW w:w="328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3E4FFA98">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供配电、给排水、自控、消防、防雷防静电、通风、电讯、供热、制冷、供气等</w:t>
            </w:r>
          </w:p>
        </w:tc>
      </w:tr>
      <w:tr w14:paraId="7357C0D6">
        <w:tblPrEx>
          <w:tblCellMar>
            <w:top w:w="57" w:type="dxa"/>
            <w:left w:w="108" w:type="dxa"/>
            <w:bottom w:w="57" w:type="dxa"/>
            <w:right w:w="108" w:type="dxa"/>
          </w:tblCellMar>
        </w:tblPrEx>
        <w:trPr>
          <w:trHeight w:val="397" w:hRule="atLeast"/>
          <w:jc w:val="center"/>
        </w:trPr>
        <w:tc>
          <w:tcPr>
            <w:tcW w:w="453" w:type="pct"/>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14:paraId="3F3B3882">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4</w:t>
            </w:r>
          </w:p>
        </w:tc>
        <w:tc>
          <w:tcPr>
            <w:tcW w:w="1256" w:type="pct"/>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14:paraId="5DF3B8FA">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安全管理单元</w:t>
            </w:r>
          </w:p>
        </w:tc>
        <w:tc>
          <w:tcPr>
            <w:tcW w:w="3289" w:type="pct"/>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14:paraId="6A0C4248">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安全生产管理组织机构、管理制度、救援预案的编制、人员培训和日常管理</w:t>
            </w:r>
          </w:p>
        </w:tc>
      </w:tr>
    </w:tbl>
    <w:p w14:paraId="088DB52D">
      <w:pPr>
        <w:widowControl w:val="0"/>
        <w:snapToGrid w:val="0"/>
        <w:spacing w:before="205" w:beforeLines="50" w:after="205" w:afterLines="50" w:line="360" w:lineRule="auto"/>
        <w:jc w:val="center"/>
        <w:outlineLvl w:val="1"/>
        <w:rPr>
          <w:rFonts w:ascii="Times New Roman" w:hAnsi="Times New Roman" w:eastAsia="楷体_GB2312" w:cs="Times New Roman"/>
          <w:b/>
          <w:color w:val="000000"/>
          <w:kern w:val="2"/>
          <w:sz w:val="32"/>
          <w:szCs w:val="21"/>
          <w:lang w:val="zh-CN" w:eastAsia="zh-CN" w:bidi="ar-SA"/>
        </w:rPr>
      </w:pPr>
      <w:bookmarkStart w:id="27" w:name="_Toc26557"/>
      <w:r>
        <w:rPr>
          <w:rFonts w:hint="eastAsia" w:ascii="Times New Roman" w:hAnsi="Times New Roman" w:eastAsia="楷体_GB2312" w:cs="Times New Roman"/>
          <w:b/>
          <w:color w:val="000000"/>
          <w:kern w:val="2"/>
          <w:sz w:val="32"/>
          <w:szCs w:val="21"/>
          <w:lang w:val="zh-CN" w:eastAsia="zh-CN" w:bidi="ar-SA"/>
        </w:rPr>
        <w:t>第</w:t>
      </w:r>
      <w:r>
        <w:rPr>
          <w:rFonts w:hint="eastAsia" w:ascii="Times New Roman" w:hAnsi="Times New Roman" w:eastAsia="楷体_GB2312" w:cs="Times New Roman"/>
          <w:b/>
          <w:color w:val="000000"/>
          <w:kern w:val="2"/>
          <w:sz w:val="32"/>
          <w:szCs w:val="21"/>
          <w:lang w:val="en-US" w:eastAsia="zh-CN" w:bidi="ar-SA"/>
        </w:rPr>
        <w:t>二</w:t>
      </w:r>
      <w:r>
        <w:rPr>
          <w:rFonts w:hint="eastAsia" w:ascii="Times New Roman" w:hAnsi="Times New Roman" w:eastAsia="楷体_GB2312" w:cs="Times New Roman"/>
          <w:b/>
          <w:color w:val="000000"/>
          <w:kern w:val="2"/>
          <w:sz w:val="32"/>
          <w:szCs w:val="21"/>
          <w:lang w:val="zh-CN" w:eastAsia="zh-CN" w:bidi="ar-SA"/>
        </w:rPr>
        <w:t>节</w:t>
      </w:r>
      <w:r>
        <w:rPr>
          <w:rFonts w:hint="eastAsia" w:ascii="Times New Roman" w:hAnsi="Times New Roman" w:eastAsia="楷体_GB2312" w:cs="Times New Roman"/>
          <w:b/>
          <w:color w:val="000000"/>
          <w:kern w:val="2"/>
          <w:sz w:val="32"/>
          <w:szCs w:val="21"/>
          <w:lang w:val="en-US" w:eastAsia="zh-CN" w:bidi="ar-SA"/>
        </w:rPr>
        <w:t xml:space="preserve"> 评价方法的选择</w:t>
      </w:r>
      <w:bookmarkEnd w:id="27"/>
    </w:p>
    <w:p w14:paraId="3F6C3453">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一、评价方法的介绍</w:t>
      </w:r>
    </w:p>
    <w:p w14:paraId="352017BD">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安全评价方法是进行定性、定量安全评价的工具。目前，安全评价方法有很多种，每种评价方法都有其适用范围和应用条件，选择安全评价方法时应根据安全评价的特点、具体条件和需要，针对被评价系统的实际情况、特点和和评价目标，经过认真地分析、比较来选择；必要时，应根据评价目标的要求，选择几种安全评价方法进行安全评价，互相补充、分析综合和相互验证，以提高评价结果的可靠性。</w:t>
      </w:r>
    </w:p>
    <w:p w14:paraId="2B3B815B">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1、安全检查表分析法</w:t>
      </w:r>
    </w:p>
    <w:p w14:paraId="24DE55C7">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根据有关安全规范、标准、制度及其他系统分析方法分析的结果，系统地对一个生产系统或设备进行科学的分析，找出各种不安全因素，依据检查项目把找出的不安全因素以问题清单的形式制成表，以便于实施检查和安全管理，这种表称为安全检查表。安全检查表分析法就是制订安全检查表，并依据此表实施安全检查和诊断的系统安全分析方法。</w:t>
      </w:r>
    </w:p>
    <w:p w14:paraId="008D8558">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安全检查表分析法的核心是安全检查表的编制和实施。安全检查表必须包括系统或子系统的全部主要检查点，不能忽略那些主要的、潜在的危险因素，而且还应从检查点中发现与之有关的其他因素。</w:t>
      </w:r>
    </w:p>
    <w:p w14:paraId="50413079">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安全检查表分析利用检查条款按照相关的标准、规范等对已知的危险类别、设计缺陷以及与一般工艺设备、操作、管理有关的潜在危险性和有害特性进行判别检查。</w:t>
      </w:r>
    </w:p>
    <w:p w14:paraId="6FED71F0">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安全检查表分析可适用于工程、系统的各个阶段。安全检查表可以评价物质、设备和工艺，常用于专门设计的评价，检查表也能用于在新工艺（装置）的早期开发阶段，判定和估测危险，还可以对已经运行多年的装置的危险进行评价。</w:t>
      </w:r>
    </w:p>
    <w:p w14:paraId="033903A5">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2、危险度评价法</w:t>
      </w:r>
    </w:p>
    <w:p w14:paraId="3D4D835E">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危险度评价法是一种危险指数评价法，通过从物质、容量、温度、压力和操作五个方面，对单元内潜在危险因素进行量化分析，然后累计分值，从而确定单元的危险等级。危险等级分为三个等级：高度危险（Ⅰ级）、中度危险（Ⅱ级）与低度危险（Ⅲ级）。</w:t>
      </w:r>
    </w:p>
    <w:p w14:paraId="61B5905B">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3、预先危险性分析</w:t>
      </w:r>
    </w:p>
    <w:p w14:paraId="0D6FD06C">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预先危险分析（PHA）也可称为危险性预先分析，对系统存在的危险因素类型、来源、出现的条件，导致事故的结果以及有关防范措施等作一概略分析方法。</w:t>
      </w:r>
    </w:p>
    <w:p w14:paraId="159B7F27">
      <w:pPr>
        <w:adjustRightInd w:val="0"/>
        <w:snapToGrid w:val="0"/>
        <w:spacing w:line="360" w:lineRule="auto"/>
        <w:ind w:firstLine="560" w:firstLineChars="200"/>
        <w:rPr>
          <w:rFonts w:ascii="Times New Roman" w:hAnsi="Times New Roman" w:eastAsia="宋体" w:cs="Times New Roman"/>
          <w:color w:val="000000"/>
          <w:sz w:val="28"/>
          <w:szCs w:val="28"/>
        </w:rPr>
      </w:pPr>
      <w:r>
        <w:rPr>
          <w:rFonts w:hint="eastAsia" w:ascii="宋体" w:hAnsi="宋体" w:eastAsia="宋体" w:cs="Times New Roman"/>
          <w:color w:val="000000"/>
          <w:sz w:val="28"/>
          <w:szCs w:val="21"/>
        </w:rPr>
        <w:t>4、</w:t>
      </w:r>
      <w:r>
        <w:rPr>
          <w:rFonts w:hint="eastAsia" w:ascii="Times New Roman" w:hAnsi="Times New Roman" w:eastAsia="宋体" w:cs="Times New Roman"/>
          <w:color w:val="000000"/>
          <w:sz w:val="28"/>
          <w:szCs w:val="28"/>
        </w:rPr>
        <w:t>外部防护距离计算</w:t>
      </w:r>
    </w:p>
    <w:p w14:paraId="0969AC53">
      <w:pPr>
        <w:adjustRightInd w:val="0"/>
        <w:snapToGrid w:val="0"/>
        <w:spacing w:line="360" w:lineRule="auto"/>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根据</w:t>
      </w:r>
      <w:r>
        <w:rPr>
          <w:rFonts w:hint="eastAsia" w:ascii="宋体" w:hAnsi="宋体" w:eastAsia="宋体" w:cs="宋体"/>
          <w:snapToGrid w:val="0"/>
          <w:color w:val="000000"/>
          <w:kern w:val="0"/>
          <w:sz w:val="28"/>
          <w:szCs w:val="28"/>
        </w:rPr>
        <w:t>《危险化学品生产装置和储存设施风险基准》GB36894-2018及《危险化学品生产装置和储存设施外部安全防护距离确定方法》</w:t>
      </w:r>
      <w:r>
        <w:rPr>
          <w:rFonts w:hint="eastAsia" w:ascii="宋体" w:hAnsi="宋体" w:eastAsia="宋体" w:cs="Times New Roman"/>
          <w:color w:val="000000"/>
          <w:sz w:val="28"/>
          <w:szCs w:val="22"/>
        </w:rPr>
        <w:t>GB/T37243-2019</w:t>
      </w:r>
      <w:r>
        <w:rPr>
          <w:rFonts w:hint="eastAsia" w:ascii="宋体" w:hAnsi="宋体" w:eastAsia="宋体" w:cs="宋体"/>
          <w:snapToGrid w:val="0"/>
          <w:color w:val="000000"/>
          <w:kern w:val="0"/>
          <w:sz w:val="28"/>
          <w:szCs w:val="28"/>
        </w:rPr>
        <w:t>要求，进行定量风险评价，确定事故后果及个人和社会风险值</w:t>
      </w:r>
      <w:r>
        <w:rPr>
          <w:rFonts w:hint="eastAsia" w:ascii="Times New Roman" w:hAnsi="Times New Roman" w:eastAsia="宋体" w:cs="Times New Roman"/>
          <w:color w:val="000000"/>
          <w:sz w:val="28"/>
          <w:szCs w:val="28"/>
        </w:rPr>
        <w:t>。将企业内所有的危险化学品生产装置和储存设施作为一个整体进行定量风险评估，确定外部安全防护距离。</w:t>
      </w:r>
    </w:p>
    <w:p w14:paraId="3604A5A0">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二、安全评价方法的选择</w:t>
      </w:r>
    </w:p>
    <w:p w14:paraId="6B52AAD0">
      <w:pPr>
        <w:adjustRightInd w:val="0"/>
        <w:snapToGrid w:val="0"/>
        <w:spacing w:line="360" w:lineRule="auto"/>
        <w:ind w:firstLine="560" w:firstLineChars="200"/>
        <w:rPr>
          <w:rFonts w:ascii="宋体" w:hAnsi="宋体" w:eastAsia="宋体" w:cs="Times New Roman"/>
          <w:color w:val="000000"/>
          <w:sz w:val="28"/>
          <w:szCs w:val="21"/>
        </w:rPr>
      </w:pPr>
      <w:r>
        <w:rPr>
          <w:rFonts w:hint="eastAsia" w:ascii="宋体" w:hAnsi="宋体" w:eastAsia="宋体" w:cs="Times New Roman"/>
          <w:color w:val="000000"/>
          <w:sz w:val="28"/>
          <w:szCs w:val="21"/>
        </w:rPr>
        <w:t>依据《危险化学品建设项目安全评价细则（试行）》（安监总危化[2007]255号）、《安全验收评价导则》（AQ8003-2007）的要求，对该项目安全设施竣工验收的安全评价，安全评价方法的选择应以安全检查表的方法为主，其他方面的安全评价为辅的原则，选择国际、国内通行的安全评价方法。故本次验收评价选用安全检查表法、预先危险性分析、危险度、外部防护距离对各个评价单元进行评价。对关键装置和重点部位采用危险度评价法。不同单元评价方法选择的具体情况如下：</w:t>
      </w:r>
    </w:p>
    <w:p w14:paraId="5D6FD689">
      <w:pPr>
        <w:widowControl w:val="0"/>
        <w:spacing w:line="360" w:lineRule="auto"/>
        <w:jc w:val="center"/>
        <w:outlineLvl w:val="4"/>
        <w:rPr>
          <w:rFonts w:ascii="黑体" w:hAnsi="黑体" w:eastAsia="黑体" w:cs="黑体"/>
          <w:color w:val="000000"/>
          <w:kern w:val="2"/>
          <w:sz w:val="24"/>
          <w:szCs w:val="28"/>
          <w:lang w:val="en-GB" w:eastAsia="zh-CN" w:bidi="ar-SA"/>
        </w:rPr>
      </w:pPr>
      <w:r>
        <w:rPr>
          <w:rFonts w:hint="eastAsia" w:ascii="黑体" w:hAnsi="黑体" w:eastAsia="黑体" w:cs="黑体"/>
          <w:color w:val="000000"/>
          <w:kern w:val="2"/>
          <w:sz w:val="24"/>
          <w:szCs w:val="28"/>
          <w:lang w:val="en-GB" w:eastAsia="zh-CN" w:bidi="ar-SA"/>
        </w:rPr>
        <w:t>表4.2-1 选用的安全评价方法</w:t>
      </w:r>
    </w:p>
    <w:tbl>
      <w:tblPr>
        <w:tblStyle w:val="11"/>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57" w:type="dxa"/>
          <w:left w:w="108" w:type="dxa"/>
          <w:bottom w:w="57" w:type="dxa"/>
          <w:right w:w="108" w:type="dxa"/>
        </w:tblCellMar>
      </w:tblPr>
      <w:tblGrid>
        <w:gridCol w:w="2420"/>
        <w:gridCol w:w="1497"/>
        <w:gridCol w:w="1477"/>
        <w:gridCol w:w="1945"/>
        <w:gridCol w:w="1945"/>
      </w:tblGrid>
      <w:tr w14:paraId="6A9784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580" w:hRule="atLeast"/>
          <w:jc w:val="center"/>
        </w:trPr>
        <w:tc>
          <w:tcPr>
            <w:tcW w:w="1303" w:type="pct"/>
            <w:tcBorders>
              <w:tl2br w:val="single" w:color="000000" w:sz="4" w:space="0"/>
            </w:tcBorders>
            <w:vAlign w:val="center"/>
          </w:tcPr>
          <w:p w14:paraId="2686320B">
            <w:pPr>
              <w:adjustRightInd w:val="0"/>
              <w:snapToGrid w:val="0"/>
              <w:spacing w:line="240" w:lineRule="auto"/>
              <w:ind w:firstLine="0" w:firstLineChars="0"/>
              <w:jc w:val="right"/>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方法</w:t>
            </w:r>
          </w:p>
          <w:p w14:paraId="053A9589">
            <w:pPr>
              <w:adjustRightInd w:val="0"/>
              <w:snapToGrid w:val="0"/>
              <w:spacing w:line="240" w:lineRule="auto"/>
              <w:ind w:firstLine="0" w:firstLineChars="0"/>
              <w:jc w:val="left"/>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单元</w:t>
            </w:r>
          </w:p>
        </w:tc>
        <w:tc>
          <w:tcPr>
            <w:tcW w:w="806" w:type="pct"/>
            <w:tcBorders>
              <w:tl2br w:val="nil"/>
              <w:tr2bl w:val="nil"/>
            </w:tcBorders>
            <w:tcMar>
              <w:top w:w="0" w:type="dxa"/>
              <w:left w:w="108" w:type="dxa"/>
              <w:bottom w:w="0" w:type="dxa"/>
              <w:right w:w="108" w:type="dxa"/>
            </w:tcMar>
            <w:vAlign w:val="center"/>
          </w:tcPr>
          <w:p w14:paraId="33874B76">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安全检查表</w:t>
            </w:r>
          </w:p>
        </w:tc>
        <w:tc>
          <w:tcPr>
            <w:tcW w:w="795" w:type="pct"/>
            <w:tcBorders>
              <w:tl2br w:val="nil"/>
              <w:tr2bl w:val="nil"/>
            </w:tcBorders>
            <w:tcMar>
              <w:top w:w="0" w:type="dxa"/>
              <w:left w:w="0" w:type="dxa"/>
              <w:bottom w:w="0" w:type="dxa"/>
              <w:right w:w="108" w:type="dxa"/>
            </w:tcMar>
            <w:vAlign w:val="center"/>
          </w:tcPr>
          <w:p w14:paraId="6866CB87">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危险度</w:t>
            </w:r>
          </w:p>
        </w:tc>
        <w:tc>
          <w:tcPr>
            <w:tcW w:w="1047" w:type="pct"/>
            <w:tcBorders>
              <w:tl2br w:val="nil"/>
              <w:tr2bl w:val="nil"/>
            </w:tcBorders>
            <w:tcMar>
              <w:top w:w="0" w:type="dxa"/>
              <w:left w:w="108" w:type="dxa"/>
              <w:bottom w:w="0" w:type="dxa"/>
              <w:right w:w="108" w:type="dxa"/>
            </w:tcMar>
            <w:vAlign w:val="center"/>
          </w:tcPr>
          <w:p w14:paraId="4A9AD5D4">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预先危险性分析</w:t>
            </w:r>
          </w:p>
        </w:tc>
        <w:tc>
          <w:tcPr>
            <w:tcW w:w="1047" w:type="pct"/>
            <w:tcBorders>
              <w:tl2br w:val="nil"/>
              <w:tr2bl w:val="nil"/>
            </w:tcBorders>
            <w:tcMar>
              <w:top w:w="0" w:type="dxa"/>
              <w:left w:w="108" w:type="dxa"/>
              <w:bottom w:w="0" w:type="dxa"/>
              <w:right w:w="108" w:type="dxa"/>
            </w:tcMar>
            <w:vAlign w:val="center"/>
          </w:tcPr>
          <w:p w14:paraId="310A136A">
            <w:pPr>
              <w:adjustRightInd w:val="0"/>
              <w:snapToGrid w:val="0"/>
              <w:spacing w:line="240" w:lineRule="auto"/>
              <w:ind w:firstLine="0" w:firstLineChars="0"/>
              <w:jc w:val="center"/>
              <w:rPr>
                <w:rFonts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外部防护距离</w:t>
            </w:r>
          </w:p>
        </w:tc>
      </w:tr>
      <w:tr w14:paraId="7D320C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1303" w:type="pct"/>
            <w:tcBorders>
              <w:tl2br w:val="nil"/>
              <w:tr2bl w:val="nil"/>
            </w:tcBorders>
            <w:tcMar>
              <w:top w:w="0" w:type="dxa"/>
              <w:left w:w="108" w:type="dxa"/>
              <w:bottom w:w="0" w:type="dxa"/>
              <w:right w:w="108" w:type="dxa"/>
            </w:tcMar>
            <w:vAlign w:val="center"/>
          </w:tcPr>
          <w:p w14:paraId="51C21449">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w:t>
            </w:r>
          </w:p>
        </w:tc>
        <w:tc>
          <w:tcPr>
            <w:tcW w:w="806" w:type="pct"/>
            <w:tcBorders>
              <w:tl2br w:val="nil"/>
              <w:tr2bl w:val="nil"/>
            </w:tcBorders>
            <w:tcMar>
              <w:top w:w="0" w:type="dxa"/>
              <w:left w:w="108" w:type="dxa"/>
              <w:bottom w:w="0" w:type="dxa"/>
              <w:right w:w="108" w:type="dxa"/>
            </w:tcMar>
            <w:vAlign w:val="center"/>
          </w:tcPr>
          <w:p w14:paraId="1D9117CD">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795" w:type="pct"/>
            <w:tcBorders>
              <w:tl2br w:val="nil"/>
              <w:tr2bl w:val="nil"/>
            </w:tcBorders>
            <w:tcMar>
              <w:top w:w="0" w:type="dxa"/>
              <w:left w:w="108" w:type="dxa"/>
              <w:bottom w:w="0" w:type="dxa"/>
              <w:right w:w="108" w:type="dxa"/>
            </w:tcMar>
            <w:vAlign w:val="center"/>
          </w:tcPr>
          <w:p w14:paraId="624AE0CC">
            <w:pPr>
              <w:adjustRightInd w:val="0"/>
              <w:snapToGrid w:val="0"/>
              <w:spacing w:line="240" w:lineRule="auto"/>
              <w:ind w:firstLine="0" w:firstLineChars="0"/>
              <w:jc w:val="center"/>
              <w:rPr>
                <w:rFonts w:ascii="宋体" w:hAnsi="Times New Roman" w:eastAsia="宋体" w:cs="Times New Roman"/>
                <w:color w:val="000000"/>
                <w:sz w:val="21"/>
                <w:szCs w:val="21"/>
              </w:rPr>
            </w:pPr>
          </w:p>
        </w:tc>
        <w:tc>
          <w:tcPr>
            <w:tcW w:w="1047" w:type="pct"/>
            <w:tcBorders>
              <w:tl2br w:val="nil"/>
              <w:tr2bl w:val="nil"/>
            </w:tcBorders>
            <w:tcMar>
              <w:top w:w="0" w:type="dxa"/>
              <w:left w:w="108" w:type="dxa"/>
              <w:bottom w:w="0" w:type="dxa"/>
              <w:right w:w="108" w:type="dxa"/>
            </w:tcMar>
            <w:vAlign w:val="center"/>
          </w:tcPr>
          <w:p w14:paraId="6D9EDD54">
            <w:pPr>
              <w:adjustRightInd w:val="0"/>
              <w:snapToGrid w:val="0"/>
              <w:spacing w:line="240" w:lineRule="auto"/>
              <w:ind w:firstLine="0" w:firstLineChars="0"/>
              <w:jc w:val="center"/>
              <w:rPr>
                <w:rFonts w:ascii="宋体" w:hAnsi="Times New Roman" w:eastAsia="宋体" w:cs="Times New Roman"/>
                <w:color w:val="000000"/>
                <w:sz w:val="21"/>
                <w:szCs w:val="21"/>
              </w:rPr>
            </w:pPr>
          </w:p>
        </w:tc>
        <w:tc>
          <w:tcPr>
            <w:tcW w:w="1047" w:type="pct"/>
            <w:tcBorders>
              <w:tl2br w:val="nil"/>
              <w:tr2bl w:val="nil"/>
            </w:tcBorders>
            <w:tcMar>
              <w:top w:w="0" w:type="dxa"/>
              <w:left w:w="108" w:type="dxa"/>
              <w:bottom w:w="0" w:type="dxa"/>
              <w:right w:w="108" w:type="dxa"/>
            </w:tcMar>
            <w:vAlign w:val="center"/>
          </w:tcPr>
          <w:p w14:paraId="029DDCF3">
            <w:pPr>
              <w:adjustRightInd w:val="0"/>
              <w:snapToGrid w:val="0"/>
              <w:spacing w:line="240" w:lineRule="auto"/>
              <w:ind w:firstLine="0" w:firstLineChars="0"/>
              <w:jc w:val="center"/>
              <w:rPr>
                <w:rFonts w:ascii="宋体" w:hAnsi="Times New Roman" w:eastAsia="宋体" w:cs="Times New Roman"/>
                <w:color w:val="000000"/>
                <w:sz w:val="21"/>
                <w:szCs w:val="21"/>
              </w:rPr>
            </w:pPr>
          </w:p>
        </w:tc>
      </w:tr>
      <w:tr w14:paraId="3358CF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1303" w:type="pct"/>
            <w:tcBorders>
              <w:tl2br w:val="nil"/>
              <w:tr2bl w:val="nil"/>
            </w:tcBorders>
            <w:tcMar>
              <w:top w:w="0" w:type="dxa"/>
              <w:left w:w="108" w:type="dxa"/>
              <w:bottom w:w="0" w:type="dxa"/>
              <w:right w:w="108" w:type="dxa"/>
            </w:tcMar>
            <w:vAlign w:val="center"/>
          </w:tcPr>
          <w:p w14:paraId="04147E23">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设备、设施单元</w:t>
            </w:r>
          </w:p>
        </w:tc>
        <w:tc>
          <w:tcPr>
            <w:tcW w:w="806" w:type="pct"/>
            <w:tcBorders>
              <w:tl2br w:val="nil"/>
              <w:tr2bl w:val="nil"/>
            </w:tcBorders>
            <w:tcMar>
              <w:top w:w="0" w:type="dxa"/>
              <w:left w:w="108" w:type="dxa"/>
              <w:bottom w:w="0" w:type="dxa"/>
              <w:right w:w="108" w:type="dxa"/>
            </w:tcMar>
            <w:vAlign w:val="center"/>
          </w:tcPr>
          <w:p w14:paraId="2137AD8E">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795" w:type="pct"/>
            <w:tcBorders>
              <w:tl2br w:val="nil"/>
              <w:tr2bl w:val="nil"/>
            </w:tcBorders>
            <w:tcMar>
              <w:top w:w="0" w:type="dxa"/>
              <w:left w:w="108" w:type="dxa"/>
              <w:bottom w:w="0" w:type="dxa"/>
              <w:right w:w="108" w:type="dxa"/>
            </w:tcMar>
            <w:vAlign w:val="center"/>
          </w:tcPr>
          <w:p w14:paraId="7009D3D6">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047" w:type="pct"/>
            <w:tcBorders>
              <w:tl2br w:val="nil"/>
              <w:tr2bl w:val="nil"/>
            </w:tcBorders>
            <w:tcMar>
              <w:top w:w="0" w:type="dxa"/>
              <w:left w:w="108" w:type="dxa"/>
              <w:bottom w:w="0" w:type="dxa"/>
              <w:right w:w="108" w:type="dxa"/>
            </w:tcMar>
            <w:vAlign w:val="center"/>
          </w:tcPr>
          <w:p w14:paraId="44109BDF">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047" w:type="pct"/>
            <w:tcBorders>
              <w:tl2br w:val="nil"/>
              <w:tr2bl w:val="nil"/>
            </w:tcBorders>
            <w:tcMar>
              <w:top w:w="0" w:type="dxa"/>
              <w:left w:w="108" w:type="dxa"/>
              <w:bottom w:w="0" w:type="dxa"/>
              <w:right w:w="108" w:type="dxa"/>
            </w:tcMar>
            <w:vAlign w:val="center"/>
          </w:tcPr>
          <w:p w14:paraId="4C389FD7">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r>
      <w:tr w14:paraId="5100A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1303" w:type="pct"/>
            <w:tcBorders>
              <w:tl2br w:val="nil"/>
              <w:tr2bl w:val="nil"/>
            </w:tcBorders>
            <w:tcMar>
              <w:top w:w="0" w:type="dxa"/>
              <w:left w:w="108" w:type="dxa"/>
              <w:bottom w:w="0" w:type="dxa"/>
              <w:right w:w="108" w:type="dxa"/>
            </w:tcMar>
            <w:vAlign w:val="center"/>
          </w:tcPr>
          <w:p w14:paraId="7110C38B">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公用辅助工程单元</w:t>
            </w:r>
          </w:p>
        </w:tc>
        <w:tc>
          <w:tcPr>
            <w:tcW w:w="806" w:type="pct"/>
            <w:tcBorders>
              <w:tl2br w:val="nil"/>
              <w:tr2bl w:val="nil"/>
            </w:tcBorders>
            <w:tcMar>
              <w:top w:w="0" w:type="dxa"/>
              <w:left w:w="108" w:type="dxa"/>
              <w:bottom w:w="0" w:type="dxa"/>
              <w:right w:w="108" w:type="dxa"/>
            </w:tcMar>
            <w:vAlign w:val="center"/>
          </w:tcPr>
          <w:p w14:paraId="2B2A8F4D">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795" w:type="pct"/>
            <w:tcBorders>
              <w:tl2br w:val="nil"/>
              <w:tr2bl w:val="nil"/>
            </w:tcBorders>
            <w:tcMar>
              <w:top w:w="0" w:type="dxa"/>
              <w:left w:w="108" w:type="dxa"/>
              <w:bottom w:w="0" w:type="dxa"/>
              <w:right w:w="108" w:type="dxa"/>
            </w:tcMar>
            <w:vAlign w:val="center"/>
          </w:tcPr>
          <w:p w14:paraId="1AC854B7">
            <w:pPr>
              <w:adjustRightInd w:val="0"/>
              <w:snapToGrid w:val="0"/>
              <w:spacing w:line="240" w:lineRule="auto"/>
              <w:ind w:firstLine="0" w:firstLineChars="0"/>
              <w:jc w:val="center"/>
              <w:rPr>
                <w:rFonts w:ascii="宋体" w:hAnsi="Times New Roman" w:eastAsia="宋体" w:cs="Times New Roman"/>
                <w:color w:val="000000"/>
                <w:sz w:val="21"/>
                <w:szCs w:val="21"/>
              </w:rPr>
            </w:pPr>
          </w:p>
        </w:tc>
        <w:tc>
          <w:tcPr>
            <w:tcW w:w="1047" w:type="pct"/>
            <w:tcBorders>
              <w:tl2br w:val="nil"/>
              <w:tr2bl w:val="nil"/>
            </w:tcBorders>
            <w:tcMar>
              <w:top w:w="0" w:type="dxa"/>
              <w:left w:w="108" w:type="dxa"/>
              <w:bottom w:w="0" w:type="dxa"/>
              <w:right w:w="108" w:type="dxa"/>
            </w:tcMar>
            <w:vAlign w:val="center"/>
          </w:tcPr>
          <w:p w14:paraId="1266BEDC">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047" w:type="pct"/>
            <w:tcBorders>
              <w:tl2br w:val="nil"/>
              <w:tr2bl w:val="nil"/>
            </w:tcBorders>
            <w:tcMar>
              <w:top w:w="0" w:type="dxa"/>
              <w:left w:w="108" w:type="dxa"/>
              <w:bottom w:w="0" w:type="dxa"/>
              <w:right w:w="108" w:type="dxa"/>
            </w:tcMar>
            <w:vAlign w:val="center"/>
          </w:tcPr>
          <w:p w14:paraId="0AB4B140">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Times New Roman" w:hAnsi="Times New Roman" w:eastAsia="宋体" w:cs="Times New Roman"/>
                <w:color w:val="000000"/>
                <w:sz w:val="28"/>
                <w:szCs w:val="22"/>
              </w:rPr>
              <w:t>√</w:t>
            </w:r>
          </w:p>
        </w:tc>
      </w:tr>
      <w:tr w14:paraId="7061DA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1303" w:type="pct"/>
            <w:tcBorders>
              <w:tl2br w:val="nil"/>
              <w:tr2bl w:val="nil"/>
            </w:tcBorders>
            <w:tcMar>
              <w:top w:w="0" w:type="dxa"/>
              <w:left w:w="108" w:type="dxa"/>
              <w:bottom w:w="0" w:type="dxa"/>
              <w:right w:w="108" w:type="dxa"/>
            </w:tcMar>
            <w:vAlign w:val="center"/>
          </w:tcPr>
          <w:p w14:paraId="2139502E">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安全管理单元</w:t>
            </w:r>
          </w:p>
        </w:tc>
        <w:tc>
          <w:tcPr>
            <w:tcW w:w="806" w:type="pct"/>
            <w:tcBorders>
              <w:tl2br w:val="nil"/>
              <w:tr2bl w:val="nil"/>
            </w:tcBorders>
            <w:tcMar>
              <w:top w:w="0" w:type="dxa"/>
              <w:left w:w="108" w:type="dxa"/>
              <w:bottom w:w="0" w:type="dxa"/>
              <w:right w:w="108" w:type="dxa"/>
            </w:tcMar>
            <w:vAlign w:val="center"/>
          </w:tcPr>
          <w:p w14:paraId="2EC5C230">
            <w:pPr>
              <w:adjustRightInd w:val="0"/>
              <w:snapToGrid w:val="0"/>
              <w:spacing w:line="240" w:lineRule="auto"/>
              <w:ind w:firstLine="0" w:firstLineChars="0"/>
              <w:jc w:val="center"/>
              <w:rPr>
                <w:rFonts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795" w:type="pct"/>
            <w:tcBorders>
              <w:tl2br w:val="nil"/>
              <w:tr2bl w:val="nil"/>
            </w:tcBorders>
            <w:tcMar>
              <w:top w:w="0" w:type="dxa"/>
              <w:left w:w="108" w:type="dxa"/>
              <w:bottom w:w="0" w:type="dxa"/>
              <w:right w:w="108" w:type="dxa"/>
            </w:tcMar>
            <w:vAlign w:val="center"/>
          </w:tcPr>
          <w:p w14:paraId="73B77E3B">
            <w:pPr>
              <w:adjustRightInd w:val="0"/>
              <w:snapToGrid w:val="0"/>
              <w:spacing w:line="240" w:lineRule="auto"/>
              <w:ind w:firstLine="0" w:firstLineChars="0"/>
              <w:jc w:val="center"/>
              <w:rPr>
                <w:rFonts w:ascii="宋体" w:hAnsi="Times New Roman" w:eastAsia="宋体" w:cs="Times New Roman"/>
                <w:color w:val="000000"/>
                <w:sz w:val="21"/>
                <w:szCs w:val="21"/>
              </w:rPr>
            </w:pPr>
          </w:p>
        </w:tc>
        <w:tc>
          <w:tcPr>
            <w:tcW w:w="1047" w:type="pct"/>
            <w:tcBorders>
              <w:tl2br w:val="nil"/>
              <w:tr2bl w:val="nil"/>
            </w:tcBorders>
            <w:tcMar>
              <w:top w:w="0" w:type="dxa"/>
              <w:left w:w="108" w:type="dxa"/>
              <w:bottom w:w="0" w:type="dxa"/>
              <w:right w:w="108" w:type="dxa"/>
            </w:tcMar>
            <w:vAlign w:val="center"/>
          </w:tcPr>
          <w:p w14:paraId="6172929F">
            <w:pPr>
              <w:adjustRightInd w:val="0"/>
              <w:snapToGrid w:val="0"/>
              <w:spacing w:line="240" w:lineRule="auto"/>
              <w:ind w:firstLine="0" w:firstLineChars="0"/>
              <w:jc w:val="center"/>
              <w:rPr>
                <w:rFonts w:ascii="宋体" w:hAnsi="Times New Roman" w:eastAsia="宋体" w:cs="Times New Roman"/>
                <w:color w:val="000000"/>
                <w:sz w:val="21"/>
                <w:szCs w:val="21"/>
              </w:rPr>
            </w:pPr>
          </w:p>
        </w:tc>
        <w:tc>
          <w:tcPr>
            <w:tcW w:w="1047" w:type="pct"/>
            <w:tcBorders>
              <w:tl2br w:val="nil"/>
              <w:tr2bl w:val="nil"/>
            </w:tcBorders>
            <w:tcMar>
              <w:top w:w="0" w:type="dxa"/>
              <w:left w:w="108" w:type="dxa"/>
              <w:bottom w:w="0" w:type="dxa"/>
              <w:right w:w="108" w:type="dxa"/>
            </w:tcMar>
            <w:vAlign w:val="center"/>
          </w:tcPr>
          <w:p w14:paraId="036FBAE7">
            <w:pPr>
              <w:adjustRightInd w:val="0"/>
              <w:snapToGrid w:val="0"/>
              <w:spacing w:line="240" w:lineRule="auto"/>
              <w:ind w:firstLine="0" w:firstLineChars="0"/>
              <w:jc w:val="center"/>
              <w:rPr>
                <w:rFonts w:ascii="宋体" w:hAnsi="Times New Roman" w:eastAsia="宋体" w:cs="Times New Roman"/>
                <w:color w:val="000000"/>
                <w:sz w:val="21"/>
                <w:szCs w:val="21"/>
              </w:rPr>
            </w:pPr>
          </w:p>
        </w:tc>
      </w:tr>
    </w:tbl>
    <w:p w14:paraId="446F3E17">
      <w:pPr>
        <w:pStyle w:val="18"/>
        <w:widowControl w:val="0"/>
        <w:spacing w:line="360" w:lineRule="auto"/>
        <w:ind w:firstLine="420"/>
        <w:rPr>
          <w:rFonts w:ascii="黑体" w:hAnsi="黑体" w:eastAsia="黑体"/>
          <w:sz w:val="21"/>
          <w:szCs w:val="21"/>
          <w:u w:color="000000"/>
        </w:rPr>
      </w:pPr>
      <w:r>
        <w:rPr>
          <w:rFonts w:hint="eastAsia" w:ascii="宋体" w:hAnsi="宋体" w:eastAsia="宋体" w:cs="Times New Roman"/>
          <w:color w:val="000000"/>
          <w:sz w:val="24"/>
          <w:szCs w:val="24"/>
        </w:rPr>
        <w:t>注：表中“√”表示评价单元所采用的评价方法</w:t>
      </w:r>
      <w:r>
        <w:rPr>
          <w:rFonts w:hint="eastAsia" w:ascii="宋体" w:hAnsi="宋体" w:eastAsia="宋体" w:cs="Times New Roman"/>
          <w:color w:val="000000"/>
          <w:sz w:val="24"/>
          <w:szCs w:val="24"/>
          <w:lang w:eastAsia="zh-CN"/>
        </w:rPr>
        <w:t>。</w:t>
      </w:r>
    </w:p>
    <w:p w14:paraId="4D892009">
      <w:pPr>
        <w:rPr>
          <w:rFonts w:eastAsia="黑体"/>
          <w:kern w:val="2"/>
          <w:sz w:val="32"/>
          <w:szCs w:val="21"/>
        </w:rPr>
      </w:pPr>
      <w:bookmarkStart w:id="28" w:name="_Toc15033761"/>
      <w:bookmarkStart w:id="29" w:name="_Toc102634276"/>
      <w:bookmarkStart w:id="30" w:name="_Toc102633988"/>
      <w:bookmarkStart w:id="31" w:name="_Toc9894"/>
      <w:bookmarkStart w:id="32" w:name="_Toc102633914"/>
      <w:bookmarkStart w:id="33" w:name="_Toc102634414"/>
      <w:r>
        <w:rPr>
          <w:rFonts w:eastAsia="黑体"/>
          <w:kern w:val="2"/>
          <w:sz w:val="32"/>
          <w:szCs w:val="21"/>
        </w:rPr>
        <w:br w:type="page"/>
      </w:r>
    </w:p>
    <w:bookmarkEnd w:id="28"/>
    <w:bookmarkEnd w:id="29"/>
    <w:bookmarkEnd w:id="30"/>
    <w:bookmarkEnd w:id="31"/>
    <w:bookmarkEnd w:id="32"/>
    <w:bookmarkEnd w:id="33"/>
    <w:p w14:paraId="373FFFF8">
      <w:pPr>
        <w:widowControl w:val="0"/>
        <w:snapToGrid w:val="0"/>
        <w:spacing w:before="205" w:beforeLines="50" w:after="205" w:afterLines="50" w:line="360" w:lineRule="auto"/>
        <w:jc w:val="center"/>
        <w:outlineLvl w:val="1"/>
        <w:rPr>
          <w:rFonts w:ascii="Times New Roman" w:hAnsi="Times New Roman" w:eastAsia="楷体_GB2312" w:cs="Times New Roman"/>
          <w:b/>
          <w:color w:val="000000"/>
          <w:kern w:val="2"/>
          <w:sz w:val="32"/>
          <w:szCs w:val="21"/>
          <w:lang w:val="en-US" w:eastAsia="zh-CN" w:bidi="ar-SA"/>
        </w:rPr>
      </w:pPr>
      <w:bookmarkStart w:id="34" w:name="_Toc10113"/>
      <w:r>
        <w:rPr>
          <w:rFonts w:hint="eastAsia" w:ascii="Times New Roman" w:hAnsi="Times New Roman" w:eastAsia="楷体_GB2312" w:cs="Times New Roman"/>
          <w:b/>
          <w:color w:val="000000"/>
          <w:kern w:val="2"/>
          <w:sz w:val="32"/>
          <w:szCs w:val="21"/>
          <w:lang w:val="en-US" w:eastAsia="zh-CN" w:bidi="ar-SA"/>
        </w:rPr>
        <w:t>第二节 安全对策措施及建议</w:t>
      </w:r>
      <w:bookmarkEnd w:id="34"/>
    </w:p>
    <w:p w14:paraId="2D4BA61C">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一、对存在问题隐患的建议</w:t>
      </w:r>
    </w:p>
    <w:p w14:paraId="4A3051EB">
      <w:pPr>
        <w:keepNext/>
        <w:widowControl w:val="0"/>
        <w:spacing w:line="360" w:lineRule="auto"/>
        <w:jc w:val="center"/>
        <w:outlineLvl w:val="4"/>
        <w:rPr>
          <w:rFonts w:ascii="黑体" w:hAnsi="黑体" w:eastAsia="黑体" w:cs="黑体"/>
          <w:color w:val="000000"/>
          <w:kern w:val="2"/>
          <w:sz w:val="24"/>
          <w:szCs w:val="28"/>
          <w:lang w:val="en-US" w:eastAsia="zh-CN" w:bidi="ar-SA"/>
        </w:rPr>
      </w:pPr>
      <w:r>
        <w:rPr>
          <w:rFonts w:hint="eastAsia" w:ascii="黑体" w:hAnsi="黑体" w:eastAsia="黑体" w:cs="黑体"/>
          <w:color w:val="000000"/>
          <w:kern w:val="2"/>
          <w:sz w:val="24"/>
          <w:szCs w:val="28"/>
          <w:lang w:val="en-US" w:eastAsia="zh-CN" w:bidi="ar-SA"/>
        </w:rPr>
        <w:t>表7.2-1 现场隐患及整改建议</w:t>
      </w:r>
    </w:p>
    <w:tbl>
      <w:tblPr>
        <w:tblStyle w:val="1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33"/>
        <w:gridCol w:w="3707"/>
        <w:gridCol w:w="1984"/>
        <w:gridCol w:w="2864"/>
      </w:tblGrid>
      <w:tr w14:paraId="741F4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764" w:type="dxa"/>
            <w:tcBorders>
              <w:tl2br w:val="nil"/>
              <w:tr2bl w:val="nil"/>
            </w:tcBorders>
            <w:shd w:val="clear" w:color="auto" w:fill="auto"/>
            <w:vAlign w:val="center"/>
          </w:tcPr>
          <w:p w14:paraId="3AC384BB">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序号</w:t>
            </w:r>
          </w:p>
        </w:tc>
        <w:tc>
          <w:tcPr>
            <w:tcW w:w="3865" w:type="dxa"/>
            <w:tcBorders>
              <w:tl2br w:val="nil"/>
              <w:tr2bl w:val="nil"/>
            </w:tcBorders>
            <w:shd w:val="clear" w:color="auto" w:fill="auto"/>
            <w:vAlign w:val="center"/>
          </w:tcPr>
          <w:p w14:paraId="79C7C409">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现场不符合项</w:t>
            </w:r>
          </w:p>
        </w:tc>
        <w:tc>
          <w:tcPr>
            <w:tcW w:w="2069" w:type="dxa"/>
            <w:tcBorders>
              <w:tl2br w:val="nil"/>
              <w:tr2bl w:val="nil"/>
            </w:tcBorders>
            <w:shd w:val="clear" w:color="auto" w:fill="auto"/>
            <w:vAlign w:val="center"/>
          </w:tcPr>
          <w:p w14:paraId="7FB87FC2">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检查依据</w:t>
            </w:r>
          </w:p>
        </w:tc>
        <w:tc>
          <w:tcPr>
            <w:tcW w:w="2986" w:type="dxa"/>
            <w:tcBorders>
              <w:tl2br w:val="nil"/>
              <w:tr2bl w:val="nil"/>
            </w:tcBorders>
            <w:shd w:val="clear" w:color="auto" w:fill="auto"/>
            <w:vAlign w:val="center"/>
          </w:tcPr>
          <w:p w14:paraId="640A244B">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整改建议</w:t>
            </w:r>
          </w:p>
        </w:tc>
      </w:tr>
      <w:tr w14:paraId="6FC54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764" w:type="dxa"/>
            <w:tcBorders>
              <w:tl2br w:val="nil"/>
              <w:tr2bl w:val="nil"/>
            </w:tcBorders>
            <w:shd w:val="clear" w:color="auto" w:fill="auto"/>
            <w:vAlign w:val="center"/>
          </w:tcPr>
          <w:p w14:paraId="6E7F11BA">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3865" w:type="dxa"/>
            <w:tcBorders>
              <w:tl2br w:val="nil"/>
              <w:tr2bl w:val="nil"/>
            </w:tcBorders>
            <w:shd w:val="clear" w:color="auto" w:fill="auto"/>
            <w:vAlign w:val="center"/>
          </w:tcPr>
          <w:p w14:paraId="1BD7F300">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投料间1内亚硫酸钠配置釜处防爆控制箱螺栓未上紧。</w:t>
            </w:r>
          </w:p>
        </w:tc>
        <w:tc>
          <w:tcPr>
            <w:tcW w:w="2069" w:type="dxa"/>
            <w:tcBorders>
              <w:tl2br w:val="nil"/>
              <w:tr2bl w:val="nil"/>
            </w:tcBorders>
            <w:shd w:val="clear" w:color="auto" w:fill="auto"/>
            <w:vAlign w:val="center"/>
          </w:tcPr>
          <w:p w14:paraId="4692062A">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HG20571-2014</w:t>
            </w:r>
          </w:p>
          <w:p w14:paraId="6B0357D1">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第4.1.8条</w:t>
            </w:r>
          </w:p>
        </w:tc>
        <w:tc>
          <w:tcPr>
            <w:tcW w:w="2986" w:type="dxa"/>
            <w:tcBorders>
              <w:tl2br w:val="nil"/>
              <w:tr2bl w:val="nil"/>
            </w:tcBorders>
            <w:shd w:val="clear" w:color="auto" w:fill="auto"/>
            <w:vAlign w:val="center"/>
          </w:tcPr>
          <w:p w14:paraId="7A4CCF9A">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投料间1内亚硫酸钠配置釜处防爆控制箱螺栓应上紧。</w:t>
            </w:r>
          </w:p>
        </w:tc>
      </w:tr>
      <w:tr w14:paraId="4034D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764" w:type="dxa"/>
            <w:tcBorders>
              <w:tl2br w:val="nil"/>
              <w:tr2bl w:val="nil"/>
            </w:tcBorders>
            <w:shd w:val="clear" w:color="auto" w:fill="auto"/>
            <w:vAlign w:val="center"/>
          </w:tcPr>
          <w:p w14:paraId="7F8EFFCE">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3865" w:type="dxa"/>
            <w:tcBorders>
              <w:tl2br w:val="nil"/>
              <w:tr2bl w:val="nil"/>
            </w:tcBorders>
            <w:shd w:val="clear" w:color="auto" w:fill="auto"/>
            <w:vAlign w:val="center"/>
          </w:tcPr>
          <w:p w14:paraId="2BF87F31">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中间体车间+13.00m工作平台处干燥釜、水洗水处理釜等设备设备标志不全。</w:t>
            </w:r>
          </w:p>
        </w:tc>
        <w:tc>
          <w:tcPr>
            <w:tcW w:w="2069" w:type="dxa"/>
            <w:tcBorders>
              <w:tl2br w:val="nil"/>
              <w:tr2bl w:val="nil"/>
            </w:tcBorders>
            <w:shd w:val="clear" w:color="auto" w:fill="auto"/>
            <w:vAlign w:val="center"/>
          </w:tcPr>
          <w:p w14:paraId="7734504A">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GB12801-2025</w:t>
            </w:r>
          </w:p>
          <w:p w14:paraId="2CF930C1">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第5.7.4条</w:t>
            </w:r>
          </w:p>
        </w:tc>
        <w:tc>
          <w:tcPr>
            <w:tcW w:w="2986" w:type="dxa"/>
            <w:tcBorders>
              <w:tl2br w:val="nil"/>
              <w:tr2bl w:val="nil"/>
            </w:tcBorders>
            <w:shd w:val="clear" w:color="auto" w:fill="auto"/>
            <w:vAlign w:val="center"/>
          </w:tcPr>
          <w:p w14:paraId="6ED017FA">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中间体车间+13.00m工作平台处干燥釜、水洗水处理釜等设备应补充设备标志。</w:t>
            </w:r>
          </w:p>
        </w:tc>
      </w:tr>
      <w:tr w14:paraId="76428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764" w:type="dxa"/>
            <w:tcBorders>
              <w:tl2br w:val="nil"/>
              <w:tr2bl w:val="nil"/>
            </w:tcBorders>
            <w:shd w:val="clear" w:color="auto" w:fill="auto"/>
            <w:vAlign w:val="center"/>
          </w:tcPr>
          <w:p w14:paraId="462A9956">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3865" w:type="dxa"/>
            <w:tcBorders>
              <w:tl2br w:val="nil"/>
              <w:tr2bl w:val="nil"/>
            </w:tcBorders>
            <w:shd w:val="clear" w:color="auto" w:fill="auto"/>
            <w:vAlign w:val="center"/>
          </w:tcPr>
          <w:p w14:paraId="6B495800">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投料间1内亚硫酸钠打料泵处压缩空气管脱落。</w:t>
            </w:r>
          </w:p>
        </w:tc>
        <w:tc>
          <w:tcPr>
            <w:tcW w:w="2069" w:type="dxa"/>
            <w:tcBorders>
              <w:tl2br w:val="nil"/>
              <w:tr2bl w:val="nil"/>
            </w:tcBorders>
            <w:shd w:val="clear" w:color="auto" w:fill="auto"/>
            <w:vAlign w:val="center"/>
          </w:tcPr>
          <w:p w14:paraId="77C1D715">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GB50029-2014</w:t>
            </w:r>
          </w:p>
          <w:p w14:paraId="62652DCC">
            <w:pPr>
              <w:adjustRightInd w:val="0"/>
              <w:snapToGrid w:val="0"/>
              <w:spacing w:line="240" w:lineRule="auto"/>
              <w:ind w:firstLine="0" w:firstLineChars="0"/>
              <w:jc w:val="center"/>
              <w:rPr>
                <w:rFonts w:ascii="宋体" w:hAnsi="宋体" w:eastAsia="宋体" w:cs="宋体"/>
                <w:color w:val="000000"/>
                <w:sz w:val="21"/>
                <w:szCs w:val="21"/>
              </w:rPr>
            </w:pPr>
            <w:r>
              <w:rPr>
                <w:rFonts w:hint="eastAsia" w:ascii="宋体" w:hAnsi="宋体" w:eastAsia="宋体" w:cs="宋体"/>
                <w:color w:val="000000"/>
                <w:sz w:val="21"/>
                <w:szCs w:val="21"/>
              </w:rPr>
              <w:t>第9.0.8条</w:t>
            </w:r>
          </w:p>
        </w:tc>
        <w:tc>
          <w:tcPr>
            <w:tcW w:w="2986" w:type="dxa"/>
            <w:tcBorders>
              <w:tl2br w:val="nil"/>
              <w:tr2bl w:val="nil"/>
            </w:tcBorders>
            <w:shd w:val="clear" w:color="auto" w:fill="auto"/>
            <w:vAlign w:val="center"/>
          </w:tcPr>
          <w:p w14:paraId="5E9ADDF9">
            <w:pPr>
              <w:adjustRightInd w:val="0"/>
              <w:snapToGrid w:val="0"/>
              <w:spacing w:line="240" w:lineRule="auto"/>
              <w:ind w:firstLine="0" w:firstLineChars="0"/>
              <w:jc w:val="left"/>
              <w:rPr>
                <w:rFonts w:ascii="宋体" w:hAnsi="宋体" w:eastAsia="宋体" w:cs="宋体"/>
                <w:color w:val="000000"/>
                <w:sz w:val="21"/>
                <w:szCs w:val="21"/>
              </w:rPr>
            </w:pPr>
            <w:r>
              <w:rPr>
                <w:rFonts w:hint="eastAsia" w:ascii="宋体" w:hAnsi="宋体" w:eastAsia="宋体" w:cs="宋体"/>
                <w:color w:val="000000"/>
                <w:sz w:val="21"/>
                <w:szCs w:val="21"/>
              </w:rPr>
              <w:t>应及时维护投料间1内亚硫酸钠打料泵处压缩空气管。</w:t>
            </w:r>
          </w:p>
        </w:tc>
      </w:tr>
    </w:tbl>
    <w:p w14:paraId="70EBBE25">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二、隐患整改情况复查结果</w:t>
      </w:r>
    </w:p>
    <w:p w14:paraId="1EEA9026">
      <w:pPr>
        <w:widowControl w:val="0"/>
        <w:spacing w:line="360" w:lineRule="auto"/>
        <w:jc w:val="center"/>
        <w:outlineLvl w:val="4"/>
        <w:rPr>
          <w:rFonts w:ascii="黑体" w:hAnsi="黑体" w:eastAsia="黑体" w:cs="黑体"/>
          <w:color w:val="000000"/>
          <w:kern w:val="2"/>
          <w:sz w:val="24"/>
          <w:szCs w:val="28"/>
          <w:lang w:val="en-US" w:eastAsia="zh-CN" w:bidi="ar-SA"/>
        </w:rPr>
      </w:pPr>
      <w:r>
        <w:rPr>
          <w:rFonts w:hint="eastAsia" w:ascii="黑体" w:hAnsi="黑体" w:eastAsia="黑体" w:cs="黑体"/>
          <w:color w:val="000000"/>
          <w:kern w:val="2"/>
          <w:sz w:val="24"/>
          <w:szCs w:val="28"/>
          <w:lang w:val="en-US" w:eastAsia="zh-CN" w:bidi="ar-SA"/>
        </w:rPr>
        <w:t>表7.2-2 现场隐患及整改情况</w:t>
      </w:r>
    </w:p>
    <w:tbl>
      <w:tblPr>
        <w:tblStyle w:val="1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14"/>
        <w:gridCol w:w="3253"/>
        <w:gridCol w:w="3465"/>
        <w:gridCol w:w="1655"/>
      </w:tblGrid>
      <w:tr w14:paraId="01439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3" w:type="dxa"/>
            <w:tcBorders>
              <w:tl2br w:val="nil"/>
              <w:tr2bl w:val="nil"/>
            </w:tcBorders>
            <w:shd w:val="clear" w:color="auto" w:fill="auto"/>
            <w:vAlign w:val="center"/>
          </w:tcPr>
          <w:p w14:paraId="27A8BB47">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序号</w:t>
            </w:r>
          </w:p>
        </w:tc>
        <w:tc>
          <w:tcPr>
            <w:tcW w:w="3392" w:type="dxa"/>
            <w:tcBorders>
              <w:tl2br w:val="nil"/>
              <w:tr2bl w:val="nil"/>
            </w:tcBorders>
            <w:shd w:val="clear" w:color="auto" w:fill="auto"/>
            <w:vAlign w:val="center"/>
          </w:tcPr>
          <w:p w14:paraId="0F25527C">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现场不符合项</w:t>
            </w:r>
          </w:p>
        </w:tc>
        <w:tc>
          <w:tcPr>
            <w:tcW w:w="3613" w:type="dxa"/>
            <w:tcBorders>
              <w:tl2br w:val="nil"/>
              <w:tr2bl w:val="nil"/>
            </w:tcBorders>
            <w:shd w:val="clear" w:color="auto" w:fill="auto"/>
            <w:vAlign w:val="center"/>
          </w:tcPr>
          <w:p w14:paraId="25DA21A9">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整改情况</w:t>
            </w:r>
          </w:p>
        </w:tc>
        <w:tc>
          <w:tcPr>
            <w:tcW w:w="1726" w:type="dxa"/>
            <w:tcBorders>
              <w:tl2br w:val="nil"/>
              <w:tr2bl w:val="nil"/>
            </w:tcBorders>
            <w:shd w:val="clear" w:color="auto" w:fill="auto"/>
            <w:vAlign w:val="center"/>
          </w:tcPr>
          <w:p w14:paraId="3C4A163A">
            <w:pPr>
              <w:adjustRightInd w:val="0"/>
              <w:snapToGrid w:val="0"/>
              <w:spacing w:line="240" w:lineRule="auto"/>
              <w:ind w:firstLine="0" w:firstLineChars="0"/>
              <w:jc w:val="center"/>
              <w:rPr>
                <w:rFonts w:ascii="宋体" w:hAnsi="Times New Roman" w:eastAsia="宋体" w:cs="宋体"/>
                <w:b/>
                <w:bCs/>
                <w:color w:val="000000"/>
                <w:sz w:val="21"/>
                <w:szCs w:val="21"/>
              </w:rPr>
            </w:pPr>
            <w:r>
              <w:rPr>
                <w:rFonts w:hint="eastAsia" w:ascii="宋体" w:hAnsi="Times New Roman" w:eastAsia="宋体" w:cs="宋体"/>
                <w:b/>
                <w:bCs/>
                <w:color w:val="000000"/>
                <w:sz w:val="21"/>
                <w:szCs w:val="21"/>
              </w:rPr>
              <w:t>结论</w:t>
            </w:r>
          </w:p>
        </w:tc>
      </w:tr>
      <w:tr w14:paraId="5321F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3" w:type="dxa"/>
            <w:tcBorders>
              <w:tl2br w:val="nil"/>
              <w:tr2bl w:val="nil"/>
            </w:tcBorders>
            <w:shd w:val="clear" w:color="auto" w:fill="auto"/>
            <w:vAlign w:val="center"/>
          </w:tcPr>
          <w:p w14:paraId="1891912E">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1</w:t>
            </w:r>
          </w:p>
        </w:tc>
        <w:tc>
          <w:tcPr>
            <w:tcW w:w="3392" w:type="dxa"/>
            <w:tcBorders>
              <w:tl2br w:val="nil"/>
              <w:tr2bl w:val="nil"/>
            </w:tcBorders>
            <w:shd w:val="clear" w:color="auto" w:fill="auto"/>
            <w:vAlign w:val="center"/>
          </w:tcPr>
          <w:p w14:paraId="237B48A3">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投料间1内亚硫酸钠配置釜处防爆控制箱螺栓未上紧。</w:t>
            </w:r>
          </w:p>
        </w:tc>
        <w:tc>
          <w:tcPr>
            <w:tcW w:w="3613" w:type="dxa"/>
            <w:tcBorders>
              <w:tl2br w:val="nil"/>
              <w:tr2bl w:val="nil"/>
            </w:tcBorders>
            <w:shd w:val="clear" w:color="auto" w:fill="auto"/>
            <w:vAlign w:val="center"/>
          </w:tcPr>
          <w:p w14:paraId="4B9E59A9">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投料间1内亚硫酸钠配置釜处防爆控制箱螺栓已上紧。</w:t>
            </w:r>
          </w:p>
        </w:tc>
        <w:tc>
          <w:tcPr>
            <w:tcW w:w="1726" w:type="dxa"/>
            <w:tcBorders>
              <w:tl2br w:val="nil"/>
              <w:tr2bl w:val="nil"/>
            </w:tcBorders>
            <w:shd w:val="clear" w:color="auto" w:fill="auto"/>
            <w:vAlign w:val="center"/>
          </w:tcPr>
          <w:p w14:paraId="14E292AF">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已整改，符合</w:t>
            </w:r>
          </w:p>
        </w:tc>
      </w:tr>
      <w:tr w14:paraId="656C6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3" w:type="dxa"/>
            <w:tcBorders>
              <w:tl2br w:val="nil"/>
              <w:tr2bl w:val="nil"/>
            </w:tcBorders>
            <w:shd w:val="clear" w:color="auto" w:fill="auto"/>
            <w:vAlign w:val="center"/>
          </w:tcPr>
          <w:p w14:paraId="59F854EB">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2</w:t>
            </w:r>
          </w:p>
        </w:tc>
        <w:tc>
          <w:tcPr>
            <w:tcW w:w="3392" w:type="dxa"/>
            <w:tcBorders>
              <w:tl2br w:val="nil"/>
              <w:tr2bl w:val="nil"/>
            </w:tcBorders>
            <w:shd w:val="clear" w:color="auto" w:fill="auto"/>
            <w:vAlign w:val="center"/>
          </w:tcPr>
          <w:p w14:paraId="26DEA03A">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中间体车间+13.00m工作平台处干燥釜、水洗水处理釜等设备设备标志不全。</w:t>
            </w:r>
          </w:p>
        </w:tc>
        <w:tc>
          <w:tcPr>
            <w:tcW w:w="3613" w:type="dxa"/>
            <w:tcBorders>
              <w:tl2br w:val="nil"/>
              <w:tr2bl w:val="nil"/>
            </w:tcBorders>
            <w:shd w:val="clear" w:color="auto" w:fill="auto"/>
            <w:vAlign w:val="center"/>
          </w:tcPr>
          <w:p w14:paraId="45B59747">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中间体车间+13.00m工作平台处干燥釜、水洗水处理釜等设备已补充设备标志。</w:t>
            </w:r>
          </w:p>
        </w:tc>
        <w:tc>
          <w:tcPr>
            <w:tcW w:w="1726" w:type="dxa"/>
            <w:tcBorders>
              <w:tl2br w:val="nil"/>
              <w:tr2bl w:val="nil"/>
            </w:tcBorders>
            <w:shd w:val="clear" w:color="auto" w:fill="auto"/>
            <w:vAlign w:val="center"/>
          </w:tcPr>
          <w:p w14:paraId="62796033">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已整改，符合</w:t>
            </w:r>
          </w:p>
        </w:tc>
      </w:tr>
      <w:tr w14:paraId="150A3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3" w:type="dxa"/>
            <w:tcBorders>
              <w:tl2br w:val="nil"/>
              <w:tr2bl w:val="nil"/>
            </w:tcBorders>
            <w:shd w:val="clear" w:color="auto" w:fill="auto"/>
            <w:vAlign w:val="center"/>
          </w:tcPr>
          <w:p w14:paraId="0A308508">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3</w:t>
            </w:r>
          </w:p>
        </w:tc>
        <w:tc>
          <w:tcPr>
            <w:tcW w:w="3392" w:type="dxa"/>
            <w:tcBorders>
              <w:tl2br w:val="nil"/>
              <w:tr2bl w:val="nil"/>
            </w:tcBorders>
            <w:shd w:val="clear" w:color="auto" w:fill="auto"/>
            <w:vAlign w:val="center"/>
          </w:tcPr>
          <w:p w14:paraId="026C2B3F">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投料间1内亚硫酸钠打料泵处压缩空气管脱落。</w:t>
            </w:r>
          </w:p>
        </w:tc>
        <w:tc>
          <w:tcPr>
            <w:tcW w:w="3613" w:type="dxa"/>
            <w:tcBorders>
              <w:tl2br w:val="nil"/>
              <w:tr2bl w:val="nil"/>
            </w:tcBorders>
            <w:shd w:val="clear" w:color="auto" w:fill="auto"/>
            <w:vAlign w:val="center"/>
          </w:tcPr>
          <w:p w14:paraId="0AC3D13A">
            <w:pPr>
              <w:adjustRightInd w:val="0"/>
              <w:snapToGrid w:val="0"/>
              <w:spacing w:line="240" w:lineRule="auto"/>
              <w:ind w:firstLine="0" w:firstLineChars="0"/>
              <w:jc w:val="left"/>
              <w:rPr>
                <w:rFonts w:ascii="宋体" w:hAnsi="Times New Roman" w:eastAsia="宋体" w:cs="宋体"/>
                <w:color w:val="000000"/>
                <w:sz w:val="21"/>
                <w:szCs w:val="21"/>
              </w:rPr>
            </w:pPr>
            <w:r>
              <w:rPr>
                <w:rFonts w:hint="eastAsia" w:ascii="宋体" w:hAnsi="宋体" w:eastAsia="宋体" w:cs="宋体"/>
                <w:color w:val="000000"/>
                <w:sz w:val="21"/>
                <w:szCs w:val="21"/>
              </w:rPr>
              <w:t>已维护投料间1内亚硫酸钠打料泵处压缩空气管。</w:t>
            </w:r>
          </w:p>
        </w:tc>
        <w:tc>
          <w:tcPr>
            <w:tcW w:w="1726" w:type="dxa"/>
            <w:tcBorders>
              <w:tl2br w:val="nil"/>
              <w:tr2bl w:val="nil"/>
            </w:tcBorders>
            <w:shd w:val="clear" w:color="auto" w:fill="auto"/>
            <w:vAlign w:val="center"/>
          </w:tcPr>
          <w:p w14:paraId="153E6089">
            <w:pPr>
              <w:adjustRightInd w:val="0"/>
              <w:snapToGrid w:val="0"/>
              <w:spacing w:line="240" w:lineRule="auto"/>
              <w:ind w:firstLine="0" w:firstLineChars="0"/>
              <w:jc w:val="center"/>
              <w:rPr>
                <w:rFonts w:ascii="宋体" w:hAnsi="Times New Roman" w:eastAsia="宋体" w:cs="宋体"/>
                <w:color w:val="000000"/>
                <w:sz w:val="21"/>
                <w:szCs w:val="21"/>
              </w:rPr>
            </w:pPr>
            <w:r>
              <w:rPr>
                <w:rFonts w:hint="eastAsia" w:ascii="宋体" w:hAnsi="Times New Roman" w:eastAsia="宋体" w:cs="宋体"/>
                <w:color w:val="000000"/>
                <w:sz w:val="21"/>
                <w:szCs w:val="21"/>
              </w:rPr>
              <w:t>已整改，符合</w:t>
            </w:r>
          </w:p>
        </w:tc>
      </w:tr>
    </w:tbl>
    <w:p w14:paraId="13379AD0">
      <w:pPr>
        <w:pStyle w:val="18"/>
        <w:spacing w:line="360" w:lineRule="auto"/>
        <w:ind w:firstLine="560"/>
        <w:rPr>
          <w:rFonts w:hint="eastAsia" w:ascii="宋体" w:eastAsia="宋体"/>
          <w:lang w:eastAsia="zh-CN"/>
        </w:rPr>
        <w:sectPr>
          <w:pgSz w:w="11906" w:h="16838"/>
          <w:pgMar w:top="1417" w:right="1417" w:bottom="1417" w:left="1417" w:header="851" w:footer="992" w:gutter="0"/>
          <w:cols w:space="425" w:num="1"/>
          <w:docGrid w:type="lines" w:linePitch="312" w:charSpace="0"/>
        </w:sectPr>
      </w:pPr>
    </w:p>
    <w:p w14:paraId="74EDDD91">
      <w:pPr>
        <w:pStyle w:val="5"/>
        <w:spacing w:line="240" w:lineRule="auto"/>
        <w:ind w:firstLine="0" w:firstLineChars="0"/>
        <w:rPr>
          <w:rFonts w:hint="eastAsia" w:eastAsiaTheme="minorEastAsia"/>
          <w:color w:val="auto"/>
          <w:sz w:val="28"/>
          <w:szCs w:val="20"/>
          <w:lang w:eastAsia="zh-CN"/>
        </w:rPr>
      </w:pPr>
      <w:r>
        <w:rPr>
          <w:rFonts w:hint="eastAsia" w:eastAsiaTheme="minorEastAsia"/>
          <w:color w:val="auto"/>
          <w:sz w:val="28"/>
          <w:szCs w:val="20"/>
          <w:lang w:eastAsia="zh-CN"/>
        </w:rPr>
        <w:drawing>
          <wp:inline distT="0" distB="0" distL="114300" distR="114300">
            <wp:extent cx="5641340" cy="8892540"/>
            <wp:effectExtent l="0" t="0" r="16510" b="381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9"/>
                    <a:stretch>
                      <a:fillRect/>
                    </a:stretch>
                  </pic:blipFill>
                  <pic:spPr>
                    <a:xfrm>
                      <a:off x="0" y="0"/>
                      <a:ext cx="5641340" cy="8892540"/>
                    </a:xfrm>
                    <a:prstGeom prst="rect">
                      <a:avLst/>
                    </a:prstGeom>
                  </pic:spPr>
                </pic:pic>
              </a:graphicData>
            </a:graphic>
          </wp:inline>
        </w:drawing>
      </w:r>
      <w:r>
        <w:rPr>
          <w:rFonts w:hint="eastAsia" w:eastAsiaTheme="minorEastAsia"/>
          <w:color w:val="auto"/>
          <w:sz w:val="28"/>
          <w:szCs w:val="20"/>
          <w:lang w:eastAsia="zh-CN"/>
        </w:rPr>
        <w:drawing>
          <wp:inline distT="0" distB="0" distL="114300" distR="114300">
            <wp:extent cx="5142230" cy="8863965"/>
            <wp:effectExtent l="0" t="0" r="1270" b="1333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0"/>
                    <a:stretch>
                      <a:fillRect/>
                    </a:stretch>
                  </pic:blipFill>
                  <pic:spPr>
                    <a:xfrm>
                      <a:off x="0" y="0"/>
                      <a:ext cx="5142230" cy="8863965"/>
                    </a:xfrm>
                    <a:prstGeom prst="rect">
                      <a:avLst/>
                    </a:prstGeom>
                  </pic:spPr>
                </pic:pic>
              </a:graphicData>
            </a:graphic>
          </wp:inline>
        </w:drawing>
      </w:r>
      <w:bookmarkStart w:id="35" w:name="_GoBack"/>
      <w:r>
        <w:rPr>
          <w:rFonts w:hint="eastAsia" w:eastAsiaTheme="minorEastAsia"/>
          <w:color w:val="auto"/>
          <w:sz w:val="28"/>
          <w:szCs w:val="20"/>
          <w:lang w:eastAsia="zh-CN"/>
        </w:rPr>
        <w:drawing>
          <wp:inline distT="0" distB="0" distL="114300" distR="114300">
            <wp:extent cx="5511165" cy="8883015"/>
            <wp:effectExtent l="0" t="0" r="13335" b="13335"/>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11"/>
                    <a:stretch>
                      <a:fillRect/>
                    </a:stretch>
                  </pic:blipFill>
                  <pic:spPr>
                    <a:xfrm>
                      <a:off x="0" y="0"/>
                      <a:ext cx="5511165" cy="8883015"/>
                    </a:xfrm>
                    <a:prstGeom prst="rect">
                      <a:avLst/>
                    </a:prstGeom>
                  </pic:spPr>
                </pic:pic>
              </a:graphicData>
            </a:graphic>
          </wp:inline>
        </w:drawing>
      </w:r>
      <w:bookmarkEnd w:id="35"/>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yN2NlOGVhYmMyMmY2ZjU2NWRlMjUwNzMzOGE0MTYifQ=="/>
  </w:docVars>
  <w:rsids>
    <w:rsidRoot w:val="35CC29B8"/>
    <w:rsid w:val="000B1CB3"/>
    <w:rsid w:val="00111901"/>
    <w:rsid w:val="005248C1"/>
    <w:rsid w:val="00616DBD"/>
    <w:rsid w:val="00AD5E97"/>
    <w:rsid w:val="00B64575"/>
    <w:rsid w:val="02E561BC"/>
    <w:rsid w:val="03B21DD7"/>
    <w:rsid w:val="03CC63D7"/>
    <w:rsid w:val="09D5345C"/>
    <w:rsid w:val="0A27015B"/>
    <w:rsid w:val="0BD51C61"/>
    <w:rsid w:val="0D0B1052"/>
    <w:rsid w:val="0EC853E9"/>
    <w:rsid w:val="0EDC1223"/>
    <w:rsid w:val="0F6C3855"/>
    <w:rsid w:val="13C277AD"/>
    <w:rsid w:val="13D12EE6"/>
    <w:rsid w:val="153C4810"/>
    <w:rsid w:val="16BC1C2B"/>
    <w:rsid w:val="1E1E483E"/>
    <w:rsid w:val="22CB7136"/>
    <w:rsid w:val="284F788D"/>
    <w:rsid w:val="28E348A1"/>
    <w:rsid w:val="2A9D36CA"/>
    <w:rsid w:val="2E374561"/>
    <w:rsid w:val="2EB02BD7"/>
    <w:rsid w:val="2EC41433"/>
    <w:rsid w:val="315D76A2"/>
    <w:rsid w:val="32DB1C5F"/>
    <w:rsid w:val="335F1F61"/>
    <w:rsid w:val="354E2190"/>
    <w:rsid w:val="355F439E"/>
    <w:rsid w:val="35CC29B8"/>
    <w:rsid w:val="37224F7B"/>
    <w:rsid w:val="3B343FFC"/>
    <w:rsid w:val="3BB85D78"/>
    <w:rsid w:val="420C1409"/>
    <w:rsid w:val="46BE3C6F"/>
    <w:rsid w:val="4706325F"/>
    <w:rsid w:val="48FE4AE5"/>
    <w:rsid w:val="4B7D0EF4"/>
    <w:rsid w:val="510C73E4"/>
    <w:rsid w:val="537F016A"/>
    <w:rsid w:val="54F4335B"/>
    <w:rsid w:val="55D40D5D"/>
    <w:rsid w:val="563D798B"/>
    <w:rsid w:val="567C6788"/>
    <w:rsid w:val="56A7547E"/>
    <w:rsid w:val="579A241E"/>
    <w:rsid w:val="58081FD7"/>
    <w:rsid w:val="59D26E89"/>
    <w:rsid w:val="5A893A0E"/>
    <w:rsid w:val="5AB85F0C"/>
    <w:rsid w:val="5AD22D98"/>
    <w:rsid w:val="5B242EC8"/>
    <w:rsid w:val="5E953707"/>
    <w:rsid w:val="60200DF5"/>
    <w:rsid w:val="65373F31"/>
    <w:rsid w:val="68772688"/>
    <w:rsid w:val="68F91E38"/>
    <w:rsid w:val="6AD40467"/>
    <w:rsid w:val="6BAD4EA1"/>
    <w:rsid w:val="6BF95CAB"/>
    <w:rsid w:val="6D0669CA"/>
    <w:rsid w:val="702F2971"/>
    <w:rsid w:val="717A11AE"/>
    <w:rsid w:val="72127AC6"/>
    <w:rsid w:val="72FD2CFB"/>
    <w:rsid w:val="73C95CFD"/>
    <w:rsid w:val="74004819"/>
    <w:rsid w:val="74F77EEF"/>
    <w:rsid w:val="7772596D"/>
    <w:rsid w:val="7AB02F22"/>
    <w:rsid w:val="7EA90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4">
    <w:name w:val="annotation text"/>
    <w:basedOn w:val="1"/>
    <w:qFormat/>
    <w:uiPriority w:val="0"/>
    <w:pPr>
      <w:jc w:val="left"/>
    </w:p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u w:color="000000"/>
    </w:rPr>
  </w:style>
  <w:style w:type="paragraph" w:styleId="6">
    <w:name w:val="Body Text Indent"/>
    <w:basedOn w:val="1"/>
    <w:qFormat/>
    <w:uiPriority w:val="0"/>
    <w:pPr>
      <w:spacing w:after="120"/>
      <w:ind w:left="420" w:leftChars="200"/>
    </w:pPr>
  </w:style>
  <w:style w:type="paragraph" w:styleId="7">
    <w:name w:val="Plain Text"/>
    <w:basedOn w:val="1"/>
    <w:unhideWhenUsed/>
    <w:qFormat/>
    <w:uiPriority w:val="99"/>
    <w:rPr>
      <w:rFonts w:ascii="宋体" w:hAnsi="Courier New"/>
      <w:kern w:val="0"/>
      <w:sz w:val="20"/>
      <w:szCs w:val="20"/>
    </w:rPr>
  </w:style>
  <w:style w:type="paragraph" w:styleId="8">
    <w:name w:val="Title"/>
    <w:basedOn w:val="1"/>
    <w:next w:val="1"/>
    <w:qFormat/>
    <w:uiPriority w:val="0"/>
    <w:pPr>
      <w:spacing w:before="240" w:after="60"/>
      <w:jc w:val="center"/>
      <w:outlineLvl w:val="0"/>
    </w:pPr>
    <w:rPr>
      <w:rFonts w:ascii="Arial" w:hAnsi="Arial"/>
      <w:b/>
      <w:sz w:val="32"/>
    </w:rPr>
  </w:style>
  <w:style w:type="paragraph" w:styleId="9">
    <w:name w:val="Body Text First Indent"/>
    <w:basedOn w:val="5"/>
    <w:next w:val="1"/>
    <w:qFormat/>
    <w:uiPriority w:val="0"/>
    <w:pPr>
      <w:ind w:firstLine="420" w:firstLineChars="100"/>
    </w:pPr>
    <w:rPr>
      <w:b/>
      <w:u w:val="single"/>
    </w:rPr>
  </w:style>
  <w:style w:type="paragraph" w:styleId="10">
    <w:name w:val="Body Text First Indent 2"/>
    <w:basedOn w:val="6"/>
    <w:next w:val="1"/>
    <w:qFormat/>
    <w:uiPriority w:val="0"/>
    <w:pPr>
      <w:tabs>
        <w:tab w:val="left" w:pos="6120"/>
      </w:tabs>
      <w:spacing w:line="520" w:lineRule="exact"/>
      <w:ind w:left="0" w:leftChars="0"/>
    </w:pPr>
    <w:rPr>
      <w:rFonts w:ascii="黑体" w:hAnsi="黑体" w:eastAsia="黑体" w:cs="宋体"/>
      <w:sz w:val="28"/>
    </w:rPr>
  </w:style>
  <w:style w:type="table" w:styleId="12">
    <w:name w:val="Table Gri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111"/>
    <w:basedOn w:val="15"/>
    <w:qFormat/>
    <w:uiPriority w:val="0"/>
    <w:pPr>
      <w:widowControl/>
      <w:jc w:val="left"/>
    </w:pPr>
    <w:rPr>
      <w:rFonts w:ascii="宋体" w:hAnsi="宋体" w:eastAsia="宋体" w:cs="宋体"/>
      <w:kern w:val="0"/>
      <w:sz w:val="24"/>
      <w:szCs w:val="24"/>
    </w:rPr>
  </w:style>
  <w:style w:type="paragraph" w:customStyle="1" w:styleId="15">
    <w:name w:val="题目"/>
    <w:basedOn w:val="1"/>
    <w:qFormat/>
    <w:uiPriority w:val="0"/>
    <w:pPr>
      <w:jc w:val="center"/>
      <w:outlineLvl w:val="0"/>
    </w:pPr>
    <w:rPr>
      <w:rFonts w:ascii="黑体" w:hAnsi="黑体" w:eastAsia="黑体"/>
      <w:sz w:val="32"/>
      <w:szCs w:val="32"/>
    </w:rPr>
  </w:style>
  <w:style w:type="paragraph" w:customStyle="1" w:styleId="16">
    <w:name w:val="Table Text"/>
    <w:basedOn w:val="1"/>
    <w:semiHidden/>
    <w:qFormat/>
    <w:uiPriority w:val="0"/>
    <w:rPr>
      <w:rFonts w:ascii="宋体" w:hAnsi="宋体" w:eastAsia="宋体" w:cs="宋体"/>
      <w:sz w:val="20"/>
      <w:szCs w:val="20"/>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9">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20">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1">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2">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3">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4">
    <w:name w:val="表内文字"/>
    <w:basedOn w:val="7"/>
    <w:qFormat/>
    <w:uiPriority w:val="0"/>
    <w:pPr>
      <w:spacing w:line="320" w:lineRule="exact"/>
      <w:jc w:val="center"/>
    </w:pPr>
    <w:rPr>
      <w:rFonts w:ascii="Times New Roman" w:hAnsi="Times New Roman"/>
      <w:kern w:val="2"/>
      <w:sz w:val="21"/>
      <w:szCs w:val="21"/>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760</Words>
  <Characters>857</Characters>
  <Lines>25</Lines>
  <Paragraphs>7</Paragraphs>
  <TotalTime>0</TotalTime>
  <ScaleCrop>false</ScaleCrop>
  <LinksUpToDate>false</LinksUpToDate>
  <CharactersWithSpaces>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Adminisitrator</cp:lastModifiedBy>
  <dcterms:modified xsi:type="dcterms:W3CDTF">2026-06-23T03:28:45Z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eyJoZGlkIjoiZDAyN2NlOGVhYmMyMmY2ZjU2NWRlMjUwNzMzOGE0MTYiLCJ1c2VySWQiOiIxNTA4ODg5MTM0In0=</vt:lpwstr>
  </property>
</Properties>
</file>