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B9779">
      <w:pPr>
        <w:jc w:val="center"/>
        <w:rPr>
          <w:rFonts w:hint="eastAsia" w:ascii="黑体" w:hAnsi="黑体" w:eastAsia="黑体" w:cs="黑体"/>
          <w:sz w:val="28"/>
          <w:szCs w:val="28"/>
        </w:rPr>
      </w:pPr>
      <w:r>
        <w:rPr>
          <w:rFonts w:hint="eastAsia" w:ascii="黑体" w:hAnsi="黑体" w:eastAsia="黑体" w:cs="黑体"/>
          <w:sz w:val="28"/>
          <w:szCs w:val="28"/>
        </w:rPr>
        <w:t>安全评价项目信息表</w:t>
      </w:r>
    </w:p>
    <w:p w14:paraId="2E2E7E1F">
      <w:pPr>
        <w:rPr>
          <w:rFonts w:hint="eastAsia"/>
          <w:sz w:val="21"/>
          <w:szCs w:val="21"/>
          <w:lang w:val="en-US" w:eastAsia="zh-CN"/>
        </w:rPr>
      </w:pPr>
      <w:r>
        <w:rPr>
          <w:rFonts w:hint="eastAsia"/>
          <w:sz w:val="21"/>
          <w:szCs w:val="21"/>
          <w:lang w:val="en-US" w:eastAsia="zh-CN"/>
        </w:rPr>
        <w:t>项目编号：</w:t>
      </w:r>
    </w:p>
    <w:tbl>
      <w:tblPr>
        <w:tblStyle w:val="12"/>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68" w:type="dxa"/>
          <w:left w:w="108" w:type="dxa"/>
          <w:bottom w:w="68" w:type="dxa"/>
          <w:right w:w="108" w:type="dxa"/>
        </w:tblCellMar>
      </w:tblPr>
      <w:tblGrid>
        <w:gridCol w:w="1832"/>
        <w:gridCol w:w="2188"/>
        <w:gridCol w:w="2350"/>
        <w:gridCol w:w="2918"/>
      </w:tblGrid>
      <w:tr w14:paraId="332239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2F45E67">
            <w:pPr>
              <w:autoSpaceDE w:val="0"/>
              <w:autoSpaceDN w:val="0"/>
              <w:adjustRightInd w:val="0"/>
              <w:snapToGrid w:val="0"/>
              <w:spacing w:line="240" w:lineRule="auto"/>
              <w:ind w:firstLine="0" w:firstLineChars="0"/>
              <w:jc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项目名称</w:t>
            </w:r>
          </w:p>
        </w:tc>
        <w:tc>
          <w:tcPr>
            <w:tcW w:w="7456" w:type="dxa"/>
            <w:gridSpan w:val="3"/>
            <w:tcBorders>
              <w:tl2br w:val="nil"/>
              <w:tr2bl w:val="nil"/>
            </w:tcBorders>
            <w:shd w:val="clear" w:color="auto" w:fill="auto"/>
            <w:vAlign w:val="center"/>
          </w:tcPr>
          <w:p w14:paraId="5F0EE625">
            <w:pPr>
              <w:autoSpaceDE w:val="0"/>
              <w:autoSpaceDN w:val="0"/>
              <w:adjustRightInd w:val="0"/>
              <w:snapToGrid w:val="0"/>
              <w:spacing w:line="240" w:lineRule="auto"/>
              <w:ind w:firstLine="0" w:firstLineChars="0"/>
              <w:jc w:val="center"/>
              <w:rPr>
                <w:rFonts w:hint="default" w:ascii="宋体" w:hAnsi="宋体" w:eastAsia="宋体" w:cs="宋体"/>
                <w:b w:val="0"/>
                <w:bCs w:val="0"/>
                <w:color w:val="auto"/>
                <w:kern w:val="0"/>
                <w:sz w:val="21"/>
                <w:szCs w:val="21"/>
                <w:highlight w:val="none"/>
                <w:lang w:val="en-US"/>
              </w:rPr>
            </w:pPr>
            <w:r>
              <w:rPr>
                <w:rFonts w:hint="eastAsia" w:ascii="宋体" w:hAnsi="宋体" w:eastAsia="宋体" w:cs="宋体"/>
                <w:b w:val="0"/>
                <w:bCs w:val="0"/>
                <w:color w:val="auto"/>
                <w:kern w:val="0"/>
                <w:sz w:val="21"/>
                <w:szCs w:val="21"/>
                <w:highlight w:val="none"/>
                <w:lang w:val="en-US" w:eastAsia="zh-CN"/>
              </w:rPr>
              <w:t>泰安市昌荣石化销售有限公司改造项目安全设施竣工验收评价</w:t>
            </w:r>
          </w:p>
        </w:tc>
      </w:tr>
      <w:tr w14:paraId="1F3FA4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966" w:hRule="atLeast"/>
          <w:jc w:val="center"/>
        </w:trPr>
        <w:tc>
          <w:tcPr>
            <w:tcW w:w="1832" w:type="dxa"/>
            <w:tcBorders>
              <w:tl2br w:val="nil"/>
              <w:tr2bl w:val="nil"/>
            </w:tcBorders>
            <w:shd w:val="clear" w:color="auto" w:fill="auto"/>
            <w:vAlign w:val="center"/>
          </w:tcPr>
          <w:p w14:paraId="591D3CED">
            <w:pPr>
              <w:autoSpaceDE w:val="0"/>
              <w:autoSpaceDN w:val="0"/>
              <w:adjustRightInd w:val="0"/>
              <w:snapToGrid w:val="0"/>
              <w:spacing w:line="240" w:lineRule="auto"/>
              <w:ind w:firstLine="0" w:firstLineChars="0"/>
              <w:jc w:val="left"/>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项目简介</w:t>
            </w:r>
          </w:p>
        </w:tc>
        <w:tc>
          <w:tcPr>
            <w:tcW w:w="7456" w:type="dxa"/>
            <w:gridSpan w:val="3"/>
            <w:tcBorders>
              <w:tl2br w:val="nil"/>
              <w:tr2bl w:val="nil"/>
            </w:tcBorders>
            <w:shd w:val="clear" w:color="auto" w:fill="auto"/>
            <w:noWrap/>
            <w:vAlign w:val="center"/>
          </w:tcPr>
          <w:p w14:paraId="32CCB21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加油站原为中国石化山东泰山石油股份有限公司泰安第四十二加油站，该站原有4台30m</w:t>
            </w:r>
            <w:r>
              <w:rPr>
                <w:rFonts w:hint="eastAsia" w:asciiTheme="minorEastAsia" w:hAnsiTheme="minorEastAsia" w:eastAsiaTheme="minorEastAsia" w:cstheme="minorEastAsia"/>
                <w:color w:val="auto"/>
                <w:sz w:val="21"/>
                <w:szCs w:val="21"/>
                <w:highlight w:val="none"/>
                <w:vertAlign w:val="superscript"/>
                <w:lang w:val="en-US" w:eastAsia="zh-CN"/>
              </w:rPr>
              <w:t>3</w:t>
            </w:r>
            <w:r>
              <w:rPr>
                <w:rFonts w:hint="eastAsia" w:asciiTheme="minorEastAsia" w:hAnsiTheme="minorEastAsia" w:eastAsiaTheme="minorEastAsia" w:cstheme="minorEastAsia"/>
                <w:color w:val="auto"/>
                <w:sz w:val="21"/>
                <w:szCs w:val="21"/>
                <w:highlight w:val="none"/>
                <w:lang w:val="en-US" w:eastAsia="zh-CN"/>
              </w:rPr>
              <w:t>卧式双层储罐（1台92#汽油罐、1台95#汽油罐、1台98#汽油罐、1台柴油罐），5台加油机：其中4台单枪加油机、1台双枪加油机，均为自吸式</w:t>
            </w:r>
            <w:r>
              <w:rPr>
                <w:rFonts w:hint="eastAsia" w:asciiTheme="minorEastAsia" w:hAnsiTheme="minorEastAsia" w:cstheme="minorEastAsia"/>
                <w:color w:val="auto"/>
                <w:sz w:val="21"/>
                <w:szCs w:val="21"/>
                <w:highlight w:val="none"/>
                <w:lang w:val="en-US" w:eastAsia="zh-CN"/>
              </w:rPr>
              <w:t>。</w:t>
            </w:r>
          </w:p>
          <w:p w14:paraId="10FB250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both"/>
              <w:textAlignment w:val="auto"/>
              <w:rPr>
                <w:rFonts w:hint="eastAsia" w:ascii="宋体" w:hAnsi="宋体" w:cs="宋体" w:eastAsiaTheme="minorEastAsia"/>
                <w:b w:val="0"/>
                <w:bCs w:val="0"/>
                <w:color w:val="auto"/>
                <w:kern w:val="0"/>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现泰安市昌荣石化销售有限公司对该站进行改建。具体改建内容为：拆除原有加油机，更换为4台潜油泵式加油机（2台4枪92#/95#汽油加油机，1台4枪92#汽油加油机，1台双枪柴油加油机）并敷设油罐到加油机处工艺管线，每台汽油加油机各配置1个可燃气体探测器并于站房增加可燃气体报警控制器；设4台30m</w:t>
            </w:r>
            <w:r>
              <w:rPr>
                <w:rFonts w:hint="eastAsia" w:asciiTheme="minorEastAsia" w:hAnsiTheme="minorEastAsia" w:eastAsiaTheme="minorEastAsia" w:cstheme="minorEastAsia"/>
                <w:color w:val="auto"/>
                <w:sz w:val="21"/>
                <w:szCs w:val="21"/>
                <w:highlight w:val="none"/>
                <w:vertAlign w:val="superscript"/>
                <w:lang w:val="en-US" w:eastAsia="zh-CN"/>
              </w:rPr>
              <w:t>3</w:t>
            </w:r>
            <w:r>
              <w:rPr>
                <w:rFonts w:hint="eastAsia" w:asciiTheme="minorEastAsia" w:hAnsiTheme="minorEastAsia" w:eastAsiaTheme="minorEastAsia" w:cstheme="minorEastAsia"/>
                <w:color w:val="auto"/>
                <w:sz w:val="21"/>
                <w:szCs w:val="21"/>
                <w:highlight w:val="none"/>
                <w:lang w:val="en-US" w:eastAsia="zh-CN"/>
              </w:rPr>
              <w:t>双层储罐；设4台30m</w:t>
            </w:r>
            <w:r>
              <w:rPr>
                <w:rFonts w:hint="eastAsia" w:asciiTheme="minorEastAsia" w:hAnsiTheme="minorEastAsia" w:eastAsiaTheme="minorEastAsia" w:cstheme="minorEastAsia"/>
                <w:color w:val="auto"/>
                <w:sz w:val="21"/>
                <w:szCs w:val="21"/>
                <w:highlight w:val="none"/>
                <w:vertAlign w:val="superscript"/>
                <w:lang w:val="en-US" w:eastAsia="zh-CN"/>
              </w:rPr>
              <w:t>3</w:t>
            </w:r>
            <w:r>
              <w:rPr>
                <w:rFonts w:hint="eastAsia" w:asciiTheme="minorEastAsia" w:hAnsiTheme="minorEastAsia" w:eastAsiaTheme="minorEastAsia" w:cstheme="minorEastAsia"/>
                <w:color w:val="auto"/>
                <w:sz w:val="21"/>
                <w:szCs w:val="21"/>
                <w:highlight w:val="none"/>
                <w:lang w:val="en-US" w:eastAsia="zh-CN"/>
              </w:rPr>
              <w:t>双层储罐：2台92#汽油储罐、1台95#汽油储罐、1台柴油储罐（原98#汽油罐改为92#汽油罐，其余油罐依托原有）；对原有罩棚、站房进行简单装修；液位检测系统、双层管道渗漏监测系统、双层罐渗漏监测系统、视频监控系统、三次油气回收处理系统、消防一体柜均依托站区原有；变压器位置由原来西南角移至东南角，并增大容量；在加油区西侧增设洗车机；在站房西侧增设车棚。</w:t>
            </w:r>
          </w:p>
        </w:tc>
      </w:tr>
      <w:tr w14:paraId="24236B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3634F0C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评价人员</w:t>
            </w:r>
          </w:p>
        </w:tc>
        <w:tc>
          <w:tcPr>
            <w:tcW w:w="4538" w:type="dxa"/>
            <w:gridSpan w:val="2"/>
            <w:tcBorders>
              <w:tl2br w:val="nil"/>
              <w:tr2bl w:val="nil"/>
            </w:tcBorders>
            <w:shd w:val="clear" w:color="auto" w:fill="auto"/>
            <w:noWrap/>
            <w:vAlign w:val="center"/>
          </w:tcPr>
          <w:p w14:paraId="7AFCBB5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姓  名</w:t>
            </w:r>
          </w:p>
        </w:tc>
        <w:tc>
          <w:tcPr>
            <w:tcW w:w="2918" w:type="dxa"/>
            <w:tcBorders>
              <w:tl2br w:val="nil"/>
              <w:tr2bl w:val="nil"/>
            </w:tcBorders>
            <w:shd w:val="clear" w:color="auto" w:fill="auto"/>
            <w:noWrap/>
            <w:vAlign w:val="center"/>
          </w:tcPr>
          <w:p w14:paraId="4459B15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备注</w:t>
            </w:r>
          </w:p>
        </w:tc>
      </w:tr>
      <w:tr w14:paraId="071273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20029CA9">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项目负责人</w:t>
            </w:r>
          </w:p>
        </w:tc>
        <w:tc>
          <w:tcPr>
            <w:tcW w:w="4538" w:type="dxa"/>
            <w:gridSpan w:val="2"/>
            <w:tcBorders>
              <w:tl2br w:val="nil"/>
              <w:tr2bl w:val="nil"/>
            </w:tcBorders>
            <w:shd w:val="clear" w:color="auto" w:fill="auto"/>
            <w:noWrap/>
            <w:vAlign w:val="center"/>
          </w:tcPr>
          <w:p w14:paraId="054FFDF5">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辛磊</w:t>
            </w:r>
          </w:p>
        </w:tc>
        <w:tc>
          <w:tcPr>
            <w:tcW w:w="2918" w:type="dxa"/>
            <w:tcBorders>
              <w:tl2br w:val="nil"/>
              <w:tr2bl w:val="nil"/>
            </w:tcBorders>
            <w:shd w:val="clear" w:color="auto" w:fill="auto"/>
            <w:noWrap/>
            <w:vAlign w:val="center"/>
          </w:tcPr>
          <w:p w14:paraId="13B5539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068DF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5BB9D89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项目组成员</w:t>
            </w:r>
          </w:p>
        </w:tc>
        <w:tc>
          <w:tcPr>
            <w:tcW w:w="4538" w:type="dxa"/>
            <w:gridSpan w:val="2"/>
            <w:tcBorders>
              <w:tl2br w:val="nil"/>
              <w:tr2bl w:val="nil"/>
            </w:tcBorders>
            <w:shd w:val="clear" w:color="auto" w:fill="auto"/>
            <w:noWrap/>
            <w:vAlign w:val="center"/>
          </w:tcPr>
          <w:p w14:paraId="08442A67">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en-US"/>
              </w:rPr>
            </w:pPr>
            <w:r>
              <w:rPr>
                <w:rFonts w:hint="eastAsia" w:ascii="宋体" w:hAnsi="宋体" w:eastAsia="宋体" w:cs="宋体"/>
                <w:color w:val="auto"/>
                <w:kern w:val="0"/>
                <w:sz w:val="21"/>
                <w:szCs w:val="21"/>
                <w:highlight w:val="none"/>
                <w:lang w:val="en-US" w:eastAsia="zh-CN"/>
              </w:rPr>
              <w:t>刘卫国</w:t>
            </w:r>
          </w:p>
        </w:tc>
        <w:tc>
          <w:tcPr>
            <w:tcW w:w="2918" w:type="dxa"/>
            <w:tcBorders>
              <w:tl2br w:val="nil"/>
              <w:tr2bl w:val="nil"/>
            </w:tcBorders>
            <w:shd w:val="clear" w:color="auto" w:fill="auto"/>
            <w:noWrap/>
            <w:vAlign w:val="center"/>
          </w:tcPr>
          <w:p w14:paraId="38A9161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51D2D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4BBF44E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0A5C369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en-US"/>
              </w:rPr>
            </w:pPr>
            <w:r>
              <w:rPr>
                <w:rFonts w:hint="eastAsia" w:ascii="宋体" w:hAnsi="宋体" w:eastAsia="宋体" w:cs="宋体"/>
                <w:color w:val="auto"/>
                <w:kern w:val="0"/>
                <w:sz w:val="21"/>
                <w:szCs w:val="21"/>
                <w:highlight w:val="none"/>
                <w:lang w:val="en-US" w:eastAsia="zh-CN"/>
              </w:rPr>
              <w:t>王静</w:t>
            </w:r>
          </w:p>
        </w:tc>
        <w:tc>
          <w:tcPr>
            <w:tcW w:w="2918" w:type="dxa"/>
            <w:tcBorders>
              <w:tl2br w:val="nil"/>
              <w:tr2bl w:val="nil"/>
            </w:tcBorders>
            <w:shd w:val="clear" w:color="auto" w:fill="auto"/>
            <w:noWrap/>
            <w:vAlign w:val="center"/>
          </w:tcPr>
          <w:p w14:paraId="252EC6F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2F889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D09BAD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01431AE7">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马琳琳</w:t>
            </w:r>
          </w:p>
        </w:tc>
        <w:tc>
          <w:tcPr>
            <w:tcW w:w="2918" w:type="dxa"/>
            <w:tcBorders>
              <w:tl2br w:val="nil"/>
              <w:tr2bl w:val="nil"/>
            </w:tcBorders>
            <w:shd w:val="clear" w:color="auto" w:fill="auto"/>
            <w:noWrap/>
            <w:vAlign w:val="center"/>
          </w:tcPr>
          <w:p w14:paraId="5892932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C126F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57244E7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57E32863">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赵云峰</w:t>
            </w:r>
          </w:p>
        </w:tc>
        <w:tc>
          <w:tcPr>
            <w:tcW w:w="2918" w:type="dxa"/>
            <w:tcBorders>
              <w:tl2br w:val="nil"/>
              <w:tr2bl w:val="nil"/>
            </w:tcBorders>
            <w:shd w:val="clear" w:color="auto" w:fill="auto"/>
            <w:noWrap/>
            <w:vAlign w:val="center"/>
          </w:tcPr>
          <w:p w14:paraId="6DD091F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27B46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D776A54">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报告编制人</w:t>
            </w:r>
          </w:p>
        </w:tc>
        <w:tc>
          <w:tcPr>
            <w:tcW w:w="4538" w:type="dxa"/>
            <w:gridSpan w:val="2"/>
            <w:tcBorders>
              <w:tl2br w:val="nil"/>
              <w:tr2bl w:val="nil"/>
            </w:tcBorders>
            <w:shd w:val="clear" w:color="auto" w:fill="auto"/>
            <w:noWrap/>
            <w:vAlign w:val="center"/>
          </w:tcPr>
          <w:p w14:paraId="4C20FD2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辛磊</w:t>
            </w:r>
          </w:p>
        </w:tc>
        <w:tc>
          <w:tcPr>
            <w:tcW w:w="2918" w:type="dxa"/>
            <w:tcBorders>
              <w:tl2br w:val="nil"/>
              <w:tr2bl w:val="nil"/>
            </w:tcBorders>
            <w:shd w:val="clear" w:color="auto" w:fill="auto"/>
            <w:noWrap/>
            <w:vAlign w:val="center"/>
          </w:tcPr>
          <w:p w14:paraId="79A2C8F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3D33E9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D943057">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报告审核人</w:t>
            </w:r>
          </w:p>
        </w:tc>
        <w:tc>
          <w:tcPr>
            <w:tcW w:w="4538" w:type="dxa"/>
            <w:gridSpan w:val="2"/>
            <w:tcBorders>
              <w:tl2br w:val="nil"/>
              <w:tr2bl w:val="nil"/>
            </w:tcBorders>
            <w:shd w:val="clear" w:color="auto" w:fill="auto"/>
            <w:noWrap/>
            <w:vAlign w:val="center"/>
          </w:tcPr>
          <w:p w14:paraId="32611B2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en-US"/>
              </w:rPr>
            </w:pPr>
            <w:r>
              <w:rPr>
                <w:rFonts w:hint="eastAsia" w:ascii="宋体" w:hAnsi="宋体" w:eastAsia="宋体" w:cs="宋体"/>
                <w:color w:val="auto"/>
                <w:kern w:val="0"/>
                <w:sz w:val="21"/>
                <w:szCs w:val="21"/>
                <w:highlight w:val="none"/>
                <w:lang w:val="en-US" w:eastAsia="zh-CN"/>
              </w:rPr>
              <w:t>赵燕</w:t>
            </w:r>
          </w:p>
        </w:tc>
        <w:tc>
          <w:tcPr>
            <w:tcW w:w="2918" w:type="dxa"/>
            <w:tcBorders>
              <w:tl2br w:val="nil"/>
              <w:tr2bl w:val="nil"/>
            </w:tcBorders>
            <w:shd w:val="clear" w:color="auto" w:fill="auto"/>
            <w:noWrap/>
            <w:vAlign w:val="center"/>
          </w:tcPr>
          <w:p w14:paraId="5AA14393">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2BD6FC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384A697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过程控制负责人</w:t>
            </w:r>
          </w:p>
        </w:tc>
        <w:tc>
          <w:tcPr>
            <w:tcW w:w="4538" w:type="dxa"/>
            <w:gridSpan w:val="2"/>
            <w:tcBorders>
              <w:tl2br w:val="nil"/>
              <w:tr2bl w:val="nil"/>
            </w:tcBorders>
            <w:shd w:val="clear" w:color="auto" w:fill="auto"/>
            <w:noWrap/>
            <w:vAlign w:val="center"/>
          </w:tcPr>
          <w:p w14:paraId="77C469F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刘云红</w:t>
            </w:r>
          </w:p>
        </w:tc>
        <w:tc>
          <w:tcPr>
            <w:tcW w:w="2918" w:type="dxa"/>
            <w:tcBorders>
              <w:tl2br w:val="nil"/>
              <w:tr2bl w:val="nil"/>
            </w:tcBorders>
            <w:shd w:val="clear" w:color="auto" w:fill="auto"/>
            <w:noWrap/>
            <w:vAlign w:val="center"/>
          </w:tcPr>
          <w:p w14:paraId="6425764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765BAD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tcBorders>
              <w:tl2br w:val="nil"/>
              <w:tr2bl w:val="nil"/>
            </w:tcBorders>
            <w:shd w:val="clear" w:color="auto" w:fill="auto"/>
            <w:vAlign w:val="center"/>
          </w:tcPr>
          <w:p w14:paraId="6E51160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技术负责人</w:t>
            </w:r>
          </w:p>
        </w:tc>
        <w:tc>
          <w:tcPr>
            <w:tcW w:w="4538" w:type="dxa"/>
            <w:gridSpan w:val="2"/>
            <w:tcBorders>
              <w:tl2br w:val="nil"/>
              <w:tr2bl w:val="nil"/>
            </w:tcBorders>
            <w:shd w:val="clear" w:color="auto" w:fill="auto"/>
            <w:noWrap/>
            <w:vAlign w:val="center"/>
          </w:tcPr>
          <w:p w14:paraId="412D6BDB">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孙虎</w:t>
            </w:r>
          </w:p>
        </w:tc>
        <w:tc>
          <w:tcPr>
            <w:tcW w:w="2918" w:type="dxa"/>
            <w:tcBorders>
              <w:tl2br w:val="nil"/>
              <w:tr2bl w:val="nil"/>
            </w:tcBorders>
            <w:shd w:val="clear" w:color="auto" w:fill="auto"/>
            <w:noWrap/>
            <w:vAlign w:val="center"/>
          </w:tcPr>
          <w:p w14:paraId="1A98D6A7">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1DE885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0ED39F22">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技术专家</w:t>
            </w:r>
          </w:p>
          <w:p w14:paraId="54D3B77C">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或有关技术人员</w:t>
            </w:r>
          </w:p>
        </w:tc>
        <w:tc>
          <w:tcPr>
            <w:tcW w:w="4538" w:type="dxa"/>
            <w:gridSpan w:val="2"/>
            <w:tcBorders>
              <w:tl2br w:val="nil"/>
              <w:tr2bl w:val="nil"/>
            </w:tcBorders>
            <w:shd w:val="clear" w:color="auto" w:fill="auto"/>
            <w:noWrap/>
            <w:vAlign w:val="center"/>
          </w:tcPr>
          <w:p w14:paraId="285EDAC6">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01DE44E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6FBF8D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25DAA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506D4018">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66078CA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54590A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5D61292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5974AE2C">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5951DB7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B8E13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24AA97A4">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4538" w:type="dxa"/>
            <w:gridSpan w:val="2"/>
            <w:tcBorders>
              <w:tl2br w:val="nil"/>
              <w:tr2bl w:val="nil"/>
            </w:tcBorders>
            <w:shd w:val="clear" w:color="auto" w:fill="auto"/>
            <w:noWrap/>
            <w:vAlign w:val="center"/>
          </w:tcPr>
          <w:p w14:paraId="0959ECEF">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918" w:type="dxa"/>
            <w:tcBorders>
              <w:tl2br w:val="nil"/>
              <w:tr2bl w:val="nil"/>
            </w:tcBorders>
            <w:shd w:val="clear" w:color="auto" w:fill="auto"/>
            <w:noWrap/>
            <w:vAlign w:val="center"/>
          </w:tcPr>
          <w:p w14:paraId="5AB2ECF5">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r>
      <w:tr w14:paraId="4C3EFD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restart"/>
            <w:tcBorders>
              <w:tl2br w:val="nil"/>
              <w:tr2bl w:val="nil"/>
            </w:tcBorders>
            <w:shd w:val="clear" w:color="auto" w:fill="auto"/>
            <w:vAlign w:val="center"/>
          </w:tcPr>
          <w:p w14:paraId="373D0D5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到现场开展安全</w:t>
            </w:r>
          </w:p>
          <w:p w14:paraId="2F4CEAB6">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评价工作情况</w:t>
            </w:r>
          </w:p>
        </w:tc>
        <w:tc>
          <w:tcPr>
            <w:tcW w:w="2188" w:type="dxa"/>
            <w:tcBorders>
              <w:tl2br w:val="nil"/>
              <w:tr2bl w:val="nil"/>
            </w:tcBorders>
            <w:shd w:val="clear" w:color="auto" w:fill="auto"/>
            <w:noWrap/>
            <w:vAlign w:val="center"/>
          </w:tcPr>
          <w:p w14:paraId="0DA27BCA">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时  间</w:t>
            </w:r>
          </w:p>
        </w:tc>
        <w:tc>
          <w:tcPr>
            <w:tcW w:w="2350" w:type="dxa"/>
            <w:tcBorders>
              <w:tl2br w:val="nil"/>
              <w:tr2bl w:val="nil"/>
            </w:tcBorders>
            <w:shd w:val="clear" w:color="auto" w:fill="auto"/>
            <w:noWrap/>
            <w:vAlign w:val="center"/>
          </w:tcPr>
          <w:p w14:paraId="1421A71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到现场主要人员</w:t>
            </w:r>
          </w:p>
        </w:tc>
        <w:tc>
          <w:tcPr>
            <w:tcW w:w="2918" w:type="dxa"/>
            <w:tcBorders>
              <w:tl2br w:val="nil"/>
              <w:tr2bl w:val="nil"/>
            </w:tcBorders>
            <w:shd w:val="clear" w:color="auto" w:fill="auto"/>
            <w:noWrap/>
            <w:vAlign w:val="center"/>
          </w:tcPr>
          <w:p w14:paraId="1C92C459">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主要任务</w:t>
            </w:r>
          </w:p>
        </w:tc>
      </w:tr>
      <w:tr w14:paraId="6F3AB4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EE806A9">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7E41D27D">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2026.6.12</w:t>
            </w:r>
          </w:p>
        </w:tc>
        <w:tc>
          <w:tcPr>
            <w:tcW w:w="2350" w:type="dxa"/>
            <w:tcBorders>
              <w:tl2br w:val="nil"/>
              <w:tr2bl w:val="nil"/>
            </w:tcBorders>
            <w:shd w:val="clear" w:color="auto" w:fill="auto"/>
            <w:noWrap/>
            <w:vAlign w:val="center"/>
          </w:tcPr>
          <w:p w14:paraId="2EE280D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辛磊、马琳琳</w:t>
            </w:r>
          </w:p>
        </w:tc>
        <w:tc>
          <w:tcPr>
            <w:tcW w:w="2918" w:type="dxa"/>
            <w:tcBorders>
              <w:tl2br w:val="nil"/>
              <w:tr2bl w:val="nil"/>
            </w:tcBorders>
            <w:shd w:val="clear" w:color="auto" w:fill="auto"/>
            <w:noWrap/>
            <w:vAlign w:val="center"/>
          </w:tcPr>
          <w:p w14:paraId="2E0A453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初访</w:t>
            </w:r>
          </w:p>
        </w:tc>
      </w:tr>
      <w:tr w14:paraId="0AA219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56F5374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54ED758F">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2026.6.22</w:t>
            </w:r>
          </w:p>
        </w:tc>
        <w:tc>
          <w:tcPr>
            <w:tcW w:w="2350" w:type="dxa"/>
            <w:tcBorders>
              <w:tl2br w:val="nil"/>
              <w:tr2bl w:val="nil"/>
            </w:tcBorders>
            <w:shd w:val="clear" w:color="auto" w:fill="auto"/>
            <w:noWrap/>
            <w:vAlign w:val="center"/>
          </w:tcPr>
          <w:p w14:paraId="73B5032D">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辛磊、马琳琳</w:t>
            </w:r>
          </w:p>
        </w:tc>
        <w:tc>
          <w:tcPr>
            <w:tcW w:w="2918" w:type="dxa"/>
            <w:tcBorders>
              <w:tl2br w:val="nil"/>
              <w:tr2bl w:val="nil"/>
            </w:tcBorders>
            <w:shd w:val="clear" w:color="auto" w:fill="auto"/>
            <w:noWrap/>
            <w:vAlign w:val="center"/>
          </w:tcPr>
          <w:p w14:paraId="5426880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现场考察</w:t>
            </w:r>
          </w:p>
        </w:tc>
      </w:tr>
      <w:tr w14:paraId="1741F1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1432D14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6F20C698">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2026.6.23</w:t>
            </w:r>
          </w:p>
        </w:tc>
        <w:tc>
          <w:tcPr>
            <w:tcW w:w="2350" w:type="dxa"/>
            <w:tcBorders>
              <w:tl2br w:val="nil"/>
              <w:tr2bl w:val="nil"/>
            </w:tcBorders>
            <w:shd w:val="clear" w:color="auto" w:fill="auto"/>
            <w:noWrap/>
            <w:vAlign w:val="center"/>
          </w:tcPr>
          <w:p w14:paraId="04E4ED31">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辛磊、马琳琳</w:t>
            </w:r>
          </w:p>
        </w:tc>
        <w:tc>
          <w:tcPr>
            <w:tcW w:w="2918" w:type="dxa"/>
            <w:tcBorders>
              <w:tl2br w:val="nil"/>
              <w:tr2bl w:val="nil"/>
            </w:tcBorders>
            <w:shd w:val="clear" w:color="auto" w:fill="auto"/>
            <w:noWrap/>
            <w:vAlign w:val="center"/>
          </w:tcPr>
          <w:p w14:paraId="2FBD9281">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现场检查</w:t>
            </w:r>
          </w:p>
        </w:tc>
      </w:tr>
      <w:tr w14:paraId="4C41B5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1832" w:type="dxa"/>
            <w:vMerge w:val="continue"/>
            <w:tcBorders>
              <w:tl2br w:val="nil"/>
              <w:tr2bl w:val="nil"/>
            </w:tcBorders>
            <w:shd w:val="clear" w:color="auto" w:fill="auto"/>
            <w:vAlign w:val="center"/>
          </w:tcPr>
          <w:p w14:paraId="7A10055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rPr>
            </w:pPr>
          </w:p>
        </w:tc>
        <w:tc>
          <w:tcPr>
            <w:tcW w:w="2188" w:type="dxa"/>
            <w:tcBorders>
              <w:tl2br w:val="nil"/>
              <w:tr2bl w:val="nil"/>
            </w:tcBorders>
            <w:shd w:val="clear" w:color="auto" w:fill="auto"/>
            <w:noWrap/>
            <w:vAlign w:val="center"/>
          </w:tcPr>
          <w:p w14:paraId="0A09B080">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2026.6.24</w:t>
            </w:r>
          </w:p>
        </w:tc>
        <w:tc>
          <w:tcPr>
            <w:tcW w:w="2350" w:type="dxa"/>
            <w:tcBorders>
              <w:tl2br w:val="nil"/>
              <w:tr2bl w:val="nil"/>
            </w:tcBorders>
            <w:shd w:val="clear" w:color="auto" w:fill="auto"/>
            <w:noWrap/>
            <w:vAlign w:val="center"/>
          </w:tcPr>
          <w:p w14:paraId="4C632E30">
            <w:pPr>
              <w:autoSpaceDE w:val="0"/>
              <w:autoSpaceDN w:val="0"/>
              <w:adjustRightInd w:val="0"/>
              <w:snapToGrid w:val="0"/>
              <w:spacing w:line="240" w:lineRule="auto"/>
              <w:ind w:firstLine="0" w:firstLineChars="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辛磊、马琳琳</w:t>
            </w:r>
          </w:p>
        </w:tc>
        <w:tc>
          <w:tcPr>
            <w:tcW w:w="2918" w:type="dxa"/>
            <w:tcBorders>
              <w:tl2br w:val="nil"/>
              <w:tr2bl w:val="nil"/>
            </w:tcBorders>
            <w:shd w:val="clear" w:color="auto" w:fill="auto"/>
            <w:noWrap/>
            <w:vAlign w:val="center"/>
          </w:tcPr>
          <w:p w14:paraId="69E636BA">
            <w:pPr>
              <w:autoSpaceDE w:val="0"/>
              <w:autoSpaceDN w:val="0"/>
              <w:adjustRightInd w:val="0"/>
              <w:snapToGrid w:val="0"/>
              <w:spacing w:line="240" w:lineRule="auto"/>
              <w:ind w:firstLine="0" w:firstLineChars="0"/>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现场核查</w:t>
            </w:r>
          </w:p>
        </w:tc>
      </w:tr>
      <w:tr w14:paraId="756B45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9288" w:type="dxa"/>
            <w:gridSpan w:val="4"/>
            <w:tcBorders>
              <w:tl2br w:val="nil"/>
              <w:tr2bl w:val="nil"/>
            </w:tcBorders>
            <w:shd w:val="clear" w:color="auto" w:fill="auto"/>
            <w:vAlign w:val="center"/>
          </w:tcPr>
          <w:p w14:paraId="08E1CC7D">
            <w:pPr>
              <w:autoSpaceDE w:val="0"/>
              <w:autoSpaceDN w:val="0"/>
              <w:adjustRightInd w:val="0"/>
              <w:snapToGrid w:val="0"/>
              <w:spacing w:line="240" w:lineRule="auto"/>
              <w:ind w:firstLine="0" w:firstLineChars="0"/>
              <w:jc w:val="left"/>
              <w:rPr>
                <w:rFonts w:hint="default"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安全评价报告提交时间：2026.6.27</w:t>
            </w:r>
          </w:p>
        </w:tc>
      </w:tr>
      <w:tr w14:paraId="1FFD00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68" w:type="dxa"/>
            <w:left w:w="108" w:type="dxa"/>
            <w:bottom w:w="68" w:type="dxa"/>
            <w:right w:w="108" w:type="dxa"/>
          </w:tblCellMar>
        </w:tblPrEx>
        <w:trPr>
          <w:trHeight w:val="283" w:hRule="atLeast"/>
          <w:jc w:val="center"/>
        </w:trPr>
        <w:tc>
          <w:tcPr>
            <w:tcW w:w="9288" w:type="dxa"/>
            <w:gridSpan w:val="4"/>
            <w:tcBorders>
              <w:tl2br w:val="nil"/>
              <w:tr2bl w:val="nil"/>
            </w:tcBorders>
            <w:shd w:val="clear" w:color="auto" w:fill="auto"/>
            <w:vAlign w:val="center"/>
          </w:tcPr>
          <w:p w14:paraId="3D278980">
            <w:pPr>
              <w:autoSpaceDE w:val="0"/>
              <w:autoSpaceDN w:val="0"/>
              <w:adjustRightInd w:val="0"/>
              <w:snapToGrid w:val="0"/>
              <w:spacing w:line="240" w:lineRule="auto"/>
              <w:ind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有必要公开的其它内容：</w:t>
            </w:r>
          </w:p>
        </w:tc>
      </w:tr>
    </w:tbl>
    <w:p w14:paraId="144DCA47">
      <w:pPr>
        <w:adjustRightInd w:val="0"/>
        <w:snapToGrid w:val="0"/>
        <w:spacing w:before="360" w:beforeLines="150" w:after="120" w:afterLines="50" w:line="360" w:lineRule="auto"/>
        <w:jc w:val="center"/>
        <w:outlineLvl w:val="0"/>
        <w:rPr>
          <w:rFonts w:hint="eastAsia" w:ascii="黑体" w:eastAsia="黑体"/>
          <w:color w:val="auto"/>
          <w:sz w:val="32"/>
          <w:szCs w:val="32"/>
          <w:highlight w:val="none"/>
        </w:rPr>
      </w:pPr>
      <w:bookmarkStart w:id="0" w:name="_Toc9576"/>
      <w:bookmarkStart w:id="1" w:name="_Toc16913"/>
      <w:bookmarkStart w:id="2" w:name="_Toc7871"/>
      <w:r>
        <w:rPr>
          <w:rFonts w:hint="eastAsia" w:ascii="黑体" w:eastAsia="黑体"/>
          <w:b/>
          <w:bCs/>
          <w:color w:val="auto"/>
          <w:sz w:val="32"/>
          <w:szCs w:val="32"/>
          <w:highlight w:val="none"/>
        </w:rPr>
        <w:t>2 建设项目概况</w:t>
      </w:r>
      <w:bookmarkEnd w:id="0"/>
    </w:p>
    <w:p w14:paraId="2A5E5E61">
      <w:pPr>
        <w:pStyle w:val="3"/>
        <w:adjustRightInd w:val="0"/>
        <w:snapToGrid w:val="0"/>
        <w:spacing w:before="0" w:after="0" w:line="360" w:lineRule="auto"/>
        <w:jc w:val="center"/>
        <w:rPr>
          <w:rFonts w:hint="eastAsia" w:ascii="楷体_GB2312" w:eastAsia="楷体_GB2312"/>
          <w:color w:val="auto"/>
          <w:highlight w:val="none"/>
        </w:rPr>
      </w:pPr>
      <w:bookmarkStart w:id="3" w:name="_Toc6825"/>
      <w:r>
        <w:rPr>
          <w:rFonts w:hint="eastAsia" w:ascii="楷体_GB2312" w:eastAsia="楷体_GB2312"/>
          <w:color w:val="auto"/>
          <w:highlight w:val="none"/>
        </w:rPr>
        <w:t>2.1 建设单位简介</w:t>
      </w:r>
      <w:bookmarkEnd w:id="3"/>
    </w:p>
    <w:p w14:paraId="64B6B919">
      <w:pPr>
        <w:topLinePunct/>
        <w:adjustRightInd w:val="0"/>
        <w:snapToGrid w:val="0"/>
        <w:spacing w:line="360" w:lineRule="auto"/>
        <w:ind w:firstLine="560" w:firstLineChars="200"/>
        <w:rPr>
          <w:rFonts w:hint="eastAsia" w:ascii="宋体" w:hAnsi="宋体" w:cs="宋体"/>
          <w:snapToGrid w:val="0"/>
          <w:color w:val="auto"/>
          <w:spacing w:val="0"/>
          <w:kern w:val="0"/>
          <w:sz w:val="28"/>
          <w:highlight w:val="none"/>
        </w:rPr>
      </w:pPr>
      <w:r>
        <w:rPr>
          <w:rFonts w:hint="eastAsia" w:ascii="宋体" w:hAnsi="宋体" w:cs="宋体"/>
          <w:snapToGrid w:val="0"/>
          <w:color w:val="auto"/>
          <w:spacing w:val="0"/>
          <w:kern w:val="0"/>
          <w:sz w:val="28"/>
          <w:highlight w:val="none"/>
        </w:rPr>
        <w:t>泰安市昌荣石化销售有限公司改建项目位于山东省泰安市岱岳区粥店街道岱前村（社区）荣昌路1号，法定代表人为张呈峰。统一社会信用代码：91370900MAKCXQP71M。企业类型：其他有限责任公司。</w:t>
      </w:r>
      <w:r>
        <w:rPr>
          <w:rFonts w:hint="eastAsia" w:ascii="宋体" w:hAnsi="宋体" w:cs="宋体"/>
          <w:color w:val="auto"/>
          <w:sz w:val="28"/>
          <w:szCs w:val="28"/>
          <w:highlight w:val="none"/>
        </w:rPr>
        <w:t>加油站北侧是泰山大街，东侧是荣昌路，西侧是住宅楼，南侧是民房。</w:t>
      </w:r>
      <w:r>
        <w:rPr>
          <w:rFonts w:hint="eastAsia" w:ascii="宋体" w:hAnsi="宋体" w:cs="宋体"/>
          <w:snapToGrid w:val="0"/>
          <w:color w:val="auto"/>
          <w:spacing w:val="0"/>
          <w:kern w:val="0"/>
          <w:sz w:val="28"/>
          <w:highlight w:val="none"/>
        </w:rPr>
        <w:t>该站经营许可范围为汽油、柴油、乙醇汽油，</w:t>
      </w:r>
      <w:r>
        <w:rPr>
          <w:rFonts w:hint="eastAsia" w:ascii="宋体" w:hAnsi="宋体" w:cs="宋体"/>
          <w:color w:val="auto"/>
          <w:sz w:val="28"/>
          <w:szCs w:val="28"/>
          <w:highlight w:val="none"/>
        </w:rPr>
        <w:t>改建后主要储存经营汽油、柴油。</w:t>
      </w:r>
    </w:p>
    <w:p w14:paraId="0F419E9E">
      <w:pPr>
        <w:topLinePunct/>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color w:val="auto"/>
          <w:sz w:val="28"/>
          <w:szCs w:val="28"/>
          <w:highlight w:val="none"/>
        </w:rPr>
        <w:t>该站劳动定员10名，其中主要负责人1人，安全生产管理员1人。主要负责人和安全生产管理人员已参加了危险化学品安全管理培训，并取得考</w:t>
      </w:r>
      <w:r>
        <w:rPr>
          <w:rFonts w:hint="eastAsia" w:ascii="宋体" w:hAnsi="宋体"/>
          <w:snapToGrid w:val="0"/>
          <w:color w:val="auto"/>
          <w:spacing w:val="0"/>
          <w:kern w:val="0"/>
          <w:sz w:val="28"/>
          <w:highlight w:val="none"/>
        </w:rPr>
        <w:t>核合格证，详见附件。</w:t>
      </w:r>
    </w:p>
    <w:p w14:paraId="4F1CFCD8">
      <w:pPr>
        <w:topLinePunct/>
        <w:adjustRightInd w:val="0"/>
        <w:snapToGrid w:val="0"/>
        <w:spacing w:line="360" w:lineRule="auto"/>
        <w:ind w:firstLine="560" w:firstLineChars="200"/>
        <w:rPr>
          <w:rFonts w:hint="eastAsia" w:ascii="宋体" w:hAnsi="宋体"/>
          <w:color w:val="auto"/>
          <w:sz w:val="28"/>
          <w:szCs w:val="28"/>
          <w:highlight w:val="none"/>
        </w:rPr>
      </w:pPr>
      <w:r>
        <w:rPr>
          <w:rFonts w:hint="eastAsia" w:ascii="宋体" w:hAnsi="宋体"/>
          <w:color w:val="auto"/>
          <w:sz w:val="28"/>
          <w:szCs w:val="28"/>
          <w:highlight w:val="none"/>
        </w:rPr>
        <w:t>该站设加油区、油罐区、洗车区、站房、罩棚，具体如下：</w:t>
      </w:r>
    </w:p>
    <w:p w14:paraId="184186CB">
      <w:pPr>
        <w:topLinePunct/>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加油区：设2台4枪双油品加油机（92#/95#汽油）、1台4枪单油品加油机（92#汽油）、1台双枪单油品加油机（柴油），均为潜油泵式加油机。</w:t>
      </w:r>
    </w:p>
    <w:p w14:paraId="667B5AF9">
      <w:pPr>
        <w:topLinePunct/>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罩棚：对原有罩棚简单装修。</w:t>
      </w:r>
    </w:p>
    <w:p w14:paraId="02727FC6">
      <w:pPr>
        <w:topLinePunct/>
        <w:adjustRightInd w:val="0"/>
        <w:snapToGrid w:val="0"/>
        <w:spacing w:line="360" w:lineRule="auto"/>
        <w:ind w:firstLine="560" w:firstLineChars="200"/>
        <w:rPr>
          <w:rFonts w:hint="eastAsia" w:ascii="宋体" w:hAnsi="宋体"/>
          <w:color w:val="auto"/>
          <w:sz w:val="28"/>
          <w:szCs w:val="28"/>
          <w:highlight w:val="none"/>
        </w:rPr>
      </w:pPr>
      <w:r>
        <w:rPr>
          <w:rFonts w:hint="eastAsia" w:ascii="宋体" w:hAnsi="宋体"/>
          <w:snapToGrid w:val="0"/>
          <w:color w:val="auto"/>
          <w:spacing w:val="0"/>
          <w:kern w:val="0"/>
          <w:sz w:val="28"/>
          <w:highlight w:val="none"/>
        </w:rPr>
        <w:t>储罐区：利旧4台30m</w:t>
      </w:r>
      <w:r>
        <w:rPr>
          <w:rFonts w:hint="eastAsia" w:ascii="宋体" w:hAnsi="宋体"/>
          <w:snapToGrid w:val="0"/>
          <w:color w:val="auto"/>
          <w:spacing w:val="0"/>
          <w:kern w:val="0"/>
          <w:sz w:val="28"/>
          <w:highlight w:val="none"/>
          <w:vertAlign w:val="superscript"/>
        </w:rPr>
        <w:t>3</w:t>
      </w:r>
      <w:r>
        <w:rPr>
          <w:rFonts w:hint="eastAsia" w:ascii="宋体" w:hAnsi="宋体"/>
          <w:snapToGrid w:val="0"/>
          <w:color w:val="auto"/>
          <w:spacing w:val="0"/>
          <w:kern w:val="0"/>
          <w:sz w:val="28"/>
          <w:highlight w:val="none"/>
        </w:rPr>
        <w:t>双层储罐：2台92#汽油储罐（原有98#汽油改为92#汽油）、1台95#汽油储罐、1台柴油储罐，并敷设工艺管线，利旧密闭卸油口一处（位于油罐区南侧），利旧双层管道及双层罐渗漏监测系统；利旧消防一体柜1座及危废暂存柜。</w:t>
      </w:r>
    </w:p>
    <w:p w14:paraId="1014D419">
      <w:pPr>
        <w:pStyle w:val="20"/>
        <w:widowControl w:val="0"/>
        <w:adjustRightInd w:val="0"/>
        <w:snapToGrid w:val="0"/>
        <w:spacing w:line="360" w:lineRule="auto"/>
        <w:ind w:firstLine="560"/>
        <w:rPr>
          <w:rFonts w:hint="eastAsia" w:ascii="宋体" w:hAnsi="宋体" w:cs="宋体"/>
          <w:color w:val="auto"/>
          <w:kern w:val="2"/>
          <w:szCs w:val="28"/>
          <w:highlight w:val="none"/>
        </w:rPr>
      </w:pPr>
      <w:r>
        <w:rPr>
          <w:rFonts w:hint="eastAsia" w:ascii="宋体" w:hAnsi="宋体"/>
          <w:color w:val="auto"/>
          <w:szCs w:val="28"/>
          <w:highlight w:val="none"/>
        </w:rPr>
        <w:t>站房：站房依托站内已建站房，仅简单装修；内有营业室、办公室、值班室等，设置液位监测系统、防渗漏监测系统、室内紧急切断系统、视频监控系统</w:t>
      </w:r>
      <w:r>
        <w:rPr>
          <w:rFonts w:hint="eastAsia" w:ascii="宋体" w:hAnsi="宋体"/>
          <w:color w:val="auto"/>
          <w:sz w:val="28"/>
          <w:szCs w:val="28"/>
          <w:highlight w:val="none"/>
        </w:rPr>
        <w:t>、可燃气体报警系统等。</w:t>
      </w:r>
    </w:p>
    <w:p w14:paraId="6E2411B3">
      <w:pPr>
        <w:spacing w:line="360" w:lineRule="auto"/>
        <w:ind w:firstLine="560" w:firstLineChars="200"/>
        <w:rPr>
          <w:color w:val="auto"/>
          <w:sz w:val="28"/>
          <w:szCs w:val="28"/>
          <w:highlight w:val="none"/>
        </w:rPr>
      </w:pPr>
      <w:r>
        <w:rPr>
          <w:rFonts w:hint="eastAsia" w:ascii="宋体" w:hAnsi="宋体"/>
          <w:color w:val="auto"/>
          <w:sz w:val="28"/>
          <w:szCs w:val="28"/>
          <w:highlight w:val="none"/>
        </w:rPr>
        <w:t>辅助设施：加油区西侧设洗车机一处，站房东设变压器1台。</w:t>
      </w:r>
    </w:p>
    <w:p w14:paraId="21643E48">
      <w:pPr>
        <w:wordWrap w:val="0"/>
        <w:topLinePunct/>
        <w:adjustRightInd w:val="0"/>
        <w:snapToGrid w:val="0"/>
        <w:spacing w:line="360" w:lineRule="auto"/>
        <w:ind w:firstLine="560" w:firstLineChars="200"/>
        <w:rPr>
          <w:rFonts w:hint="eastAsia" w:ascii="宋体" w:hAnsi="宋体"/>
          <w:color w:val="auto"/>
          <w:spacing w:val="0"/>
          <w:sz w:val="28"/>
          <w:szCs w:val="28"/>
          <w:highlight w:val="none"/>
        </w:rPr>
      </w:pPr>
      <w:r>
        <w:rPr>
          <w:rFonts w:hint="eastAsia" w:ascii="宋体" w:hAnsi="宋体"/>
          <w:color w:val="auto"/>
          <w:spacing w:val="0"/>
          <w:sz w:val="28"/>
          <w:szCs w:val="28"/>
          <w:highlight w:val="none"/>
        </w:rPr>
        <w:t>该站改建后油罐总容积</w:t>
      </w:r>
      <w:r>
        <w:rPr>
          <w:rFonts w:hint="eastAsia" w:ascii="宋体" w:hAnsi="宋体" w:cs="宋体"/>
          <w:color w:val="auto"/>
          <w:sz w:val="28"/>
          <w:szCs w:val="28"/>
          <w:highlight w:val="none"/>
        </w:rPr>
        <w:t>105m</w:t>
      </w:r>
      <w:r>
        <w:rPr>
          <w:rFonts w:hint="eastAsia" w:ascii="宋体" w:hAnsi="宋体" w:cs="宋体"/>
          <w:color w:val="auto"/>
          <w:sz w:val="28"/>
          <w:szCs w:val="28"/>
          <w:highlight w:val="none"/>
          <w:vertAlign w:val="superscript"/>
        </w:rPr>
        <w:t>3</w:t>
      </w:r>
      <w:r>
        <w:rPr>
          <w:rFonts w:hint="eastAsia" w:ascii="宋体" w:hAnsi="宋体"/>
          <w:color w:val="auto"/>
          <w:spacing w:val="0"/>
          <w:sz w:val="28"/>
          <w:szCs w:val="28"/>
          <w:highlight w:val="none"/>
        </w:rPr>
        <w:t>（柴油折半计入）。根据《汽车加油加气加氢站技术标准》（GB50156-2021）表3.0.9条规定：</w:t>
      </w:r>
      <w:r>
        <w:rPr>
          <w:rFonts w:hint="eastAsia" w:ascii="宋体" w:hAnsi="宋体" w:cs="宋体"/>
          <w:color w:val="auto"/>
          <w:sz w:val="28"/>
          <w:szCs w:val="28"/>
          <w:highlight w:val="none"/>
        </w:rPr>
        <w:t>加油站级别未变</w:t>
      </w:r>
      <w:r>
        <w:rPr>
          <w:rFonts w:hint="eastAsia" w:ascii="宋体" w:hAnsi="宋体"/>
          <w:color w:val="auto"/>
          <w:spacing w:val="0"/>
          <w:sz w:val="28"/>
          <w:szCs w:val="28"/>
          <w:highlight w:val="none"/>
        </w:rPr>
        <w:t>，为二级加油站。</w:t>
      </w:r>
    </w:p>
    <w:p w14:paraId="06C4F2AE">
      <w:pPr>
        <w:pStyle w:val="3"/>
        <w:adjustRightInd w:val="0"/>
        <w:snapToGrid w:val="0"/>
        <w:spacing w:before="0" w:after="0" w:line="360" w:lineRule="auto"/>
        <w:jc w:val="center"/>
        <w:rPr>
          <w:rFonts w:hint="eastAsia" w:ascii="楷体_GB2312" w:eastAsia="楷体_GB2312"/>
          <w:color w:val="auto"/>
          <w:highlight w:val="none"/>
        </w:rPr>
      </w:pPr>
      <w:bookmarkStart w:id="4" w:name="_Toc28507"/>
      <w:r>
        <w:rPr>
          <w:rFonts w:hint="eastAsia" w:ascii="楷体_GB2312" w:eastAsia="楷体_GB2312"/>
          <w:color w:val="auto"/>
          <w:highlight w:val="none"/>
        </w:rPr>
        <w:t>2.2 建设项目概况</w:t>
      </w:r>
      <w:bookmarkEnd w:id="4"/>
    </w:p>
    <w:p w14:paraId="3B7C586B">
      <w:pPr>
        <w:adjustRightInd w:val="0"/>
        <w:snapToGrid w:val="0"/>
        <w:spacing w:line="360" w:lineRule="auto"/>
        <w:ind w:firstLine="562" w:firstLineChars="200"/>
        <w:outlineLvl w:val="2"/>
        <w:rPr>
          <w:rFonts w:hint="eastAsia" w:ascii="黑体" w:hAnsi="宋体" w:eastAsia="黑体"/>
          <w:b/>
          <w:color w:val="auto"/>
          <w:sz w:val="28"/>
          <w:szCs w:val="28"/>
          <w:highlight w:val="none"/>
        </w:rPr>
      </w:pPr>
      <w:r>
        <w:rPr>
          <w:rFonts w:hint="eastAsia" w:ascii="黑体" w:hAnsi="宋体" w:eastAsia="黑体"/>
          <w:b/>
          <w:color w:val="auto"/>
          <w:sz w:val="28"/>
          <w:szCs w:val="28"/>
          <w:highlight w:val="none"/>
        </w:rPr>
        <w:t>2.2.1 项目建设过程</w:t>
      </w:r>
    </w:p>
    <w:p w14:paraId="4E3708F9">
      <w:pPr>
        <w:adjustRightInd w:val="0"/>
        <w:snapToGrid w:val="0"/>
        <w:spacing w:line="360" w:lineRule="auto"/>
        <w:ind w:firstLine="562" w:firstLineChars="200"/>
        <w:rPr>
          <w:rFonts w:ascii="宋体" w:hAnsi="宋体"/>
          <w:b/>
          <w:bCs/>
          <w:color w:val="auto"/>
          <w:sz w:val="28"/>
          <w:szCs w:val="28"/>
          <w:highlight w:val="none"/>
        </w:rPr>
      </w:pPr>
      <w:r>
        <w:rPr>
          <w:rFonts w:hint="eastAsia" w:ascii="宋体" w:hAnsi="宋体"/>
          <w:b/>
          <w:bCs/>
          <w:color w:val="auto"/>
          <w:sz w:val="28"/>
          <w:szCs w:val="28"/>
          <w:highlight w:val="none"/>
        </w:rPr>
        <w:t>2.2.1.1</w:t>
      </w:r>
      <w:r>
        <w:rPr>
          <w:rFonts w:ascii="宋体" w:hAnsi="宋体"/>
          <w:b/>
          <w:bCs/>
          <w:color w:val="auto"/>
          <w:sz w:val="28"/>
          <w:szCs w:val="28"/>
          <w:highlight w:val="none"/>
        </w:rPr>
        <w:t>安全</w:t>
      </w:r>
      <w:r>
        <w:rPr>
          <w:rFonts w:hint="eastAsia" w:ascii="宋体" w:hAnsi="宋体"/>
          <w:b/>
          <w:bCs/>
          <w:color w:val="auto"/>
          <w:sz w:val="28"/>
          <w:szCs w:val="28"/>
          <w:highlight w:val="none"/>
        </w:rPr>
        <w:t>审查</w:t>
      </w:r>
    </w:p>
    <w:p w14:paraId="12B052D9">
      <w:pPr>
        <w:adjustRightInd w:val="0"/>
        <w:snapToGrid w:val="0"/>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该项目于2026年05月12日取得《山东省建设项目备案证明》，项目代码：2605-370911-89-01-254451</w:t>
      </w:r>
      <w:r>
        <w:rPr>
          <w:rFonts w:hint="eastAsia" w:ascii="宋体" w:hAnsi="宋体" w:cs="宋体"/>
          <w:snapToGrid w:val="0"/>
          <w:color w:val="auto"/>
          <w:spacing w:val="0"/>
          <w:kern w:val="0"/>
          <w:sz w:val="28"/>
          <w:highlight w:val="none"/>
        </w:rPr>
        <w:t>。</w:t>
      </w:r>
    </w:p>
    <w:p w14:paraId="3E03974E">
      <w:pPr>
        <w:adjustRightInd w:val="0"/>
        <w:snapToGrid w:val="0"/>
        <w:spacing w:line="360" w:lineRule="auto"/>
        <w:ind w:firstLine="560" w:firstLineChars="200"/>
        <w:rPr>
          <w:rFonts w:hint="eastAsia" w:ascii="宋体" w:hAnsi="宋体" w:cs="宋体"/>
          <w:snapToGrid w:val="0"/>
          <w:color w:val="auto"/>
          <w:spacing w:val="0"/>
          <w:kern w:val="0"/>
          <w:sz w:val="28"/>
          <w:highlight w:val="none"/>
        </w:rPr>
      </w:pPr>
      <w:r>
        <w:rPr>
          <w:rFonts w:hint="eastAsia" w:ascii="宋体" w:hAnsi="宋体" w:cs="宋体"/>
          <w:snapToGrid w:val="0"/>
          <w:color w:val="auto"/>
          <w:spacing w:val="0"/>
          <w:kern w:val="0"/>
          <w:sz w:val="28"/>
          <w:highlight w:val="none"/>
        </w:rPr>
        <w:t>建设规模和内容：项目位于山东省泰安市岱岳区粥店街道岱前村（社区）荣昌路1号，</w:t>
      </w:r>
      <w:r>
        <w:rPr>
          <w:rFonts w:hint="eastAsia" w:ascii="宋体" w:hAnsi="宋体" w:cs="宋体"/>
          <w:color w:val="auto"/>
          <w:sz w:val="28"/>
          <w:szCs w:val="28"/>
          <w:highlight w:val="none"/>
        </w:rPr>
        <w:t>拆除原有加油机，更换为4台潜油泵式加油机（2台4枪92#/95#汽油加油机，1台4枪92#汽油加油机，1台双枪柴油加油机）并敷设油罐到加油机段工艺管线</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highlight w:val="none"/>
        </w:rPr>
        <w:t>每台汽油加油机各配置1个可燃气</w:t>
      </w:r>
      <w:r>
        <w:rPr>
          <w:rFonts w:hint="eastAsia" w:ascii="宋体" w:hAnsi="宋体"/>
          <w:color w:val="auto"/>
          <w:sz w:val="28"/>
          <w:highlight w:val="none"/>
        </w:rPr>
        <w:t>体探测器并于站房增加可燃气体报警控制器</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rPr>
        <w:t>设4台30m</w:t>
      </w:r>
      <w:r>
        <w:rPr>
          <w:rFonts w:hint="eastAsia" w:ascii="宋体" w:hAnsi="宋体" w:cs="宋体"/>
          <w:color w:val="auto"/>
          <w:sz w:val="28"/>
          <w:szCs w:val="28"/>
          <w:highlight w:val="none"/>
          <w:vertAlign w:val="superscript"/>
        </w:rPr>
        <w:t>3</w:t>
      </w:r>
      <w:r>
        <w:rPr>
          <w:rFonts w:hint="eastAsia" w:ascii="宋体" w:hAnsi="宋体" w:cs="宋体"/>
          <w:color w:val="auto"/>
          <w:sz w:val="28"/>
          <w:szCs w:val="28"/>
          <w:highlight w:val="none"/>
        </w:rPr>
        <w:t>双层储罐：2台92#汽油储罐、1台95#汽油储罐、1台柴油储罐（原98#汽油罐改为92#汽油罐，其余油罐依托原有），油品折合总容积105m³，依据《汽车加油加气加氢站技术标准》（GB50156-2021）标准第3.0.9条规定：按公式计算储罐总容积：30×3+30/2=105m</w:t>
      </w:r>
      <w:r>
        <w:rPr>
          <w:rFonts w:hint="eastAsia" w:ascii="宋体" w:hAnsi="宋体" w:cs="宋体"/>
          <w:color w:val="auto"/>
          <w:sz w:val="28"/>
          <w:szCs w:val="28"/>
          <w:highlight w:val="none"/>
          <w:vertAlign w:val="superscript"/>
        </w:rPr>
        <w:t>3</w:t>
      </w:r>
      <w:r>
        <w:rPr>
          <w:rFonts w:hint="eastAsia" w:ascii="宋体" w:hAnsi="宋体" w:cs="宋体"/>
          <w:color w:val="auto"/>
          <w:sz w:val="28"/>
          <w:szCs w:val="28"/>
          <w:highlight w:val="none"/>
        </w:rPr>
        <w:t>，该站属二级加油站（总容积未发生变化）；对原有罩棚、站房进行简单装修；利旧液位检测系统、双层管道渗漏监测系统、双层罐渗漏监测系统、视频监控系统、三次油气回收处理系统，消防一体柜均依托站区原有；</w:t>
      </w:r>
      <w:r>
        <w:rPr>
          <w:rFonts w:hint="eastAsia" w:ascii="宋体" w:hAnsi="宋体"/>
          <w:color w:val="auto"/>
          <w:sz w:val="28"/>
          <w:highlight w:val="none"/>
        </w:rPr>
        <w:t>变压器位置由原来西南角移至东南角，并更换为大容量；在加油区西侧增设洗车机；在站房西侧增设车棚。</w:t>
      </w:r>
    </w:p>
    <w:p w14:paraId="38BCBAD9">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cs="宋体"/>
          <w:snapToGrid w:val="0"/>
          <w:color w:val="auto"/>
          <w:spacing w:val="0"/>
          <w:kern w:val="0"/>
          <w:sz w:val="28"/>
          <w:highlight w:val="none"/>
        </w:rPr>
        <w:t>该项目于2026年6月由山东鲁健安全技术有限公司编制完成《泰安市昌荣石化销售有限公司改建项目设立安全评价报告》，2026年6月5日组织了专家评审并形成《安全条件审查意见》，建设单位和评价单位已按照审查意见要求完成相关问题整改完善。</w:t>
      </w:r>
    </w:p>
    <w:p w14:paraId="7F9D5600">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该项目于2026年6月由山东齐创石化工程有限公司出具了《泰安市昌荣石化销售有限公司改建项目安全设施设计专篇》和施工图，2026年6月5日通过了专家评审；并于2026年6月15日取得由泰安市岱岳区应急管理局出具的《危化品建设项目安全审查意见书》（泰岱应急危化项目安设审字〔2026〕003号），同意该项目通过安全审查。</w:t>
      </w:r>
    </w:p>
    <w:p w14:paraId="3DDB1D23">
      <w:pPr>
        <w:adjustRightInd w:val="0"/>
        <w:snapToGrid w:val="0"/>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该项目建设规模、总投资与《山东省建设项目备案证明》内容一致。</w:t>
      </w:r>
    </w:p>
    <w:p w14:paraId="20C90D50">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该项目建设选址未发生变更，主要技术、工艺路线未发生变化，与《设立安全评价报告》内容相符；建成的设备设施中没有降低安全性能的安全设施设计变化，与通过的《安全设施设计专篇》一致。</w:t>
      </w:r>
    </w:p>
    <w:p w14:paraId="5A772290">
      <w:pPr>
        <w:adjustRightInd w:val="0"/>
        <w:snapToGrid w:val="0"/>
        <w:spacing w:line="360" w:lineRule="auto"/>
        <w:ind w:firstLine="560" w:firstLineChars="200"/>
        <w:rPr>
          <w:rFonts w:hint="eastAsia" w:ascii="宋体" w:hAnsi="宋体" w:cs="宋体"/>
          <w:snapToGrid w:val="0"/>
          <w:color w:val="auto"/>
          <w:spacing w:val="0"/>
          <w:kern w:val="0"/>
          <w:sz w:val="28"/>
          <w:highlight w:val="none"/>
        </w:rPr>
      </w:pPr>
      <w:r>
        <w:rPr>
          <w:rFonts w:hint="eastAsia" w:ascii="宋体" w:hAnsi="宋体" w:cs="宋体"/>
          <w:snapToGrid w:val="0"/>
          <w:color w:val="auto"/>
          <w:spacing w:val="0"/>
          <w:kern w:val="0"/>
          <w:sz w:val="28"/>
          <w:highlight w:val="none"/>
        </w:rPr>
        <w:t>该项目于2026年6月21日由建设单位组织了工程竣工验收，并出具了《工程竣工验收报告》，结论为:泰安市昌荣石化销售有限公司依据安全设计完成加油机更换及加油机管线改建项目，经验收合格；详见报告附件。</w:t>
      </w:r>
    </w:p>
    <w:p w14:paraId="0A4D7630">
      <w:pPr>
        <w:adjustRightInd w:val="0"/>
        <w:snapToGrid w:val="0"/>
        <w:spacing w:line="360" w:lineRule="auto"/>
        <w:ind w:firstLine="560" w:firstLineChars="200"/>
        <w:rPr>
          <w:rFonts w:hint="eastAsia" w:ascii="宋体" w:hAnsi="宋体" w:cs="宋体"/>
          <w:color w:val="auto"/>
          <w:sz w:val="28"/>
          <w:szCs w:val="28"/>
          <w:highlight w:val="none"/>
        </w:rPr>
      </w:pPr>
      <w:r>
        <w:rPr>
          <w:rFonts w:hint="eastAsia" w:ascii="宋体"/>
          <w:color w:val="auto"/>
          <w:kern w:val="0"/>
          <w:sz w:val="28"/>
          <w:szCs w:val="20"/>
          <w:highlight w:val="none"/>
        </w:rPr>
        <w:t>该站</w:t>
      </w:r>
      <w:r>
        <w:rPr>
          <w:rFonts w:hint="eastAsia" w:ascii="宋体" w:hAnsi="宋体" w:cs="宋体"/>
          <w:snapToGrid w:val="0"/>
          <w:color w:val="auto"/>
          <w:spacing w:val="0"/>
          <w:kern w:val="0"/>
          <w:sz w:val="28"/>
          <w:highlight w:val="none"/>
        </w:rPr>
        <w:t>于</w:t>
      </w:r>
      <w:r>
        <w:rPr>
          <w:rFonts w:hint="eastAsia" w:ascii="宋体" w:hAnsi="宋体"/>
          <w:color w:val="auto"/>
          <w:sz w:val="28"/>
          <w:szCs w:val="28"/>
          <w:highlight w:val="none"/>
        </w:rPr>
        <w:t>2021年12月10日换发了《成品油零售经营批准证书》，证书编号：鲁油零售证书第3709031014号，证书有效期至2026年12月10日</w:t>
      </w:r>
      <w:r>
        <w:rPr>
          <w:rFonts w:hint="eastAsia" w:ascii="宋体" w:hAnsi="宋体" w:cs="宋体"/>
          <w:color w:val="auto"/>
          <w:sz w:val="28"/>
          <w:szCs w:val="28"/>
          <w:highlight w:val="none"/>
        </w:rPr>
        <w:t>。</w:t>
      </w:r>
    </w:p>
    <w:p w14:paraId="546DBC6F">
      <w:pPr>
        <w:adjustRightInd w:val="0"/>
        <w:snapToGrid w:val="0"/>
        <w:spacing w:line="360" w:lineRule="auto"/>
        <w:ind w:firstLine="560" w:firstLineChars="200"/>
        <w:rPr>
          <w:rFonts w:hint="eastAsia" w:ascii="宋体" w:hAnsi="宋体" w:cs="宋体"/>
          <w:color w:val="auto"/>
          <w:sz w:val="28"/>
          <w:szCs w:val="28"/>
          <w:highlight w:val="none"/>
        </w:rPr>
      </w:pPr>
      <w:r>
        <w:rPr>
          <w:rFonts w:hint="eastAsia" w:ascii="宋体"/>
          <w:color w:val="auto"/>
          <w:kern w:val="0"/>
          <w:sz w:val="28"/>
          <w:szCs w:val="20"/>
          <w:highlight w:val="none"/>
        </w:rPr>
        <w:t>该站</w:t>
      </w:r>
      <w:r>
        <w:rPr>
          <w:rFonts w:hint="eastAsia" w:ascii="宋体" w:hAnsi="宋体" w:cs="宋体"/>
          <w:color w:val="auto"/>
          <w:sz w:val="28"/>
          <w:szCs w:val="28"/>
          <w:highlight w:val="none"/>
        </w:rPr>
        <w:t>于2025年3月26日换发了《危险化学品经营许可证》，证书编号：鲁泰危化经[2025]0200004，证书有效</w:t>
      </w:r>
      <w:r>
        <w:rPr>
          <w:rFonts w:hint="eastAsia" w:ascii="宋体" w:hAnsi="宋体" w:cs="宋体"/>
          <w:color w:val="auto"/>
          <w:sz w:val="28"/>
          <w:szCs w:val="28"/>
          <w:highlight w:val="none"/>
          <w:lang w:eastAsia="zh-CN"/>
        </w:rPr>
        <w:t>期为</w:t>
      </w:r>
      <w:r>
        <w:rPr>
          <w:rFonts w:hint="eastAsia" w:ascii="宋体" w:hAnsi="宋体" w:cs="宋体"/>
          <w:color w:val="auto"/>
          <w:sz w:val="28"/>
          <w:szCs w:val="28"/>
          <w:highlight w:val="none"/>
        </w:rPr>
        <w:t>2025年3月26日至2028年3月25日。</w:t>
      </w:r>
    </w:p>
    <w:p w14:paraId="74B97934">
      <w:pPr>
        <w:adjustRightInd w:val="0"/>
        <w:snapToGrid w:val="0"/>
        <w:spacing w:line="360" w:lineRule="auto"/>
        <w:ind w:firstLine="562" w:firstLineChars="200"/>
        <w:rPr>
          <w:rFonts w:ascii="宋体" w:hAnsi="宋体"/>
          <w:b/>
          <w:bCs/>
          <w:color w:val="auto"/>
          <w:sz w:val="28"/>
          <w:szCs w:val="28"/>
          <w:highlight w:val="none"/>
        </w:rPr>
      </w:pPr>
      <w:r>
        <w:rPr>
          <w:rFonts w:hint="eastAsia" w:ascii="宋体" w:hAnsi="宋体"/>
          <w:b/>
          <w:bCs/>
          <w:color w:val="auto"/>
          <w:sz w:val="28"/>
          <w:szCs w:val="28"/>
          <w:highlight w:val="none"/>
        </w:rPr>
        <w:t>2.2.1.2可燃气体探测器</w:t>
      </w:r>
    </w:p>
    <w:p w14:paraId="520A9426">
      <w:pPr>
        <w:adjustRightInd w:val="0"/>
        <w:snapToGrid w:val="0"/>
        <w:spacing w:line="360" w:lineRule="auto"/>
        <w:ind w:firstLine="560" w:firstLineChars="200"/>
        <w:rPr>
          <w:rFonts w:hint="eastAsia" w:ascii="宋体" w:hAnsi="宋体" w:eastAsia="宋体" w:cs="宋体"/>
          <w:snapToGrid w:val="0"/>
          <w:color w:val="auto"/>
          <w:spacing w:val="0"/>
          <w:kern w:val="0"/>
          <w:sz w:val="28"/>
          <w:highlight w:val="none"/>
        </w:rPr>
      </w:pPr>
      <w:r>
        <w:rPr>
          <w:rFonts w:hint="eastAsia" w:ascii="宋体" w:hAnsi="宋体" w:eastAsia="宋体" w:cs="宋体"/>
          <w:snapToGrid w:val="0"/>
          <w:color w:val="auto"/>
          <w:spacing w:val="0"/>
          <w:kern w:val="0"/>
          <w:sz w:val="28"/>
          <w:highlight w:val="none"/>
        </w:rPr>
        <w:t>该站</w:t>
      </w:r>
      <w:r>
        <w:rPr>
          <w:rFonts w:hint="eastAsia" w:ascii="宋体" w:hAnsi="宋体" w:eastAsia="宋体" w:cs="宋体"/>
          <w:snapToGrid w:val="0"/>
          <w:color w:val="auto"/>
          <w:spacing w:val="0"/>
          <w:kern w:val="0"/>
          <w:sz w:val="28"/>
          <w:highlight w:val="none"/>
          <w:lang w:val="en-US" w:eastAsia="zh-CN"/>
        </w:rPr>
        <w:t>汽油加油机处共设3</w:t>
      </w:r>
      <w:r>
        <w:rPr>
          <w:rFonts w:hint="eastAsia" w:ascii="宋体" w:hAnsi="宋体" w:eastAsia="宋体" w:cs="宋体"/>
          <w:snapToGrid w:val="0"/>
          <w:color w:val="auto"/>
          <w:spacing w:val="0"/>
          <w:kern w:val="0"/>
          <w:sz w:val="28"/>
          <w:highlight w:val="none"/>
        </w:rPr>
        <w:t>套点型可燃气体探测器。202</w:t>
      </w:r>
      <w:r>
        <w:rPr>
          <w:rFonts w:hint="eastAsia" w:ascii="宋体" w:hAnsi="宋体" w:eastAsia="宋体" w:cs="宋体"/>
          <w:snapToGrid w:val="0"/>
          <w:color w:val="auto"/>
          <w:spacing w:val="0"/>
          <w:kern w:val="0"/>
          <w:sz w:val="28"/>
          <w:highlight w:val="none"/>
          <w:lang w:val="en-US" w:eastAsia="zh-CN"/>
        </w:rPr>
        <w:t>6</w:t>
      </w:r>
      <w:r>
        <w:rPr>
          <w:rFonts w:hint="eastAsia" w:ascii="宋体" w:hAnsi="宋体" w:eastAsia="宋体" w:cs="宋体"/>
          <w:snapToGrid w:val="0"/>
          <w:color w:val="auto"/>
          <w:spacing w:val="0"/>
          <w:kern w:val="0"/>
          <w:sz w:val="28"/>
          <w:highlight w:val="none"/>
        </w:rPr>
        <w:t>年</w:t>
      </w:r>
      <w:r>
        <w:rPr>
          <w:rFonts w:hint="eastAsia" w:ascii="宋体" w:hAnsi="宋体" w:eastAsia="宋体" w:cs="宋体"/>
          <w:snapToGrid w:val="0"/>
          <w:color w:val="auto"/>
          <w:spacing w:val="0"/>
          <w:kern w:val="0"/>
          <w:sz w:val="28"/>
          <w:highlight w:val="none"/>
          <w:lang w:val="en-US" w:eastAsia="zh-CN"/>
        </w:rPr>
        <w:t>06</w:t>
      </w:r>
      <w:r>
        <w:rPr>
          <w:rFonts w:hint="eastAsia" w:ascii="宋体" w:hAnsi="宋体" w:eastAsia="宋体" w:cs="宋体"/>
          <w:snapToGrid w:val="0"/>
          <w:color w:val="auto"/>
          <w:spacing w:val="0"/>
          <w:kern w:val="0"/>
          <w:sz w:val="28"/>
          <w:highlight w:val="none"/>
        </w:rPr>
        <w:t>月</w:t>
      </w:r>
      <w:r>
        <w:rPr>
          <w:rFonts w:hint="eastAsia" w:ascii="宋体" w:hAnsi="宋体" w:eastAsia="宋体" w:cs="宋体"/>
          <w:snapToGrid w:val="0"/>
          <w:color w:val="auto"/>
          <w:spacing w:val="0"/>
          <w:kern w:val="0"/>
          <w:sz w:val="28"/>
          <w:highlight w:val="none"/>
          <w:lang w:val="en-US" w:eastAsia="zh-CN"/>
        </w:rPr>
        <w:t>27日唐山恒测计量器具检测</w:t>
      </w:r>
      <w:r>
        <w:rPr>
          <w:rFonts w:hint="eastAsia" w:ascii="宋体" w:hAnsi="宋体" w:eastAsia="宋体" w:cs="宋体"/>
          <w:snapToGrid w:val="0"/>
          <w:color w:val="auto"/>
          <w:spacing w:val="0"/>
          <w:kern w:val="0"/>
          <w:sz w:val="28"/>
          <w:highlight w:val="none"/>
          <w:lang w:eastAsia="zh-CN"/>
        </w:rPr>
        <w:t>有限公司</w:t>
      </w:r>
      <w:r>
        <w:rPr>
          <w:rFonts w:hint="eastAsia" w:ascii="宋体" w:hAnsi="宋体" w:eastAsia="宋体" w:cs="宋体"/>
          <w:snapToGrid w:val="0"/>
          <w:color w:val="auto"/>
          <w:spacing w:val="0"/>
          <w:kern w:val="0"/>
          <w:sz w:val="28"/>
          <w:highlight w:val="none"/>
        </w:rPr>
        <w:t>对该站可燃气体探测器出具了</w:t>
      </w:r>
      <w:r>
        <w:rPr>
          <w:rFonts w:hint="eastAsia" w:ascii="宋体" w:hAnsi="宋体" w:eastAsia="宋体" w:cs="宋体"/>
          <w:snapToGrid w:val="0"/>
          <w:color w:val="auto"/>
          <w:spacing w:val="0"/>
          <w:kern w:val="0"/>
          <w:sz w:val="28"/>
          <w:highlight w:val="none"/>
          <w:lang w:val="en-US" w:eastAsia="zh-CN"/>
        </w:rPr>
        <w:t>校准证书</w:t>
      </w:r>
      <w:r>
        <w:rPr>
          <w:rFonts w:hint="eastAsia" w:ascii="宋体" w:hAnsi="宋体" w:eastAsia="宋体" w:cs="宋体"/>
          <w:snapToGrid w:val="0"/>
          <w:color w:val="auto"/>
          <w:spacing w:val="0"/>
          <w:kern w:val="0"/>
          <w:sz w:val="28"/>
          <w:highlight w:val="none"/>
        </w:rPr>
        <w:t>，有效期</w:t>
      </w:r>
      <w:r>
        <w:rPr>
          <w:rFonts w:hint="eastAsia" w:ascii="宋体" w:hAnsi="宋体" w:eastAsia="宋体" w:cs="宋体"/>
          <w:snapToGrid w:val="0"/>
          <w:color w:val="auto"/>
          <w:spacing w:val="0"/>
          <w:kern w:val="0"/>
          <w:sz w:val="28"/>
          <w:highlight w:val="none"/>
          <w:lang w:val="en-US" w:eastAsia="zh-CN"/>
        </w:rPr>
        <w:t>12个月</w:t>
      </w:r>
      <w:r>
        <w:rPr>
          <w:rFonts w:hint="eastAsia" w:ascii="宋体" w:hAnsi="宋体" w:eastAsia="宋体" w:cs="宋体"/>
          <w:snapToGrid w:val="0"/>
          <w:color w:val="auto"/>
          <w:spacing w:val="0"/>
          <w:kern w:val="0"/>
          <w:sz w:val="28"/>
          <w:highlight w:val="none"/>
        </w:rPr>
        <w:t>，详见附件。</w:t>
      </w:r>
    </w:p>
    <w:p w14:paraId="3D183689">
      <w:pPr>
        <w:adjustRightInd w:val="0"/>
        <w:snapToGrid w:val="0"/>
        <w:spacing w:line="360" w:lineRule="auto"/>
        <w:ind w:firstLine="562" w:firstLineChars="200"/>
        <w:rPr>
          <w:rFonts w:ascii="宋体" w:hAnsi="宋体"/>
          <w:b/>
          <w:bCs/>
          <w:color w:val="auto"/>
          <w:sz w:val="28"/>
          <w:szCs w:val="28"/>
          <w:highlight w:val="none"/>
        </w:rPr>
      </w:pPr>
      <w:r>
        <w:rPr>
          <w:rFonts w:hint="eastAsia" w:ascii="宋体" w:hAnsi="宋体"/>
          <w:b/>
          <w:bCs/>
          <w:color w:val="auto"/>
          <w:sz w:val="28"/>
          <w:szCs w:val="28"/>
          <w:highlight w:val="none"/>
        </w:rPr>
        <w:t>2.2.1.</w:t>
      </w:r>
      <w:r>
        <w:rPr>
          <w:rFonts w:hint="eastAsia" w:ascii="宋体" w:hAnsi="宋体"/>
          <w:b/>
          <w:bCs/>
          <w:color w:val="auto"/>
          <w:sz w:val="28"/>
          <w:szCs w:val="28"/>
          <w:highlight w:val="none"/>
          <w:lang w:val="en-US" w:eastAsia="zh-CN"/>
        </w:rPr>
        <w:t>3</w:t>
      </w:r>
      <w:r>
        <w:rPr>
          <w:rFonts w:hint="eastAsia" w:ascii="宋体" w:hAnsi="宋体"/>
          <w:b/>
          <w:bCs/>
          <w:color w:val="auto"/>
          <w:sz w:val="28"/>
          <w:szCs w:val="28"/>
          <w:highlight w:val="none"/>
        </w:rPr>
        <w:t>防雷检测</w:t>
      </w:r>
    </w:p>
    <w:p w14:paraId="6DF9203C">
      <w:pPr>
        <w:adjustRightInd w:val="0"/>
        <w:snapToGrid w:val="0"/>
        <w:spacing w:line="360" w:lineRule="auto"/>
        <w:ind w:firstLine="560" w:firstLineChars="200"/>
        <w:rPr>
          <w:rFonts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2026年 06月18日，江西建业防雷检测有限公司对该站的防雷装置进行了检测，出具了《雷电防护装置定期检测报告》，报告编号：(1152020002)[2026]D163号，检测结论：建筑物防雷装置符合现行国家防雷规范标准要求。有效期至2026年12月18日，详见报告附件。</w:t>
      </w:r>
    </w:p>
    <w:p w14:paraId="6E55358F">
      <w:pPr>
        <w:adjustRightInd w:val="0"/>
        <w:snapToGrid w:val="0"/>
        <w:spacing w:line="360" w:lineRule="auto"/>
        <w:ind w:firstLine="562" w:firstLineChars="200"/>
        <w:rPr>
          <w:rFonts w:ascii="宋体" w:hAnsi="宋体"/>
          <w:b/>
          <w:bCs/>
          <w:color w:val="auto"/>
          <w:sz w:val="28"/>
          <w:szCs w:val="28"/>
          <w:highlight w:val="none"/>
        </w:rPr>
      </w:pPr>
      <w:r>
        <w:rPr>
          <w:rFonts w:hint="eastAsia" w:ascii="宋体" w:hAnsi="宋体"/>
          <w:b/>
          <w:bCs/>
          <w:color w:val="auto"/>
          <w:sz w:val="28"/>
          <w:szCs w:val="28"/>
          <w:highlight w:val="none"/>
        </w:rPr>
        <w:t>2.2.1.</w:t>
      </w:r>
      <w:r>
        <w:rPr>
          <w:rFonts w:hint="eastAsia" w:ascii="宋体" w:hAnsi="宋体"/>
          <w:b/>
          <w:bCs/>
          <w:color w:val="auto"/>
          <w:sz w:val="28"/>
          <w:szCs w:val="28"/>
          <w:highlight w:val="none"/>
          <w:lang w:val="en-US" w:eastAsia="zh-CN"/>
        </w:rPr>
        <w:t>4</w:t>
      </w:r>
      <w:r>
        <w:rPr>
          <w:rFonts w:ascii="宋体" w:hAnsi="宋体"/>
          <w:b/>
          <w:bCs/>
          <w:color w:val="auto"/>
          <w:sz w:val="28"/>
          <w:szCs w:val="28"/>
          <w:highlight w:val="none"/>
        </w:rPr>
        <w:t>工程消防</w:t>
      </w:r>
      <w:r>
        <w:rPr>
          <w:rFonts w:hint="eastAsia" w:ascii="宋体" w:hAnsi="宋体"/>
          <w:b/>
          <w:bCs/>
          <w:color w:val="auto"/>
          <w:sz w:val="28"/>
          <w:szCs w:val="28"/>
          <w:highlight w:val="none"/>
        </w:rPr>
        <w:t>验收</w:t>
      </w:r>
    </w:p>
    <w:p w14:paraId="36F39AB9">
      <w:pPr>
        <w:adjustRightInd w:val="0"/>
        <w:snapToGrid w:val="0"/>
        <w:spacing w:line="360" w:lineRule="auto"/>
        <w:ind w:firstLine="560" w:firstLineChars="200"/>
        <w:rPr>
          <w:rFonts w:hint="eastAsia" w:ascii="宋体" w:hAnsi="宋体" w:cs="宋体"/>
          <w:snapToGrid w:val="0"/>
          <w:color w:val="auto"/>
          <w:spacing w:val="0"/>
          <w:kern w:val="0"/>
          <w:sz w:val="28"/>
          <w:highlight w:val="none"/>
        </w:rPr>
      </w:pPr>
      <w:r>
        <w:rPr>
          <w:rFonts w:hint="eastAsia" w:ascii="宋体" w:hAnsi="宋体" w:cs="宋体"/>
          <w:snapToGrid w:val="0"/>
          <w:color w:val="auto"/>
          <w:spacing w:val="0"/>
          <w:kern w:val="0"/>
          <w:sz w:val="28"/>
          <w:highlight w:val="none"/>
        </w:rPr>
        <w:t>该加油站站房、罩棚依托原有，原加油站于2007年</w:t>
      </w:r>
      <w:r>
        <w:rPr>
          <w:rFonts w:hint="eastAsia" w:ascii="宋体" w:hAnsi="宋体" w:cs="宋体"/>
          <w:snapToGrid w:val="0"/>
          <w:color w:val="auto"/>
          <w:spacing w:val="0"/>
          <w:kern w:val="0"/>
          <w:sz w:val="28"/>
          <w:highlight w:val="none"/>
          <w:lang w:val="en-US" w:eastAsia="zh-CN"/>
        </w:rPr>
        <w:t>2</w:t>
      </w:r>
      <w:r>
        <w:rPr>
          <w:rFonts w:hint="eastAsia" w:ascii="宋体" w:hAnsi="宋体" w:cs="宋体"/>
          <w:snapToGrid w:val="0"/>
          <w:color w:val="auto"/>
          <w:spacing w:val="0"/>
          <w:kern w:val="0"/>
          <w:sz w:val="28"/>
          <w:highlight w:val="none"/>
        </w:rPr>
        <w:t>月</w:t>
      </w:r>
      <w:r>
        <w:rPr>
          <w:rFonts w:hint="eastAsia" w:ascii="宋体" w:hAnsi="宋体" w:cs="宋体"/>
          <w:snapToGrid w:val="0"/>
          <w:color w:val="auto"/>
          <w:spacing w:val="0"/>
          <w:kern w:val="0"/>
          <w:sz w:val="28"/>
          <w:highlight w:val="none"/>
          <w:lang w:val="en-US" w:eastAsia="zh-CN"/>
        </w:rPr>
        <w:t>7</w:t>
      </w:r>
      <w:r>
        <w:rPr>
          <w:rFonts w:hint="eastAsia" w:ascii="宋体" w:hAnsi="宋体" w:cs="宋体"/>
          <w:snapToGrid w:val="0"/>
          <w:color w:val="auto"/>
          <w:spacing w:val="0"/>
          <w:kern w:val="0"/>
          <w:sz w:val="28"/>
          <w:highlight w:val="none"/>
        </w:rPr>
        <w:t>日取得了泰安市公安消防分局出具的《建筑工程消防验收意见书》，编号：泰公消验字[2007]第12号，验收意见：认为合格，准许投入使用，详见附件。</w:t>
      </w:r>
    </w:p>
    <w:p w14:paraId="21FA1E1E">
      <w:pPr>
        <w:adjustRightInd w:val="0"/>
        <w:snapToGrid w:val="0"/>
        <w:spacing w:line="360" w:lineRule="auto"/>
        <w:ind w:firstLine="562" w:firstLineChars="200"/>
        <w:rPr>
          <w:rFonts w:ascii="宋体" w:hAnsi="宋体"/>
          <w:b/>
          <w:bCs/>
          <w:color w:val="auto"/>
          <w:sz w:val="28"/>
          <w:szCs w:val="28"/>
          <w:highlight w:val="none"/>
        </w:rPr>
      </w:pPr>
      <w:r>
        <w:rPr>
          <w:rFonts w:hint="eastAsia" w:ascii="宋体" w:hAnsi="宋体"/>
          <w:b/>
          <w:bCs/>
          <w:color w:val="auto"/>
          <w:sz w:val="28"/>
          <w:szCs w:val="28"/>
          <w:highlight w:val="none"/>
        </w:rPr>
        <w:t>2.2.1.</w:t>
      </w:r>
      <w:r>
        <w:rPr>
          <w:rFonts w:hint="eastAsia" w:ascii="宋体" w:hAnsi="宋体"/>
          <w:b/>
          <w:bCs/>
          <w:color w:val="auto"/>
          <w:sz w:val="28"/>
          <w:szCs w:val="28"/>
          <w:highlight w:val="none"/>
          <w:lang w:val="en-US" w:eastAsia="zh-CN"/>
        </w:rPr>
        <w:t>5</w:t>
      </w:r>
      <w:r>
        <w:rPr>
          <w:rFonts w:hint="eastAsia" w:ascii="宋体" w:hAnsi="宋体"/>
          <w:b/>
          <w:bCs/>
          <w:color w:val="auto"/>
          <w:sz w:val="28"/>
          <w:szCs w:val="28"/>
          <w:highlight w:val="none"/>
        </w:rPr>
        <w:t>应急预案</w:t>
      </w:r>
    </w:p>
    <w:p w14:paraId="06933825">
      <w:pPr>
        <w:adjustRightInd w:val="0"/>
        <w:snapToGrid w:val="0"/>
        <w:spacing w:line="360" w:lineRule="auto"/>
        <w:ind w:firstLine="560" w:firstLineChars="200"/>
        <w:rPr>
          <w:rFonts w:hint="eastAsia" w:ascii="宋体" w:hAnsi="宋体" w:cs="宋体"/>
          <w:snapToGrid w:val="0"/>
          <w:color w:val="auto"/>
          <w:spacing w:val="0"/>
          <w:kern w:val="0"/>
          <w:sz w:val="28"/>
          <w:highlight w:val="none"/>
        </w:rPr>
      </w:pPr>
      <w:r>
        <w:rPr>
          <w:rFonts w:hint="eastAsia" w:ascii="宋体" w:hAnsi="宋体" w:cs="宋体"/>
          <w:snapToGrid w:val="0"/>
          <w:color w:val="auto"/>
          <w:spacing w:val="0"/>
          <w:kern w:val="0"/>
          <w:sz w:val="28"/>
          <w:highlight w:val="none"/>
        </w:rPr>
        <w:t>该站制定了生产安全事故应急预案，于</w:t>
      </w:r>
      <w:r>
        <w:rPr>
          <w:rFonts w:hint="eastAsia" w:ascii="宋体" w:hAnsi="宋体" w:cs="宋体"/>
          <w:bCs/>
          <w:color w:val="auto"/>
          <w:sz w:val="28"/>
          <w:szCs w:val="20"/>
          <w:highlight w:val="none"/>
        </w:rPr>
        <w:t>2026年6月25日</w:t>
      </w:r>
      <w:r>
        <w:rPr>
          <w:rFonts w:hint="eastAsia" w:ascii="宋体" w:hAnsi="宋体" w:cs="宋体"/>
          <w:snapToGrid w:val="0"/>
          <w:color w:val="auto"/>
          <w:spacing w:val="0"/>
          <w:kern w:val="0"/>
          <w:sz w:val="28"/>
          <w:highlight w:val="none"/>
        </w:rPr>
        <w:t>取得泰安市岱岳区应急管理局出具的备案登记表，备案编号：370911-2026-0037，详见附件。</w:t>
      </w:r>
    </w:p>
    <w:p w14:paraId="5B323B6E">
      <w:pPr>
        <w:adjustRightInd w:val="0"/>
        <w:snapToGrid w:val="0"/>
        <w:spacing w:line="360" w:lineRule="auto"/>
        <w:ind w:firstLine="562" w:firstLineChars="200"/>
        <w:rPr>
          <w:rFonts w:ascii="宋体" w:hAnsi="宋体"/>
          <w:b/>
          <w:bCs/>
          <w:color w:val="auto"/>
          <w:sz w:val="28"/>
          <w:szCs w:val="28"/>
          <w:highlight w:val="none"/>
        </w:rPr>
      </w:pPr>
      <w:r>
        <w:rPr>
          <w:rFonts w:hint="eastAsia" w:ascii="宋体" w:hAnsi="宋体"/>
          <w:b/>
          <w:bCs/>
          <w:color w:val="auto"/>
          <w:sz w:val="28"/>
          <w:szCs w:val="28"/>
          <w:highlight w:val="none"/>
        </w:rPr>
        <w:t>2.2.1.</w:t>
      </w:r>
      <w:r>
        <w:rPr>
          <w:rFonts w:hint="eastAsia" w:ascii="宋体" w:hAnsi="宋体"/>
          <w:b/>
          <w:bCs/>
          <w:color w:val="auto"/>
          <w:sz w:val="28"/>
          <w:szCs w:val="28"/>
          <w:highlight w:val="none"/>
          <w:lang w:val="en-US" w:eastAsia="zh-CN"/>
        </w:rPr>
        <w:t>6</w:t>
      </w:r>
      <w:r>
        <w:rPr>
          <w:rFonts w:hint="eastAsia" w:ascii="宋体" w:hAnsi="宋体"/>
          <w:b/>
          <w:bCs/>
          <w:color w:val="auto"/>
          <w:sz w:val="28"/>
          <w:szCs w:val="28"/>
          <w:highlight w:val="none"/>
        </w:rPr>
        <w:t>安全生产责任险</w:t>
      </w:r>
    </w:p>
    <w:p w14:paraId="26B56115">
      <w:pPr>
        <w:adjustRightInd w:val="0"/>
        <w:snapToGrid w:val="0"/>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该站在中华联合财产保险股份有限公司缴纳了安全生产责任保险，保单号0226370903000450000003，保险期间自2026年06月18日零时起至2027年06月17日二十四时止，详见附件。</w:t>
      </w:r>
    </w:p>
    <w:p w14:paraId="0EEF37A4">
      <w:pPr>
        <w:adjustRightInd w:val="0"/>
        <w:snapToGrid w:val="0"/>
        <w:spacing w:line="360" w:lineRule="auto"/>
        <w:ind w:firstLine="562" w:firstLineChars="200"/>
        <w:rPr>
          <w:rFonts w:ascii="宋体" w:hAnsi="宋体"/>
          <w:b/>
          <w:bCs/>
          <w:color w:val="auto"/>
          <w:sz w:val="28"/>
          <w:szCs w:val="28"/>
          <w:highlight w:val="none"/>
        </w:rPr>
      </w:pPr>
      <w:r>
        <w:rPr>
          <w:rFonts w:hint="eastAsia" w:ascii="宋体" w:hAnsi="宋体"/>
          <w:b/>
          <w:bCs/>
          <w:color w:val="auto"/>
          <w:sz w:val="28"/>
          <w:szCs w:val="28"/>
          <w:highlight w:val="none"/>
        </w:rPr>
        <w:t>2.2.1.</w:t>
      </w:r>
      <w:r>
        <w:rPr>
          <w:rFonts w:hint="eastAsia" w:ascii="宋体" w:hAnsi="宋体"/>
          <w:b/>
          <w:bCs/>
          <w:color w:val="auto"/>
          <w:sz w:val="28"/>
          <w:szCs w:val="28"/>
          <w:highlight w:val="none"/>
          <w:lang w:val="en-US" w:eastAsia="zh-CN"/>
        </w:rPr>
        <w:t>7</w:t>
      </w:r>
      <w:r>
        <w:rPr>
          <w:rFonts w:hint="eastAsia" w:ascii="宋体" w:hAnsi="宋体"/>
          <w:b/>
          <w:bCs/>
          <w:color w:val="auto"/>
          <w:sz w:val="28"/>
          <w:szCs w:val="28"/>
          <w:highlight w:val="none"/>
        </w:rPr>
        <w:t>土地手续</w:t>
      </w:r>
    </w:p>
    <w:p w14:paraId="74F87914">
      <w:pPr>
        <w:adjustRightInd w:val="0"/>
        <w:snapToGrid w:val="0"/>
        <w:spacing w:line="360" w:lineRule="auto"/>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该站</w:t>
      </w:r>
      <w:r>
        <w:rPr>
          <w:rFonts w:hint="eastAsia" w:ascii="宋体" w:hAnsi="宋体"/>
          <w:color w:val="auto"/>
          <w:sz w:val="28"/>
          <w:szCs w:val="28"/>
          <w:highlight w:val="none"/>
        </w:rPr>
        <w:t>于2025年11月25日与</w:t>
      </w:r>
      <w:r>
        <w:rPr>
          <w:rFonts w:hint="eastAsia" w:ascii="宋体" w:hAnsi="宋体" w:cs="宋体"/>
          <w:color w:val="auto"/>
          <w:sz w:val="28"/>
          <w:szCs w:val="28"/>
          <w:highlight w:val="none"/>
        </w:rPr>
        <w:t>泰安立信石化有限公司</w:t>
      </w:r>
      <w:r>
        <w:rPr>
          <w:rFonts w:hint="eastAsia" w:ascii="宋体" w:hAnsi="宋体"/>
          <w:color w:val="auto"/>
          <w:sz w:val="28"/>
          <w:szCs w:val="28"/>
          <w:highlight w:val="none"/>
        </w:rPr>
        <w:t>签订</w:t>
      </w:r>
      <w:r>
        <w:rPr>
          <w:rFonts w:hint="eastAsia" w:ascii="宋体" w:hAnsi="宋体" w:cs="宋体"/>
          <w:color w:val="auto"/>
          <w:sz w:val="28"/>
          <w:szCs w:val="28"/>
          <w:highlight w:val="none"/>
        </w:rPr>
        <w:t>《</w:t>
      </w:r>
      <w:r>
        <w:rPr>
          <w:rFonts w:hint="eastAsia" w:ascii="宋体" w:hAnsi="宋体"/>
          <w:color w:val="auto"/>
          <w:sz w:val="28"/>
          <w:szCs w:val="28"/>
          <w:highlight w:val="none"/>
        </w:rPr>
        <w:t>加油站租赁合同</w:t>
      </w:r>
      <w:r>
        <w:rPr>
          <w:rFonts w:hint="eastAsia" w:ascii="宋体" w:hAnsi="宋体" w:cs="宋体"/>
          <w:color w:val="auto"/>
          <w:sz w:val="28"/>
          <w:szCs w:val="28"/>
          <w:highlight w:val="none"/>
        </w:rPr>
        <w:t>》，租赁期限5年，详见附件</w:t>
      </w:r>
      <w:r>
        <w:rPr>
          <w:rFonts w:hint="eastAsia" w:ascii="宋体" w:hAnsi="宋体"/>
          <w:color w:val="auto"/>
          <w:sz w:val="28"/>
          <w:szCs w:val="28"/>
          <w:highlight w:val="none"/>
        </w:rPr>
        <w:t>。</w:t>
      </w:r>
    </w:p>
    <w:bookmarkEnd w:id="1"/>
    <w:bookmarkEnd w:id="2"/>
    <w:p w14:paraId="704BEAF9">
      <w:pPr>
        <w:pageBreakBefore/>
        <w:adjustRightInd w:val="0"/>
        <w:snapToGrid w:val="0"/>
        <w:spacing w:line="360" w:lineRule="auto"/>
        <w:jc w:val="center"/>
        <w:outlineLvl w:val="0"/>
        <w:rPr>
          <w:rFonts w:hint="eastAsia" w:ascii="黑体" w:eastAsia="黑体"/>
          <w:color w:val="auto"/>
          <w:sz w:val="32"/>
          <w:szCs w:val="32"/>
          <w:highlight w:val="none"/>
        </w:rPr>
      </w:pPr>
      <w:bookmarkStart w:id="5" w:name="_Toc24743"/>
      <w:bookmarkStart w:id="6" w:name="_Toc80"/>
      <w:r>
        <w:rPr>
          <w:rFonts w:hint="eastAsia" w:ascii="黑体" w:eastAsia="黑体"/>
          <w:b/>
          <w:bCs/>
          <w:color w:val="auto"/>
          <w:kern w:val="44"/>
          <w:sz w:val="32"/>
          <w:szCs w:val="32"/>
          <w:highlight w:val="none"/>
        </w:rPr>
        <w:t>4 安全经营条件</w:t>
      </w:r>
      <w:bookmarkEnd w:id="5"/>
    </w:p>
    <w:p w14:paraId="059625F5">
      <w:pPr>
        <w:pStyle w:val="3"/>
        <w:adjustRightInd w:val="0"/>
        <w:snapToGrid w:val="0"/>
        <w:spacing w:before="0" w:after="0" w:line="360" w:lineRule="auto"/>
        <w:jc w:val="center"/>
        <w:rPr>
          <w:rFonts w:hint="eastAsia" w:ascii="楷体_GB2312" w:eastAsia="楷体_GB2312"/>
          <w:color w:val="auto"/>
          <w:highlight w:val="none"/>
        </w:rPr>
      </w:pPr>
      <w:bookmarkStart w:id="7" w:name="_Toc1376"/>
      <w:r>
        <w:rPr>
          <w:rFonts w:hint="eastAsia" w:ascii="楷体_GB2312" w:eastAsia="楷体_GB2312"/>
          <w:color w:val="auto"/>
          <w:highlight w:val="none"/>
        </w:rPr>
        <w:t>4.1 评价单元划分</w:t>
      </w:r>
      <w:bookmarkEnd w:id="7"/>
    </w:p>
    <w:p w14:paraId="41C48766">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根据泰安市昌荣石化销售有限公司改建项目的特点，本次安全评价划分为4个单元，即安全管理、站址选择及总平面布置、加油工艺及设施、其它设施。</w:t>
      </w:r>
    </w:p>
    <w:p w14:paraId="7FFCCEB2">
      <w:pPr>
        <w:pStyle w:val="3"/>
        <w:adjustRightInd w:val="0"/>
        <w:snapToGrid w:val="0"/>
        <w:spacing w:before="0" w:after="0" w:line="360" w:lineRule="auto"/>
        <w:jc w:val="center"/>
        <w:rPr>
          <w:rFonts w:hint="eastAsia" w:ascii="楷体_GB2312" w:eastAsia="楷体_GB2312"/>
          <w:color w:val="auto"/>
          <w:highlight w:val="none"/>
        </w:rPr>
      </w:pPr>
      <w:bookmarkStart w:id="8" w:name="_Toc9399"/>
      <w:r>
        <w:rPr>
          <w:rFonts w:hint="eastAsia" w:ascii="楷体_GB2312" w:eastAsia="楷体_GB2312"/>
          <w:color w:val="auto"/>
          <w:highlight w:val="none"/>
        </w:rPr>
        <w:t>4.2 评价方法选择</w:t>
      </w:r>
      <w:bookmarkEnd w:id="8"/>
    </w:p>
    <w:p w14:paraId="73B46EC3">
      <w:pPr>
        <w:adjustRightInd w:val="0"/>
        <w:snapToGrid w:val="0"/>
        <w:spacing w:line="360" w:lineRule="auto"/>
        <w:ind w:firstLine="562" w:firstLineChars="200"/>
        <w:outlineLvl w:val="2"/>
        <w:rPr>
          <w:rFonts w:hint="eastAsia" w:ascii="黑体" w:hAnsi="宋体" w:eastAsia="黑体"/>
          <w:b/>
          <w:color w:val="auto"/>
          <w:sz w:val="28"/>
          <w:szCs w:val="28"/>
          <w:highlight w:val="none"/>
        </w:rPr>
      </w:pPr>
      <w:r>
        <w:rPr>
          <w:rFonts w:hint="eastAsia" w:ascii="黑体" w:hAnsi="宋体" w:eastAsia="黑体"/>
          <w:b/>
          <w:color w:val="auto"/>
          <w:sz w:val="28"/>
          <w:szCs w:val="28"/>
          <w:highlight w:val="none"/>
        </w:rPr>
        <w:t>4.2.1 评价方法选用表</w:t>
      </w:r>
    </w:p>
    <w:p w14:paraId="11B887DF">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首先,我们运用安全检查表的方法对本项目的设计进行检查，确定本项目的总体安全性。然后，根据各评价单元的特点选择适合的评价方法进行评价，具体方法选择见表4.2-1。</w:t>
      </w:r>
    </w:p>
    <w:p w14:paraId="4FA1E5EE">
      <w:pPr>
        <w:pStyle w:val="29"/>
        <w:adjustRightInd w:val="0"/>
        <w:snapToGrid w:val="0"/>
        <w:spacing w:line="360" w:lineRule="auto"/>
        <w:outlineLvl w:val="9"/>
        <w:rPr>
          <w:rFonts w:hint="eastAsia"/>
          <w:color w:val="auto"/>
          <w:highlight w:val="none"/>
        </w:rPr>
      </w:pPr>
      <w:r>
        <w:rPr>
          <w:rFonts w:hint="eastAsia"/>
          <w:color w:val="auto"/>
          <w:highlight w:val="none"/>
        </w:rPr>
        <w:t>表4.2-1 评价方法选用表</w:t>
      </w:r>
    </w:p>
    <w:tbl>
      <w:tblPr>
        <w:tblStyle w:val="1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30"/>
        <w:gridCol w:w="3196"/>
        <w:gridCol w:w="3762"/>
      </w:tblGrid>
      <w:tr w14:paraId="01C028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254" w:type="pct"/>
            <w:noWrap w:val="0"/>
            <w:vAlign w:val="center"/>
          </w:tcPr>
          <w:p w14:paraId="637DB66C">
            <w:pPr>
              <w:pStyle w:val="31"/>
              <w:adjustRightInd w:val="0"/>
              <w:spacing w:line="360" w:lineRule="auto"/>
              <w:rPr>
                <w:rFonts w:hint="eastAsia" w:ascii="宋体" w:hAnsi="宋体"/>
                <w:snapToGrid/>
                <w:color w:val="auto"/>
                <w:kern w:val="2"/>
                <w:highlight w:val="none"/>
              </w:rPr>
            </w:pPr>
            <w:r>
              <w:rPr>
                <w:rFonts w:hint="eastAsia" w:ascii="宋体" w:hAnsi="宋体"/>
                <w:snapToGrid/>
                <w:color w:val="auto"/>
                <w:kern w:val="2"/>
                <w:highlight w:val="none"/>
              </w:rPr>
              <w:t>序号</w:t>
            </w:r>
          </w:p>
        </w:tc>
        <w:tc>
          <w:tcPr>
            <w:tcW w:w="1720" w:type="pct"/>
            <w:noWrap w:val="0"/>
            <w:vAlign w:val="center"/>
          </w:tcPr>
          <w:p w14:paraId="4C6561F9">
            <w:pPr>
              <w:pStyle w:val="31"/>
              <w:adjustRightInd w:val="0"/>
              <w:spacing w:line="360" w:lineRule="auto"/>
              <w:rPr>
                <w:rFonts w:hint="eastAsia" w:ascii="宋体" w:hAnsi="宋体"/>
                <w:snapToGrid/>
                <w:color w:val="auto"/>
                <w:kern w:val="2"/>
                <w:highlight w:val="none"/>
              </w:rPr>
            </w:pPr>
            <w:r>
              <w:rPr>
                <w:rFonts w:hint="eastAsia" w:ascii="宋体" w:hAnsi="宋体"/>
                <w:snapToGrid/>
                <w:color w:val="auto"/>
                <w:kern w:val="2"/>
                <w:highlight w:val="none"/>
              </w:rPr>
              <w:t>评价单元名称</w:t>
            </w:r>
          </w:p>
        </w:tc>
        <w:tc>
          <w:tcPr>
            <w:tcW w:w="2024" w:type="pct"/>
            <w:noWrap w:val="0"/>
            <w:vAlign w:val="center"/>
          </w:tcPr>
          <w:p w14:paraId="0EDA5237">
            <w:pPr>
              <w:pStyle w:val="31"/>
              <w:adjustRightInd w:val="0"/>
              <w:spacing w:line="360" w:lineRule="auto"/>
              <w:rPr>
                <w:rFonts w:hint="eastAsia" w:ascii="宋体" w:hAnsi="宋体"/>
                <w:snapToGrid/>
                <w:color w:val="auto"/>
                <w:kern w:val="2"/>
                <w:highlight w:val="none"/>
              </w:rPr>
            </w:pPr>
            <w:r>
              <w:rPr>
                <w:rFonts w:hint="eastAsia" w:ascii="宋体" w:hAnsi="宋体"/>
                <w:snapToGrid/>
                <w:color w:val="auto"/>
                <w:kern w:val="2"/>
                <w:highlight w:val="none"/>
              </w:rPr>
              <w:t>采用的评价方法</w:t>
            </w:r>
          </w:p>
        </w:tc>
      </w:tr>
      <w:tr w14:paraId="29D190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1254" w:type="pct"/>
            <w:noWrap w:val="0"/>
            <w:vAlign w:val="center"/>
          </w:tcPr>
          <w:p w14:paraId="47A1A202">
            <w:pPr>
              <w:pStyle w:val="31"/>
              <w:adjustRightInd w:val="0"/>
              <w:spacing w:line="360" w:lineRule="auto"/>
              <w:rPr>
                <w:rFonts w:hint="eastAsia" w:ascii="宋体" w:hAnsi="宋体"/>
                <w:snapToGrid/>
                <w:color w:val="auto"/>
                <w:kern w:val="2"/>
                <w:sz w:val="24"/>
                <w:highlight w:val="none"/>
              </w:rPr>
            </w:pPr>
            <w:r>
              <w:rPr>
                <w:rFonts w:hint="eastAsia" w:ascii="宋体" w:hAnsi="宋体"/>
                <w:snapToGrid/>
                <w:color w:val="auto"/>
                <w:kern w:val="2"/>
                <w:sz w:val="24"/>
                <w:highlight w:val="none"/>
              </w:rPr>
              <w:t>P</w:t>
            </w:r>
            <w:r>
              <w:rPr>
                <w:rFonts w:hint="eastAsia" w:ascii="宋体" w:hAnsi="宋体"/>
                <w:snapToGrid/>
                <w:color w:val="auto"/>
                <w:kern w:val="2"/>
                <w:sz w:val="24"/>
                <w:highlight w:val="none"/>
                <w:vertAlign w:val="subscript"/>
              </w:rPr>
              <w:t>1</w:t>
            </w:r>
          </w:p>
        </w:tc>
        <w:tc>
          <w:tcPr>
            <w:tcW w:w="1720" w:type="pct"/>
            <w:noWrap w:val="0"/>
            <w:vAlign w:val="center"/>
          </w:tcPr>
          <w:p w14:paraId="716282A1">
            <w:pPr>
              <w:adjustRightInd w:val="0"/>
              <w:snapToGrid w:val="0"/>
              <w:spacing w:line="360" w:lineRule="auto"/>
              <w:jc w:val="center"/>
              <w:rPr>
                <w:rFonts w:hint="eastAsia" w:ascii="宋体" w:hAnsi="宋体"/>
                <w:color w:val="auto"/>
                <w:highlight w:val="none"/>
              </w:rPr>
            </w:pPr>
            <w:r>
              <w:rPr>
                <w:rFonts w:hint="eastAsia"/>
                <w:color w:val="auto"/>
                <w:szCs w:val="28"/>
                <w:highlight w:val="none"/>
              </w:rPr>
              <w:t>安全管理</w:t>
            </w:r>
          </w:p>
        </w:tc>
        <w:tc>
          <w:tcPr>
            <w:tcW w:w="2024" w:type="pct"/>
            <w:noWrap w:val="0"/>
            <w:vAlign w:val="center"/>
          </w:tcPr>
          <w:p w14:paraId="1EB85501">
            <w:pPr>
              <w:pStyle w:val="31"/>
              <w:adjustRightInd w:val="0"/>
              <w:spacing w:line="360" w:lineRule="auto"/>
              <w:rPr>
                <w:rFonts w:hint="eastAsia" w:ascii="宋体" w:hAnsi="宋体"/>
                <w:snapToGrid/>
                <w:color w:val="auto"/>
                <w:kern w:val="2"/>
                <w:highlight w:val="none"/>
              </w:rPr>
            </w:pPr>
            <w:r>
              <w:rPr>
                <w:rFonts w:hint="eastAsia" w:ascii="宋体" w:hAnsi="宋体"/>
                <w:snapToGrid/>
                <w:color w:val="auto"/>
                <w:kern w:val="2"/>
                <w:highlight w:val="none"/>
              </w:rPr>
              <w:t>安全检查表</w:t>
            </w:r>
          </w:p>
        </w:tc>
      </w:tr>
      <w:tr w14:paraId="3BFFC0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254" w:type="pct"/>
            <w:noWrap w:val="0"/>
            <w:vAlign w:val="center"/>
          </w:tcPr>
          <w:p w14:paraId="4BA525C0">
            <w:pPr>
              <w:pStyle w:val="31"/>
              <w:adjustRightInd w:val="0"/>
              <w:spacing w:line="360" w:lineRule="auto"/>
              <w:rPr>
                <w:rFonts w:hint="eastAsia" w:ascii="宋体" w:hAnsi="宋体"/>
                <w:snapToGrid/>
                <w:color w:val="auto"/>
                <w:kern w:val="2"/>
                <w:sz w:val="24"/>
                <w:highlight w:val="none"/>
              </w:rPr>
            </w:pPr>
            <w:r>
              <w:rPr>
                <w:rFonts w:hint="eastAsia" w:ascii="宋体" w:hAnsi="宋体"/>
                <w:snapToGrid/>
                <w:color w:val="auto"/>
                <w:kern w:val="2"/>
                <w:sz w:val="24"/>
                <w:highlight w:val="none"/>
              </w:rPr>
              <w:t>P</w:t>
            </w:r>
            <w:r>
              <w:rPr>
                <w:rFonts w:hint="eastAsia" w:ascii="宋体" w:hAnsi="宋体"/>
                <w:snapToGrid/>
                <w:color w:val="auto"/>
                <w:kern w:val="2"/>
                <w:sz w:val="24"/>
                <w:highlight w:val="none"/>
                <w:vertAlign w:val="subscript"/>
              </w:rPr>
              <w:t>2</w:t>
            </w:r>
          </w:p>
        </w:tc>
        <w:tc>
          <w:tcPr>
            <w:tcW w:w="1720" w:type="pct"/>
            <w:noWrap w:val="0"/>
            <w:vAlign w:val="center"/>
          </w:tcPr>
          <w:p w14:paraId="537F6781">
            <w:pPr>
              <w:adjustRightInd w:val="0"/>
              <w:snapToGrid w:val="0"/>
              <w:spacing w:line="360" w:lineRule="auto"/>
              <w:jc w:val="center"/>
              <w:rPr>
                <w:rFonts w:hint="eastAsia" w:ascii="宋体" w:hAnsi="宋体"/>
                <w:color w:val="auto"/>
                <w:highlight w:val="none"/>
              </w:rPr>
            </w:pPr>
            <w:r>
              <w:rPr>
                <w:rFonts w:hint="eastAsia"/>
                <w:color w:val="auto"/>
                <w:szCs w:val="28"/>
                <w:highlight w:val="none"/>
              </w:rPr>
              <w:t>站址选择</w:t>
            </w:r>
            <w:r>
              <w:rPr>
                <w:rFonts w:hint="eastAsia" w:ascii="宋体" w:hAnsi="宋体"/>
                <w:color w:val="auto"/>
                <w:highlight w:val="none"/>
              </w:rPr>
              <w:t>总平面布置</w:t>
            </w:r>
          </w:p>
        </w:tc>
        <w:tc>
          <w:tcPr>
            <w:tcW w:w="2024" w:type="pct"/>
            <w:noWrap w:val="0"/>
            <w:vAlign w:val="center"/>
          </w:tcPr>
          <w:p w14:paraId="3D39EED6">
            <w:pPr>
              <w:pStyle w:val="31"/>
              <w:adjustRightInd w:val="0"/>
              <w:spacing w:line="360" w:lineRule="auto"/>
              <w:rPr>
                <w:rFonts w:hint="eastAsia" w:ascii="宋体" w:hAnsi="宋体"/>
                <w:snapToGrid/>
                <w:color w:val="auto"/>
                <w:kern w:val="2"/>
                <w:highlight w:val="none"/>
              </w:rPr>
            </w:pPr>
            <w:r>
              <w:rPr>
                <w:rFonts w:hint="eastAsia" w:ascii="宋体" w:hAnsi="宋体"/>
                <w:snapToGrid/>
                <w:color w:val="auto"/>
                <w:kern w:val="2"/>
                <w:highlight w:val="none"/>
              </w:rPr>
              <w:t>安全检查表</w:t>
            </w:r>
          </w:p>
        </w:tc>
      </w:tr>
      <w:tr w14:paraId="43F90D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254" w:type="pct"/>
            <w:noWrap w:val="0"/>
            <w:vAlign w:val="center"/>
          </w:tcPr>
          <w:p w14:paraId="5F3B246A">
            <w:pPr>
              <w:pStyle w:val="31"/>
              <w:adjustRightInd w:val="0"/>
              <w:spacing w:line="360" w:lineRule="auto"/>
              <w:rPr>
                <w:rFonts w:hint="eastAsia" w:ascii="宋体" w:hAnsi="宋体"/>
                <w:snapToGrid/>
                <w:color w:val="auto"/>
                <w:kern w:val="2"/>
                <w:sz w:val="24"/>
                <w:highlight w:val="none"/>
              </w:rPr>
            </w:pPr>
            <w:r>
              <w:rPr>
                <w:rFonts w:hint="eastAsia" w:ascii="宋体" w:hAnsi="宋体"/>
                <w:snapToGrid/>
                <w:color w:val="auto"/>
                <w:kern w:val="2"/>
                <w:sz w:val="24"/>
                <w:highlight w:val="none"/>
              </w:rPr>
              <w:t>P</w:t>
            </w:r>
            <w:r>
              <w:rPr>
                <w:rFonts w:hint="eastAsia" w:ascii="宋体" w:hAnsi="宋体"/>
                <w:snapToGrid/>
                <w:color w:val="auto"/>
                <w:kern w:val="2"/>
                <w:sz w:val="24"/>
                <w:highlight w:val="none"/>
                <w:vertAlign w:val="subscript"/>
              </w:rPr>
              <w:t>3</w:t>
            </w:r>
          </w:p>
        </w:tc>
        <w:tc>
          <w:tcPr>
            <w:tcW w:w="1720" w:type="pct"/>
            <w:noWrap w:val="0"/>
            <w:vAlign w:val="center"/>
          </w:tcPr>
          <w:p w14:paraId="06717178">
            <w:pPr>
              <w:adjustRightInd w:val="0"/>
              <w:snapToGrid w:val="0"/>
              <w:spacing w:line="360" w:lineRule="auto"/>
              <w:jc w:val="center"/>
              <w:rPr>
                <w:rFonts w:hint="eastAsia" w:ascii="宋体" w:hAnsi="宋体"/>
                <w:color w:val="auto"/>
                <w:highlight w:val="none"/>
              </w:rPr>
            </w:pPr>
            <w:r>
              <w:rPr>
                <w:rFonts w:hint="eastAsia"/>
                <w:color w:val="auto"/>
                <w:szCs w:val="28"/>
                <w:highlight w:val="none"/>
              </w:rPr>
              <w:t>加油工艺及设施</w:t>
            </w:r>
          </w:p>
        </w:tc>
        <w:tc>
          <w:tcPr>
            <w:tcW w:w="2024" w:type="pct"/>
            <w:noWrap w:val="0"/>
            <w:vAlign w:val="center"/>
          </w:tcPr>
          <w:p w14:paraId="2966AF8D">
            <w:pPr>
              <w:pStyle w:val="31"/>
              <w:adjustRightInd w:val="0"/>
              <w:spacing w:line="360" w:lineRule="auto"/>
              <w:rPr>
                <w:rFonts w:hint="eastAsia" w:ascii="宋体" w:hAnsi="宋体"/>
                <w:snapToGrid/>
                <w:color w:val="auto"/>
                <w:kern w:val="2"/>
                <w:szCs w:val="21"/>
                <w:highlight w:val="none"/>
              </w:rPr>
            </w:pPr>
            <w:r>
              <w:rPr>
                <w:rFonts w:hint="eastAsia" w:ascii="宋体" w:hAnsi="宋体"/>
                <w:snapToGrid/>
                <w:color w:val="auto"/>
                <w:kern w:val="2"/>
                <w:szCs w:val="21"/>
                <w:highlight w:val="none"/>
              </w:rPr>
              <w:t>安全检查表、PHA、事故树</w:t>
            </w:r>
          </w:p>
        </w:tc>
      </w:tr>
      <w:tr w14:paraId="15EFE7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1254" w:type="pct"/>
            <w:noWrap w:val="0"/>
            <w:vAlign w:val="center"/>
          </w:tcPr>
          <w:p w14:paraId="47BB19A8">
            <w:pPr>
              <w:pStyle w:val="31"/>
              <w:adjustRightInd w:val="0"/>
              <w:spacing w:line="360" w:lineRule="auto"/>
              <w:rPr>
                <w:rFonts w:hint="eastAsia" w:ascii="宋体" w:hAnsi="宋体"/>
                <w:snapToGrid/>
                <w:color w:val="auto"/>
                <w:kern w:val="2"/>
                <w:sz w:val="24"/>
                <w:highlight w:val="none"/>
              </w:rPr>
            </w:pPr>
            <w:r>
              <w:rPr>
                <w:rFonts w:hint="eastAsia" w:ascii="宋体" w:hAnsi="宋体"/>
                <w:snapToGrid/>
                <w:color w:val="auto"/>
                <w:kern w:val="2"/>
                <w:sz w:val="24"/>
                <w:highlight w:val="none"/>
              </w:rPr>
              <w:t>P</w:t>
            </w:r>
            <w:r>
              <w:rPr>
                <w:rFonts w:hint="eastAsia" w:ascii="宋体" w:hAnsi="宋体"/>
                <w:snapToGrid/>
                <w:color w:val="auto"/>
                <w:kern w:val="2"/>
                <w:sz w:val="24"/>
                <w:highlight w:val="none"/>
                <w:vertAlign w:val="subscript"/>
              </w:rPr>
              <w:t>4</w:t>
            </w:r>
          </w:p>
        </w:tc>
        <w:tc>
          <w:tcPr>
            <w:tcW w:w="1720" w:type="pct"/>
            <w:noWrap w:val="0"/>
            <w:vAlign w:val="center"/>
          </w:tcPr>
          <w:p w14:paraId="055E4595">
            <w:pPr>
              <w:adjustRightInd w:val="0"/>
              <w:snapToGrid w:val="0"/>
              <w:spacing w:line="360" w:lineRule="auto"/>
              <w:jc w:val="center"/>
              <w:rPr>
                <w:rFonts w:hint="eastAsia" w:ascii="宋体" w:hAnsi="宋体"/>
                <w:color w:val="auto"/>
                <w:highlight w:val="none"/>
              </w:rPr>
            </w:pPr>
            <w:r>
              <w:rPr>
                <w:rFonts w:hint="eastAsia" w:ascii="宋体" w:hAnsi="宋体"/>
                <w:color w:val="auto"/>
                <w:szCs w:val="28"/>
                <w:highlight w:val="none"/>
              </w:rPr>
              <w:t>其它设施</w:t>
            </w:r>
          </w:p>
        </w:tc>
        <w:tc>
          <w:tcPr>
            <w:tcW w:w="2024" w:type="pct"/>
            <w:noWrap w:val="0"/>
            <w:vAlign w:val="center"/>
          </w:tcPr>
          <w:p w14:paraId="7FBD1C4A">
            <w:pPr>
              <w:widowControl/>
              <w:adjustRightInd w:val="0"/>
              <w:snapToGrid w:val="0"/>
              <w:spacing w:line="360" w:lineRule="auto"/>
              <w:jc w:val="center"/>
              <w:rPr>
                <w:rFonts w:hint="eastAsia" w:ascii="宋体" w:hAnsi="宋体"/>
                <w:color w:val="auto"/>
                <w:highlight w:val="none"/>
              </w:rPr>
            </w:pPr>
            <w:r>
              <w:rPr>
                <w:rFonts w:hint="eastAsia" w:ascii="宋体" w:hAnsi="宋体"/>
                <w:color w:val="auto"/>
                <w:highlight w:val="none"/>
              </w:rPr>
              <w:t>安全检查表</w:t>
            </w:r>
          </w:p>
        </w:tc>
      </w:tr>
    </w:tbl>
    <w:p w14:paraId="63962C71">
      <w:pPr>
        <w:adjustRightInd w:val="0"/>
        <w:snapToGrid w:val="0"/>
        <w:spacing w:line="360" w:lineRule="auto"/>
        <w:ind w:firstLine="562" w:firstLineChars="200"/>
        <w:outlineLvl w:val="2"/>
        <w:rPr>
          <w:rFonts w:hint="eastAsia" w:ascii="黑体" w:hAnsi="宋体" w:eastAsia="黑体"/>
          <w:b/>
          <w:color w:val="auto"/>
          <w:sz w:val="28"/>
          <w:szCs w:val="28"/>
          <w:highlight w:val="none"/>
        </w:rPr>
      </w:pPr>
      <w:r>
        <w:rPr>
          <w:rFonts w:hint="eastAsia" w:ascii="黑体" w:hAnsi="宋体" w:eastAsia="黑体"/>
          <w:b/>
          <w:color w:val="auto"/>
          <w:sz w:val="28"/>
          <w:szCs w:val="28"/>
          <w:highlight w:val="none"/>
        </w:rPr>
        <w:t>4.2.2 评价方法选用说明</w:t>
      </w:r>
    </w:p>
    <w:p w14:paraId="07205FC8">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（1）对上述4个评价单元采用安全检查表法，判断设计、安装中涉及的安全设施及对策措施的充分性。</w:t>
      </w:r>
    </w:p>
    <w:p w14:paraId="485EF039">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（2）对上述4个评价单元存在的危险、有害因素采用预先危险性分析法（PHA），预测各危险、有害因素的固有危险、有害程度。</w:t>
      </w:r>
    </w:p>
    <w:p w14:paraId="19338DFE">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（3）通过事故树分析详细查明系统各种固有、潜在的危险因素或事故原因，为项目正式运营制定安全技术对策、采取安全管理措施和事故分析提供依据。</w:t>
      </w:r>
    </w:p>
    <w:p w14:paraId="016D3CE2">
      <w:pPr>
        <w:pStyle w:val="3"/>
        <w:adjustRightInd w:val="0"/>
        <w:snapToGrid w:val="0"/>
        <w:spacing w:before="0" w:after="0" w:line="360" w:lineRule="auto"/>
        <w:jc w:val="center"/>
        <w:rPr>
          <w:rFonts w:hint="eastAsia" w:ascii="楷体_GB2312" w:eastAsia="楷体_GB2312"/>
          <w:color w:val="auto"/>
          <w:highlight w:val="none"/>
        </w:rPr>
      </w:pPr>
    </w:p>
    <w:bookmarkEnd w:id="6"/>
    <w:p w14:paraId="3B8B7285">
      <w:pPr>
        <w:widowControl/>
        <w:spacing w:line="360" w:lineRule="auto"/>
        <w:jc w:val="center"/>
        <w:textAlignment w:val="baseline"/>
        <w:rPr>
          <w:rFonts w:hint="eastAsia" w:ascii="黑体" w:hAnsi="黑体" w:eastAsia="黑体" w:cs="黑体"/>
          <w:color w:val="auto"/>
          <w:kern w:val="0"/>
          <w:sz w:val="24"/>
          <w:szCs w:val="24"/>
          <w:u w:color="000000"/>
          <w:lang w:val="en-US" w:eastAsia="zh-CN"/>
        </w:rPr>
      </w:pPr>
      <w:r>
        <w:rPr>
          <w:rFonts w:hint="eastAsia" w:ascii="黑体" w:hAnsi="黑体" w:eastAsia="黑体" w:cs="黑体"/>
          <w:b/>
          <w:color w:val="auto"/>
          <w:sz w:val="28"/>
          <w:szCs w:val="28"/>
          <w:highlight w:val="none"/>
        </w:rPr>
        <w:br w:type="page"/>
      </w:r>
    </w:p>
    <w:p w14:paraId="4E87E90A">
      <w:pPr>
        <w:pStyle w:val="2"/>
        <w:adjustRightInd w:val="0"/>
        <w:snapToGrid w:val="0"/>
        <w:spacing w:before="360" w:beforeLines="150" w:after="120" w:afterLines="50" w:line="360" w:lineRule="auto"/>
        <w:jc w:val="center"/>
        <w:rPr>
          <w:rFonts w:hint="eastAsia" w:ascii="黑体" w:eastAsia="黑体"/>
          <w:color w:val="auto"/>
          <w:sz w:val="32"/>
          <w:szCs w:val="32"/>
          <w:highlight w:val="none"/>
        </w:rPr>
      </w:pPr>
      <w:bookmarkStart w:id="9" w:name="_Toc18823"/>
      <w:bookmarkStart w:id="10" w:name="_Toc350852496"/>
      <w:r>
        <w:rPr>
          <w:rFonts w:hint="eastAsia" w:ascii="黑体" w:eastAsia="黑体"/>
          <w:color w:val="auto"/>
          <w:sz w:val="32"/>
          <w:szCs w:val="32"/>
          <w:highlight w:val="none"/>
        </w:rPr>
        <w:t>8 评价结论</w:t>
      </w:r>
      <w:bookmarkEnd w:id="9"/>
      <w:bookmarkEnd w:id="10"/>
    </w:p>
    <w:p w14:paraId="29B6C7C3">
      <w:pPr>
        <w:pStyle w:val="3"/>
        <w:adjustRightInd w:val="0"/>
        <w:snapToGrid w:val="0"/>
        <w:spacing w:before="0" w:after="0" w:line="360" w:lineRule="auto"/>
        <w:jc w:val="center"/>
        <w:rPr>
          <w:rFonts w:hint="eastAsia" w:ascii="楷体_GB2312" w:eastAsia="楷体_GB2312"/>
          <w:color w:val="auto"/>
          <w:highlight w:val="none"/>
        </w:rPr>
      </w:pPr>
      <w:bookmarkStart w:id="11" w:name="_Toc24005"/>
      <w:r>
        <w:rPr>
          <w:rFonts w:hint="eastAsia" w:ascii="楷体_GB2312" w:eastAsia="楷体_GB2312"/>
          <w:color w:val="auto"/>
          <w:highlight w:val="none"/>
        </w:rPr>
        <w:t>8.1 建设项目安全状况综合评述</w:t>
      </w:r>
      <w:bookmarkEnd w:id="11"/>
    </w:p>
    <w:p w14:paraId="30B23301">
      <w:pPr>
        <w:adjustRightInd w:val="0"/>
        <w:snapToGrid w:val="0"/>
        <w:spacing w:line="360" w:lineRule="auto"/>
        <w:ind w:firstLine="560" w:firstLineChars="200"/>
        <w:rPr>
          <w:rFonts w:hint="eastAsia" w:ascii="宋体" w:hAnsi="宋体"/>
          <w:snapToGrid w:val="0"/>
          <w:color w:val="auto"/>
          <w:spacing w:val="0"/>
          <w:kern w:val="0"/>
          <w:sz w:val="28"/>
          <w:highlight w:val="none"/>
        </w:rPr>
      </w:pPr>
      <w:r>
        <w:rPr>
          <w:rFonts w:hint="eastAsia" w:ascii="宋体" w:hAnsi="宋体"/>
          <w:snapToGrid w:val="0"/>
          <w:color w:val="auto"/>
          <w:spacing w:val="0"/>
          <w:kern w:val="0"/>
          <w:sz w:val="28"/>
          <w:highlight w:val="none"/>
        </w:rPr>
        <w:t>该项目在设计、施工中坚持了安全生产“三同时”的原则，在</w:t>
      </w:r>
      <w:r>
        <w:rPr>
          <w:rFonts w:ascii="宋体" w:hAnsi="宋体"/>
          <w:snapToGrid w:val="0"/>
          <w:color w:val="auto"/>
          <w:spacing w:val="0"/>
          <w:kern w:val="0"/>
          <w:sz w:val="28"/>
          <w:highlight w:val="none"/>
        </w:rPr>
        <w:t>安全评价过程中，通过现场检查和审阅有关资料</w:t>
      </w:r>
      <w:r>
        <w:rPr>
          <w:rFonts w:hint="eastAsia" w:ascii="宋体" w:hAnsi="宋体"/>
          <w:snapToGrid w:val="0"/>
          <w:color w:val="auto"/>
          <w:spacing w:val="0"/>
          <w:kern w:val="0"/>
          <w:sz w:val="28"/>
          <w:highlight w:val="none"/>
        </w:rPr>
        <w:t>，</w:t>
      </w:r>
      <w:r>
        <w:rPr>
          <w:rFonts w:ascii="宋体" w:hAnsi="宋体"/>
          <w:snapToGrid w:val="0"/>
          <w:color w:val="auto"/>
          <w:spacing w:val="0"/>
          <w:kern w:val="0"/>
          <w:sz w:val="28"/>
          <w:highlight w:val="none"/>
        </w:rPr>
        <w:t>发现</w:t>
      </w:r>
      <w:r>
        <w:rPr>
          <w:rFonts w:hint="eastAsia" w:ascii="宋体" w:hAnsi="宋体"/>
          <w:snapToGrid w:val="0"/>
          <w:color w:val="auto"/>
          <w:spacing w:val="0"/>
          <w:kern w:val="0"/>
          <w:sz w:val="28"/>
          <w:highlight w:val="none"/>
        </w:rPr>
        <w:t>泰安市昌荣石化销售有限公司改建项目还存在以下问题：</w:t>
      </w:r>
    </w:p>
    <w:p w14:paraId="05E57DBC">
      <w:pPr>
        <w:pStyle w:val="3"/>
        <w:adjustRightInd w:val="0"/>
        <w:snapToGrid w:val="0"/>
        <w:spacing w:before="0" w:after="0" w:line="360" w:lineRule="auto"/>
        <w:jc w:val="center"/>
        <w:rPr>
          <w:rFonts w:hint="eastAsia" w:ascii="楷体_GB2312" w:eastAsia="楷体_GB2312"/>
          <w:color w:val="auto"/>
          <w:highlight w:val="none"/>
        </w:rPr>
      </w:pPr>
      <w:bookmarkStart w:id="12" w:name="_Toc15931"/>
      <w:r>
        <w:rPr>
          <w:rFonts w:hint="eastAsia" w:ascii="楷体_GB2312" w:eastAsia="楷体_GB2312"/>
          <w:color w:val="auto"/>
          <w:highlight w:val="none"/>
        </w:rPr>
        <w:t>8.2 存在问题及改进建议</w:t>
      </w:r>
      <w:bookmarkEnd w:id="12"/>
    </w:p>
    <w:p w14:paraId="3A258156">
      <w:pPr>
        <w:adjustRightInd w:val="0"/>
        <w:snapToGrid w:val="0"/>
        <w:spacing w:line="360" w:lineRule="auto"/>
        <w:ind w:firstLine="562" w:firstLineChars="200"/>
        <w:outlineLvl w:val="2"/>
        <w:rPr>
          <w:rFonts w:hint="eastAsia" w:ascii="黑体" w:hAnsi="黑体" w:eastAsia="黑体" w:cs="黑体"/>
          <w:b/>
          <w:color w:val="auto"/>
          <w:sz w:val="28"/>
          <w:szCs w:val="28"/>
          <w:highlight w:val="none"/>
        </w:rPr>
      </w:pPr>
      <w:r>
        <w:rPr>
          <w:rFonts w:hint="eastAsia" w:ascii="黑体" w:hAnsi="黑体" w:eastAsia="黑体" w:cs="黑体"/>
          <w:b/>
          <w:color w:val="auto"/>
          <w:sz w:val="28"/>
          <w:szCs w:val="28"/>
          <w:highlight w:val="none"/>
        </w:rPr>
        <w:t>8.2.1存在问题</w:t>
      </w:r>
    </w:p>
    <w:p w14:paraId="1B3C646A">
      <w:pPr>
        <w:pStyle w:val="29"/>
        <w:adjustRightInd w:val="0"/>
        <w:snapToGrid w:val="0"/>
        <w:spacing w:line="360" w:lineRule="auto"/>
        <w:outlineLvl w:val="9"/>
        <w:rPr>
          <w:rFonts w:hint="eastAsia" w:ascii="黑体" w:hAnsi="黑体"/>
          <w:color w:val="auto"/>
          <w:highlight w:val="none"/>
        </w:rPr>
      </w:pPr>
      <w:r>
        <w:rPr>
          <w:rFonts w:hint="eastAsia" w:ascii="黑体" w:hAnsi="黑体"/>
          <w:color w:val="auto"/>
          <w:highlight w:val="none"/>
        </w:rPr>
        <w:t>表8.2-1  现场存在问题表</w:t>
      </w:r>
    </w:p>
    <w:tbl>
      <w:tblPr>
        <w:tblStyle w:val="12"/>
        <w:tblW w:w="94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818"/>
        <w:gridCol w:w="3698"/>
        <w:gridCol w:w="4903"/>
      </w:tblGrid>
      <w:tr w14:paraId="65B47C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blHeader/>
          <w:jc w:val="center"/>
        </w:trPr>
        <w:tc>
          <w:tcPr>
            <w:tcW w:w="818" w:type="dxa"/>
            <w:noWrap w:val="0"/>
            <w:vAlign w:val="center"/>
          </w:tcPr>
          <w:p w14:paraId="69D16A93">
            <w:pPr>
              <w:widowControl/>
              <w:tabs>
                <w:tab w:val="left" w:pos="6120"/>
              </w:tabs>
              <w:adjustRightInd w:val="0"/>
              <w:snapToGrid w:val="0"/>
              <w:spacing w:before="24" w:beforeLines="10" w:after="24" w:afterLines="10" w:line="320" w:lineRule="exact"/>
              <w:jc w:val="center"/>
              <w:textAlignment w:val="baseline"/>
              <w:rPr>
                <w:rFonts w:hint="eastAsia" w:ascii="宋体" w:hAnsi="宋体" w:cs="宋体"/>
                <w:b/>
                <w:bCs/>
                <w:color w:val="auto"/>
                <w:kern w:val="0"/>
                <w:position w:val="2"/>
                <w:highlight w:val="none"/>
                <w:u w:val="none" w:color="000000"/>
              </w:rPr>
            </w:pPr>
            <w:r>
              <w:rPr>
                <w:rFonts w:hint="eastAsia" w:ascii="宋体" w:hAnsi="宋体" w:cs="宋体"/>
                <w:b/>
                <w:bCs/>
                <w:color w:val="auto"/>
                <w:kern w:val="0"/>
                <w:position w:val="2"/>
                <w:highlight w:val="none"/>
                <w:u w:val="none" w:color="000000"/>
              </w:rPr>
              <w:t>序号</w:t>
            </w:r>
          </w:p>
        </w:tc>
        <w:tc>
          <w:tcPr>
            <w:tcW w:w="3698" w:type="dxa"/>
            <w:noWrap w:val="0"/>
            <w:vAlign w:val="center"/>
          </w:tcPr>
          <w:p w14:paraId="75988E58">
            <w:pPr>
              <w:widowControl/>
              <w:tabs>
                <w:tab w:val="left" w:pos="6120"/>
              </w:tabs>
              <w:adjustRightInd w:val="0"/>
              <w:snapToGrid w:val="0"/>
              <w:spacing w:before="24" w:beforeLines="10" w:after="24" w:afterLines="10" w:line="320" w:lineRule="exact"/>
              <w:jc w:val="center"/>
              <w:textAlignment w:val="baseline"/>
              <w:rPr>
                <w:rFonts w:hint="eastAsia" w:ascii="宋体" w:hAnsi="宋体" w:cs="宋体"/>
                <w:b/>
                <w:bCs/>
                <w:color w:val="auto"/>
                <w:kern w:val="0"/>
                <w:position w:val="2"/>
                <w:highlight w:val="none"/>
                <w:u w:val="none" w:color="000000"/>
              </w:rPr>
            </w:pPr>
            <w:r>
              <w:rPr>
                <w:rFonts w:hint="eastAsia" w:ascii="宋体" w:hAnsi="宋体" w:cs="宋体"/>
                <w:b/>
                <w:bCs/>
                <w:color w:val="auto"/>
                <w:kern w:val="0"/>
                <w:position w:val="2"/>
                <w:highlight w:val="none"/>
                <w:u w:val="none" w:color="000000"/>
              </w:rPr>
              <w:t>企业存在的问题</w:t>
            </w:r>
          </w:p>
        </w:tc>
        <w:tc>
          <w:tcPr>
            <w:tcW w:w="4903" w:type="dxa"/>
            <w:noWrap w:val="0"/>
            <w:vAlign w:val="center"/>
          </w:tcPr>
          <w:p w14:paraId="13362BDB">
            <w:pPr>
              <w:widowControl/>
              <w:tabs>
                <w:tab w:val="left" w:pos="6120"/>
              </w:tabs>
              <w:adjustRightInd w:val="0"/>
              <w:snapToGrid w:val="0"/>
              <w:spacing w:before="24" w:beforeLines="10" w:after="24" w:afterLines="10" w:line="320" w:lineRule="exact"/>
              <w:jc w:val="center"/>
              <w:textAlignment w:val="baseline"/>
              <w:rPr>
                <w:rFonts w:hint="eastAsia" w:ascii="宋体" w:hAnsi="宋体" w:cs="宋体"/>
                <w:b/>
                <w:bCs/>
                <w:color w:val="auto"/>
                <w:kern w:val="0"/>
                <w:position w:val="2"/>
                <w:highlight w:val="none"/>
                <w:u w:val="none" w:color="000000"/>
              </w:rPr>
            </w:pPr>
            <w:r>
              <w:rPr>
                <w:rFonts w:hint="eastAsia" w:ascii="宋体" w:hAnsi="宋体" w:cs="宋体"/>
                <w:b/>
                <w:bCs/>
                <w:color w:val="auto"/>
                <w:kern w:val="0"/>
                <w:position w:val="2"/>
                <w:highlight w:val="none"/>
                <w:u w:val="none" w:color="000000"/>
              </w:rPr>
              <w:t>整改建议措施</w:t>
            </w:r>
          </w:p>
        </w:tc>
      </w:tr>
      <w:tr w14:paraId="70DED4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8" w:type="dxa"/>
            <w:noWrap w:val="0"/>
            <w:vAlign w:val="center"/>
          </w:tcPr>
          <w:p w14:paraId="09289981">
            <w:pPr>
              <w:widowControl/>
              <w:tabs>
                <w:tab w:val="left" w:pos="6120"/>
              </w:tabs>
              <w:adjustRightInd w:val="0"/>
              <w:snapToGrid w:val="0"/>
              <w:jc w:val="center"/>
              <w:textAlignment w:val="baseline"/>
              <w:rPr>
                <w:rFonts w:hint="eastAsia" w:ascii="宋体" w:hAnsi="宋体" w:cs="宋体"/>
                <w:bCs/>
                <w:color w:val="auto"/>
                <w:kern w:val="0"/>
                <w:position w:val="2"/>
                <w:highlight w:val="none"/>
                <w:u w:val="none" w:color="000000"/>
              </w:rPr>
            </w:pPr>
            <w:r>
              <w:rPr>
                <w:rFonts w:hint="eastAsia" w:ascii="宋体" w:hAnsi="宋体" w:cs="宋体"/>
                <w:bCs/>
                <w:color w:val="auto"/>
                <w:kern w:val="0"/>
                <w:position w:val="2"/>
                <w:highlight w:val="none"/>
                <w:u w:val="none" w:color="000000"/>
              </w:rPr>
              <w:t>1</w:t>
            </w:r>
          </w:p>
        </w:tc>
        <w:tc>
          <w:tcPr>
            <w:tcW w:w="3698" w:type="dxa"/>
            <w:noWrap w:val="0"/>
            <w:vAlign w:val="center"/>
          </w:tcPr>
          <w:p w14:paraId="6A0263B0">
            <w:pPr>
              <w:widowControl/>
              <w:tabs>
                <w:tab w:val="left" w:pos="6120"/>
              </w:tabs>
              <w:adjustRightInd w:val="0"/>
              <w:snapToGrid w:val="0"/>
              <w:jc w:val="center"/>
              <w:textAlignment w:val="baseline"/>
              <w:rPr>
                <w:rFonts w:hint="eastAsia" w:ascii="宋体" w:hAnsi="宋体" w:cs="宋体"/>
                <w:bCs/>
                <w:color w:val="auto"/>
                <w:kern w:val="0"/>
                <w:position w:val="2"/>
                <w:highlight w:val="none"/>
                <w:u w:val="none" w:color="000000"/>
              </w:rPr>
            </w:pPr>
            <w:r>
              <w:rPr>
                <w:rFonts w:hint="eastAsia" w:ascii="宋体" w:hAnsi="宋体" w:cs="宋体"/>
                <w:bCs/>
                <w:color w:val="auto"/>
                <w:kern w:val="0"/>
                <w:position w:val="2"/>
                <w:highlight w:val="none"/>
                <w:u w:val="none" w:color="000000"/>
              </w:rPr>
              <w:t>油罐区和卸油口处油品标号与图纸不符；</w:t>
            </w:r>
          </w:p>
        </w:tc>
        <w:tc>
          <w:tcPr>
            <w:tcW w:w="4903" w:type="dxa"/>
            <w:noWrap w:val="0"/>
            <w:vAlign w:val="center"/>
          </w:tcPr>
          <w:p w14:paraId="6316EF8E">
            <w:pPr>
              <w:widowControl/>
              <w:tabs>
                <w:tab w:val="left" w:pos="6120"/>
              </w:tabs>
              <w:adjustRightInd w:val="0"/>
              <w:snapToGrid w:val="0"/>
              <w:jc w:val="center"/>
              <w:textAlignment w:val="baseline"/>
              <w:rPr>
                <w:rFonts w:hint="eastAsia" w:ascii="宋体" w:hAnsi="宋体" w:cs="宋体"/>
                <w:bCs/>
                <w:color w:val="auto"/>
                <w:kern w:val="0"/>
                <w:position w:val="2"/>
                <w:highlight w:val="none"/>
                <w:u w:val="none" w:color="000000"/>
              </w:rPr>
            </w:pPr>
            <w:r>
              <w:rPr>
                <w:rFonts w:hint="eastAsia" w:ascii="宋体" w:hAnsi="宋体" w:cs="宋体"/>
                <w:bCs/>
                <w:color w:val="auto"/>
                <w:kern w:val="0"/>
                <w:position w:val="2"/>
                <w:highlight w:val="none"/>
                <w:u w:val="none" w:color="000000"/>
              </w:rPr>
              <w:t>油罐区和卸油口处油品标号应与图纸一致；</w:t>
            </w:r>
          </w:p>
        </w:tc>
      </w:tr>
      <w:tr w14:paraId="2CF0F5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8" w:type="dxa"/>
            <w:noWrap w:val="0"/>
            <w:vAlign w:val="center"/>
          </w:tcPr>
          <w:p w14:paraId="6790A500">
            <w:pPr>
              <w:widowControl/>
              <w:tabs>
                <w:tab w:val="left" w:pos="6120"/>
              </w:tabs>
              <w:adjustRightInd w:val="0"/>
              <w:snapToGrid w:val="0"/>
              <w:jc w:val="center"/>
              <w:textAlignment w:val="baseline"/>
              <w:rPr>
                <w:rFonts w:hint="eastAsia" w:ascii="宋体" w:hAnsi="宋体" w:cs="宋体"/>
                <w:bCs/>
                <w:color w:val="auto"/>
                <w:kern w:val="0"/>
                <w:position w:val="2"/>
                <w:highlight w:val="none"/>
                <w:u w:val="none" w:color="000000"/>
              </w:rPr>
            </w:pPr>
            <w:r>
              <w:rPr>
                <w:rFonts w:hint="eastAsia" w:ascii="宋体" w:hAnsi="宋体" w:cs="宋体"/>
                <w:bCs/>
                <w:color w:val="auto"/>
                <w:kern w:val="0"/>
                <w:position w:val="2"/>
                <w:highlight w:val="none"/>
                <w:u w:val="none" w:color="000000"/>
              </w:rPr>
              <w:t>2</w:t>
            </w:r>
          </w:p>
        </w:tc>
        <w:tc>
          <w:tcPr>
            <w:tcW w:w="3698" w:type="dxa"/>
            <w:noWrap w:val="0"/>
            <w:vAlign w:val="center"/>
          </w:tcPr>
          <w:p w14:paraId="67651ABB">
            <w:pPr>
              <w:widowControl/>
              <w:tabs>
                <w:tab w:val="left" w:pos="6120"/>
              </w:tabs>
              <w:adjustRightInd w:val="0"/>
              <w:snapToGrid w:val="0"/>
              <w:jc w:val="center"/>
              <w:textAlignment w:val="baseline"/>
              <w:rPr>
                <w:rFonts w:hint="eastAsia" w:ascii="宋体" w:hAnsi="宋体" w:cs="宋体"/>
                <w:color w:val="auto"/>
                <w:kern w:val="0"/>
                <w:highlight w:val="none"/>
                <w:u w:val="none" w:color="000000"/>
              </w:rPr>
            </w:pPr>
            <w:r>
              <w:rPr>
                <w:rFonts w:hint="eastAsia" w:ascii="宋体" w:hAnsi="宋体"/>
                <w:color w:val="auto"/>
                <w:highlight w:val="none"/>
              </w:rPr>
              <w:t>卸油口处未设置人体静电释放器。</w:t>
            </w:r>
          </w:p>
        </w:tc>
        <w:tc>
          <w:tcPr>
            <w:tcW w:w="4903" w:type="dxa"/>
            <w:noWrap w:val="0"/>
            <w:vAlign w:val="center"/>
          </w:tcPr>
          <w:p w14:paraId="7AEE8FC9">
            <w:pPr>
              <w:widowControl/>
              <w:tabs>
                <w:tab w:val="left" w:pos="6120"/>
              </w:tabs>
              <w:adjustRightInd w:val="0"/>
              <w:snapToGrid w:val="0"/>
              <w:jc w:val="center"/>
              <w:textAlignment w:val="baseline"/>
              <w:rPr>
                <w:rFonts w:hint="eastAsia" w:ascii="宋体" w:hAnsi="宋体" w:cs="宋体"/>
                <w:b/>
                <w:bCs/>
                <w:color w:val="auto"/>
                <w:kern w:val="0"/>
                <w:highlight w:val="none"/>
                <w:u w:val="none" w:color="000000"/>
              </w:rPr>
            </w:pPr>
            <w:r>
              <w:rPr>
                <w:rFonts w:hint="eastAsia" w:ascii="宋体" w:hAnsi="宋体"/>
                <w:color w:val="auto"/>
                <w:highlight w:val="none"/>
              </w:rPr>
              <w:t>卸油口处应设置人体静电释放器。</w:t>
            </w:r>
          </w:p>
        </w:tc>
      </w:tr>
    </w:tbl>
    <w:p w14:paraId="20083815">
      <w:pPr>
        <w:pStyle w:val="11"/>
        <w:rPr>
          <w:rFonts w:hint="eastAsia" w:eastAsia="黑体"/>
          <w:lang w:val="en-US" w:eastAsia="zh-CN"/>
        </w:rPr>
      </w:pPr>
      <w:r>
        <w:rPr>
          <w:rFonts w:hint="eastAsia"/>
          <w:color w:val="auto"/>
          <w:kern w:val="0"/>
          <w:sz w:val="28"/>
          <w:szCs w:val="20"/>
          <w:highlight w:val="none"/>
        </w:rPr>
        <w:t>加油站将上述问题整改合格后，该站的</w:t>
      </w:r>
      <w:r>
        <w:rPr>
          <w:rFonts w:ascii="宋体" w:hAnsi="宋体"/>
          <w:snapToGrid w:val="0"/>
          <w:color w:val="auto"/>
          <w:spacing w:val="0"/>
          <w:kern w:val="0"/>
          <w:sz w:val="28"/>
          <w:highlight w:val="none"/>
        </w:rPr>
        <w:t>设备设施、安全管理条件，</w:t>
      </w:r>
      <w:r>
        <w:rPr>
          <w:rFonts w:hint="eastAsia" w:ascii="宋体" w:hAnsi="宋体"/>
          <w:snapToGrid w:val="0"/>
          <w:color w:val="auto"/>
          <w:spacing w:val="0"/>
          <w:kern w:val="0"/>
          <w:sz w:val="28"/>
          <w:highlight w:val="none"/>
        </w:rPr>
        <w:t>符合</w:t>
      </w:r>
      <w:r>
        <w:rPr>
          <w:rFonts w:ascii="宋体" w:hAnsi="宋体"/>
          <w:snapToGrid w:val="0"/>
          <w:color w:val="auto"/>
          <w:spacing w:val="0"/>
          <w:kern w:val="0"/>
          <w:sz w:val="28"/>
          <w:highlight w:val="none"/>
        </w:rPr>
        <w:t>有关法规、规范和标准的要求，单位</w:t>
      </w:r>
      <w:r>
        <w:rPr>
          <w:rFonts w:hint="eastAsia" w:ascii="宋体" w:hAnsi="宋体"/>
          <w:snapToGrid w:val="0"/>
          <w:color w:val="auto"/>
          <w:spacing w:val="0"/>
          <w:kern w:val="0"/>
          <w:sz w:val="28"/>
          <w:highlight w:val="none"/>
        </w:rPr>
        <w:t>在后期经营活动中还要加强各项管理制度的落实。</w:t>
      </w:r>
      <w:r>
        <w:rPr>
          <w:rFonts w:hint="eastAsia" w:ascii="黑体" w:hAnsi="黑体" w:eastAsia="黑体" w:cs="黑体"/>
          <w:b/>
          <w:color w:val="auto"/>
          <w:sz w:val="28"/>
          <w:szCs w:val="28"/>
          <w:highlight w:val="none"/>
        </w:rPr>
        <w:br w:type="page"/>
      </w:r>
      <w:r>
        <w:rPr>
          <w:rFonts w:hint="eastAsia" w:eastAsia="黑体"/>
          <w:lang w:val="en-US" w:eastAsia="zh-CN"/>
        </w:rPr>
        <w:drawing>
          <wp:inline distT="0" distB="0" distL="114300" distR="114300">
            <wp:extent cx="5754370" cy="6741795"/>
            <wp:effectExtent l="0" t="0" r="6350" b="9525"/>
            <wp:docPr id="5" name="图片 5" descr="IMG_20260623_175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0260623_175700"/>
                    <pic:cNvPicPr>
                      <a:picLocks noChangeAspect="1"/>
                    </pic:cNvPicPr>
                  </pic:nvPicPr>
                  <pic:blipFill>
                    <a:blip r:embed="rId4"/>
                    <a:stretch>
                      <a:fillRect/>
                    </a:stretch>
                  </pic:blipFill>
                  <pic:spPr>
                    <a:xfrm>
                      <a:off x="0" y="0"/>
                      <a:ext cx="5754370" cy="6741795"/>
                    </a:xfrm>
                    <a:prstGeom prst="rect">
                      <a:avLst/>
                    </a:prstGeom>
                  </pic:spPr>
                </pic:pic>
              </a:graphicData>
            </a:graphic>
          </wp:inline>
        </w:drawing>
      </w:r>
      <w:r>
        <w:rPr>
          <w:rFonts w:hint="eastAsia" w:eastAsia="黑体"/>
          <w:lang w:val="en-US" w:eastAsia="zh-CN"/>
        </w:rPr>
        <w:drawing>
          <wp:inline distT="0" distB="0" distL="114300" distR="114300">
            <wp:extent cx="5721985" cy="4291330"/>
            <wp:effectExtent l="0" t="0" r="8255" b="6350"/>
            <wp:docPr id="6" name="图片 6" descr="IMG_20260623_175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0260623_175507"/>
                    <pic:cNvPicPr>
                      <a:picLocks noChangeAspect="1"/>
                    </pic:cNvPicPr>
                  </pic:nvPicPr>
                  <pic:blipFill>
                    <a:blip r:embed="rId5"/>
                    <a:stretch>
                      <a:fillRect/>
                    </a:stretch>
                  </pic:blipFill>
                  <pic:spPr>
                    <a:xfrm>
                      <a:off x="0" y="0"/>
                      <a:ext cx="5721985" cy="4291330"/>
                    </a:xfrm>
                    <a:prstGeom prst="rect">
                      <a:avLst/>
                    </a:prstGeom>
                  </pic:spPr>
                </pic:pic>
              </a:graphicData>
            </a:graphic>
          </wp:inline>
        </w:drawing>
      </w:r>
      <w:r>
        <w:rPr>
          <w:rFonts w:hint="eastAsia" w:eastAsia="黑体"/>
          <w:lang w:val="en-US" w:eastAsia="zh-CN"/>
        </w:rPr>
        <w:drawing>
          <wp:inline distT="0" distB="0" distL="114300" distR="114300">
            <wp:extent cx="4995545" cy="8880475"/>
            <wp:effectExtent l="0" t="0" r="3175" b="4445"/>
            <wp:docPr id="1" name="图片 1" descr="15b12f35be5500ff5556de5c046ee7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b12f35be5500ff5556de5c046ee77c"/>
                    <pic:cNvPicPr>
                      <a:picLocks noChangeAspect="1"/>
                    </pic:cNvPicPr>
                  </pic:nvPicPr>
                  <pic:blipFill>
                    <a:blip r:embed="rId6"/>
                    <a:stretch>
                      <a:fillRect/>
                    </a:stretch>
                  </pic:blipFill>
                  <pic:spPr>
                    <a:xfrm>
                      <a:off x="0" y="0"/>
                      <a:ext cx="4995545" cy="8880475"/>
                    </a:xfrm>
                    <a:prstGeom prst="rect">
                      <a:avLst/>
                    </a:prstGeom>
                  </pic:spPr>
                </pic:pic>
              </a:graphicData>
            </a:graphic>
          </wp:inline>
        </w:drawing>
      </w:r>
      <w:r>
        <w:rPr>
          <w:rFonts w:hint="eastAsia" w:eastAsia="黑体"/>
          <w:lang w:val="en-US" w:eastAsia="zh-CN"/>
        </w:rPr>
        <w:drawing>
          <wp:inline distT="0" distB="0" distL="114300" distR="114300">
            <wp:extent cx="4995545" cy="8880475"/>
            <wp:effectExtent l="0" t="0" r="3175" b="4445"/>
            <wp:docPr id="2" name="图片 2" descr="ea129b3d72713561ac9462f133b6fa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a129b3d72713561ac9462f133b6fa5f"/>
                    <pic:cNvPicPr>
                      <a:picLocks noChangeAspect="1"/>
                    </pic:cNvPicPr>
                  </pic:nvPicPr>
                  <pic:blipFill>
                    <a:blip r:embed="rId7"/>
                    <a:stretch>
                      <a:fillRect/>
                    </a:stretch>
                  </pic:blipFill>
                  <pic:spPr>
                    <a:xfrm>
                      <a:off x="0" y="0"/>
                      <a:ext cx="4995545" cy="8880475"/>
                    </a:xfrm>
                    <a:prstGeom prst="rect">
                      <a:avLst/>
                    </a:prstGeom>
                  </pic:spPr>
                </pic:pic>
              </a:graphicData>
            </a:graphic>
          </wp:inline>
        </w:drawing>
      </w:r>
      <w:r>
        <w:rPr>
          <w:rFonts w:hint="eastAsia" w:eastAsia="黑体"/>
          <w:lang w:val="en-US" w:eastAsia="zh-CN"/>
        </w:rPr>
        <w:drawing>
          <wp:inline distT="0" distB="0" distL="114300" distR="114300">
            <wp:extent cx="4995545" cy="7267575"/>
            <wp:effectExtent l="0" t="0" r="3175" b="1905"/>
            <wp:docPr id="3" name="图片 3" descr="b0eb3c4606c270932483ba04df988b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0eb3c4606c270932483ba04df988baa"/>
                    <pic:cNvPicPr>
                      <a:picLocks noChangeAspect="1"/>
                    </pic:cNvPicPr>
                  </pic:nvPicPr>
                  <pic:blipFill>
                    <a:blip r:embed="rId8"/>
                    <a:srcRect t="13557" b="4605"/>
                    <a:stretch>
                      <a:fillRect/>
                    </a:stretch>
                  </pic:blipFill>
                  <pic:spPr>
                    <a:xfrm>
                      <a:off x="0" y="0"/>
                      <a:ext cx="4995545" cy="7267575"/>
                    </a:xfrm>
                    <a:prstGeom prst="rect">
                      <a:avLst/>
                    </a:prstGeom>
                  </pic:spPr>
                </pic:pic>
              </a:graphicData>
            </a:graphic>
          </wp:inline>
        </w:drawing>
      </w:r>
      <w:r>
        <w:rPr>
          <w:rFonts w:hint="eastAsia" w:eastAsia="黑体"/>
          <w:lang w:val="en-US" w:eastAsia="zh-CN"/>
        </w:rPr>
        <w:drawing>
          <wp:inline distT="0" distB="0" distL="114300" distR="114300">
            <wp:extent cx="4995545" cy="6912610"/>
            <wp:effectExtent l="0" t="0" r="3175" b="6350"/>
            <wp:docPr id="4" name="图片 4" descr="a6549fe6c710951eb3c530dbad0175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6549fe6c710951eb3c530dbad0175e5"/>
                    <pic:cNvPicPr>
                      <a:picLocks noChangeAspect="1"/>
                    </pic:cNvPicPr>
                  </pic:nvPicPr>
                  <pic:blipFill>
                    <a:blip r:embed="rId9"/>
                    <a:srcRect t="16053" b="6107"/>
                    <a:stretch>
                      <a:fillRect/>
                    </a:stretch>
                  </pic:blipFill>
                  <pic:spPr>
                    <a:xfrm>
                      <a:off x="0" y="0"/>
                      <a:ext cx="4995545" cy="6912610"/>
                    </a:xfrm>
                    <a:prstGeom prst="rect">
                      <a:avLst/>
                    </a:prstGeom>
                  </pic:spPr>
                </pic:pic>
              </a:graphicData>
            </a:graphic>
          </wp:inline>
        </w:drawing>
      </w:r>
      <w:r>
        <w:rPr>
          <w:rFonts w:hint="eastAsia" w:eastAsia="黑体"/>
          <w:lang w:val="en-US" w:eastAsia="zh-CN"/>
        </w:rPr>
        <w:drawing>
          <wp:inline distT="0" distB="0" distL="114300" distR="114300">
            <wp:extent cx="4655820" cy="3234055"/>
            <wp:effectExtent l="0" t="0" r="12065" b="7620"/>
            <wp:docPr id="7" name="图片 7" descr="ebcabf16f64a44f303bea2eab902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bcabf16f64a44f303bea2eab9022361"/>
                    <pic:cNvPicPr>
                      <a:picLocks noChangeAspect="1"/>
                    </pic:cNvPicPr>
                  </pic:nvPicPr>
                  <pic:blipFill>
                    <a:blip r:embed="rId10"/>
                    <a:srcRect l="16974" r="2054"/>
                    <a:stretch>
                      <a:fillRect/>
                    </a:stretch>
                  </pic:blipFill>
                  <pic:spPr>
                    <a:xfrm rot="5400000">
                      <a:off x="0" y="0"/>
                      <a:ext cx="4655820" cy="3234055"/>
                    </a:xfrm>
                    <a:prstGeom prst="rect">
                      <a:avLst/>
                    </a:prstGeom>
                  </pic:spPr>
                </pic:pic>
              </a:graphicData>
            </a:graphic>
          </wp:inline>
        </w:drawing>
      </w:r>
      <w:r>
        <w:rPr>
          <w:rFonts w:hint="eastAsia" w:eastAsia="黑体"/>
          <w:lang w:val="en-US" w:eastAsia="zh-CN"/>
        </w:rPr>
        <w:drawing>
          <wp:inline distT="0" distB="0" distL="114300" distR="114300">
            <wp:extent cx="4995545" cy="7310120"/>
            <wp:effectExtent l="0" t="0" r="3175" b="5080"/>
            <wp:docPr id="8" name="图片 8" descr="32a21e299926055179cd90705fb407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2a21e299926055179cd90705fb4071a"/>
                    <pic:cNvPicPr>
                      <a:picLocks noChangeAspect="1"/>
                    </pic:cNvPicPr>
                  </pic:nvPicPr>
                  <pic:blipFill>
                    <a:blip r:embed="rId11"/>
                    <a:srcRect t="12077" b="5606"/>
                    <a:stretch>
                      <a:fillRect/>
                    </a:stretch>
                  </pic:blipFill>
                  <pic:spPr>
                    <a:xfrm>
                      <a:off x="0" y="0"/>
                      <a:ext cx="4995545" cy="7310120"/>
                    </a:xfrm>
                    <a:prstGeom prst="rect">
                      <a:avLst/>
                    </a:prstGeom>
                  </pic:spPr>
                </pic:pic>
              </a:graphicData>
            </a:graphic>
          </wp:inline>
        </w:drawing>
      </w:r>
      <w:bookmarkStart w:id="13" w:name="_GoBack"/>
      <w:bookmarkEnd w:id="13"/>
    </w:p>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xZWMwZmRjMzZlYzM2NWRiYjJmYjFkYTJjZWJiMTcifQ=="/>
  </w:docVars>
  <w:rsids>
    <w:rsidRoot w:val="35CC29B8"/>
    <w:rsid w:val="03CC63D7"/>
    <w:rsid w:val="04F76473"/>
    <w:rsid w:val="07A11E1A"/>
    <w:rsid w:val="09D5345C"/>
    <w:rsid w:val="0A1C5EDC"/>
    <w:rsid w:val="0A27015B"/>
    <w:rsid w:val="0A5D5908"/>
    <w:rsid w:val="0B976389"/>
    <w:rsid w:val="0BD51C61"/>
    <w:rsid w:val="0DA64732"/>
    <w:rsid w:val="0EDC1223"/>
    <w:rsid w:val="12386C7D"/>
    <w:rsid w:val="136724E2"/>
    <w:rsid w:val="13D12EE6"/>
    <w:rsid w:val="141A7924"/>
    <w:rsid w:val="153C4810"/>
    <w:rsid w:val="160D5A33"/>
    <w:rsid w:val="16BC1C2B"/>
    <w:rsid w:val="1C4A2E55"/>
    <w:rsid w:val="1DE92E23"/>
    <w:rsid w:val="1DFD0355"/>
    <w:rsid w:val="1E1E483E"/>
    <w:rsid w:val="1F5B398D"/>
    <w:rsid w:val="1FF73CD4"/>
    <w:rsid w:val="22CB7136"/>
    <w:rsid w:val="284F788D"/>
    <w:rsid w:val="2A9D36CA"/>
    <w:rsid w:val="2CBC252D"/>
    <w:rsid w:val="2E5E68CC"/>
    <w:rsid w:val="2EC41433"/>
    <w:rsid w:val="2F917EEC"/>
    <w:rsid w:val="2FB2192D"/>
    <w:rsid w:val="305C2962"/>
    <w:rsid w:val="31297B3A"/>
    <w:rsid w:val="355F439E"/>
    <w:rsid w:val="35CC29B8"/>
    <w:rsid w:val="361E3E5D"/>
    <w:rsid w:val="37A6654A"/>
    <w:rsid w:val="386A7D3B"/>
    <w:rsid w:val="38B36882"/>
    <w:rsid w:val="3BB85D78"/>
    <w:rsid w:val="3C176B62"/>
    <w:rsid w:val="420C1409"/>
    <w:rsid w:val="43CB4C37"/>
    <w:rsid w:val="4706325F"/>
    <w:rsid w:val="47290367"/>
    <w:rsid w:val="48FE4AE5"/>
    <w:rsid w:val="4ECC7680"/>
    <w:rsid w:val="4F5D6EDB"/>
    <w:rsid w:val="537F016A"/>
    <w:rsid w:val="563D798B"/>
    <w:rsid w:val="567C6788"/>
    <w:rsid w:val="579A241E"/>
    <w:rsid w:val="58840D76"/>
    <w:rsid w:val="58A8560A"/>
    <w:rsid w:val="5AE850EA"/>
    <w:rsid w:val="5C8B1D2D"/>
    <w:rsid w:val="5D511379"/>
    <w:rsid w:val="60FB542C"/>
    <w:rsid w:val="620622D4"/>
    <w:rsid w:val="636808F8"/>
    <w:rsid w:val="64FD4259"/>
    <w:rsid w:val="69194288"/>
    <w:rsid w:val="6A640607"/>
    <w:rsid w:val="6AD40467"/>
    <w:rsid w:val="6B3179BA"/>
    <w:rsid w:val="6BF95CAB"/>
    <w:rsid w:val="6C4D48B3"/>
    <w:rsid w:val="6D0669CA"/>
    <w:rsid w:val="6FDF53A7"/>
    <w:rsid w:val="717A11AE"/>
    <w:rsid w:val="72FD2CFB"/>
    <w:rsid w:val="74AE7C8C"/>
    <w:rsid w:val="76511CAD"/>
    <w:rsid w:val="769C7074"/>
    <w:rsid w:val="7772596D"/>
    <w:rsid w:val="788E5851"/>
    <w:rsid w:val="7AB02F22"/>
    <w:rsid w:val="7B7179AA"/>
    <w:rsid w:val="7C9C2DAE"/>
    <w:rsid w:val="7DCC38D1"/>
    <w:rsid w:val="7DD14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spacing w:line="560" w:lineRule="exact"/>
      <w:ind w:firstLine="200"/>
      <w:jc w:val="center"/>
      <w:outlineLvl w:val="1"/>
    </w:pPr>
    <w:rPr>
      <w:rFonts w:eastAsia="楷体_GB2312"/>
      <w:b/>
      <w:bCs/>
      <w:sz w:val="32"/>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99"/>
    <w:pPr>
      <w:ind w:firstLine="420"/>
    </w:pPr>
  </w:style>
  <w:style w:type="paragraph" w:styleId="5">
    <w:name w:val="annotation text"/>
    <w:basedOn w:val="1"/>
    <w:qFormat/>
    <w:uiPriority w:val="99"/>
    <w:pPr>
      <w:ind w:firstLine="200" w:firstLineChars="200"/>
      <w:jc w:val="left"/>
    </w:pPr>
    <w:rPr>
      <w:sz w:val="28"/>
      <w:szCs w:val="20"/>
      <w:u w:color="000000"/>
    </w:rPr>
  </w:style>
  <w:style w:type="paragraph" w:styleId="6">
    <w:name w:val="Body Text"/>
    <w:basedOn w:val="1"/>
    <w:qFormat/>
    <w:uiPriority w:val="99"/>
    <w:pPr>
      <w:widowControl/>
      <w:spacing w:line="520" w:lineRule="exact"/>
      <w:ind w:firstLine="200" w:firstLineChars="200"/>
      <w:textAlignment w:val="baseline"/>
    </w:pPr>
    <w:rPr>
      <w:rFonts w:ascii="宋体" w:hAnsi="宋体"/>
      <w:color w:val="000000"/>
      <w:spacing w:val="10"/>
      <w:kern w:val="0"/>
      <w:sz w:val="24"/>
      <w:szCs w:val="24"/>
      <w:u w:color="000000"/>
    </w:rPr>
  </w:style>
  <w:style w:type="paragraph" w:styleId="7">
    <w:name w:val="Body Text Indent"/>
    <w:basedOn w:val="1"/>
    <w:next w:val="8"/>
    <w:qFormat/>
    <w:uiPriority w:val="0"/>
    <w:pPr>
      <w:spacing w:after="120"/>
      <w:ind w:left="420" w:leftChars="200"/>
    </w:pPr>
  </w:style>
  <w:style w:type="paragraph" w:styleId="8">
    <w:name w:val="Body Text First Indent"/>
    <w:basedOn w:val="6"/>
    <w:qFormat/>
    <w:uiPriority w:val="0"/>
    <w:pPr>
      <w:ind w:firstLine="420" w:firstLineChars="100"/>
    </w:pPr>
    <w:rPr>
      <w:b/>
      <w:u w:val="single"/>
    </w:rPr>
  </w:style>
  <w:style w:type="paragraph" w:styleId="9">
    <w:name w:val="Plain Text"/>
    <w:basedOn w:val="1"/>
    <w:unhideWhenUsed/>
    <w:qFormat/>
    <w:uiPriority w:val="99"/>
    <w:rPr>
      <w:rFonts w:ascii="宋体" w:hAnsi="Courier New"/>
      <w:kern w:val="0"/>
      <w:sz w:val="20"/>
      <w:szCs w:val="20"/>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2"/>
    <w:basedOn w:val="7"/>
    <w:qFormat/>
    <w:uiPriority w:val="0"/>
    <w:pPr>
      <w:ind w:firstLine="420" w:firstLineChars="200"/>
    </w:pPr>
    <w:rPr>
      <w:rFonts w:ascii="宋体" w:hAnsi="宋体"/>
      <w:spacing w:val="8"/>
      <w:kern w:val="2"/>
      <w:sz w:val="21"/>
      <w:szCs w:val="24"/>
    </w:rPr>
  </w:style>
  <w:style w:type="character" w:styleId="14">
    <w:name w:val="annotation reference"/>
    <w:qFormat/>
    <w:uiPriority w:val="99"/>
    <w:rPr>
      <w:sz w:val="21"/>
      <w:szCs w:val="21"/>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
    <w:name w:val="111"/>
    <w:basedOn w:val="17"/>
    <w:qFormat/>
    <w:uiPriority w:val="0"/>
    <w:pPr>
      <w:widowControl/>
      <w:spacing w:beforeAutospacing="0" w:afterAutospacing="0"/>
      <w:jc w:val="left"/>
    </w:pPr>
    <w:rPr>
      <w:rFonts w:ascii="宋体" w:hAnsi="宋体" w:eastAsia="宋体" w:cs="宋体"/>
      <w:kern w:val="0"/>
      <w:sz w:val="24"/>
      <w:szCs w:val="24"/>
    </w:rPr>
  </w:style>
  <w:style w:type="paragraph" w:customStyle="1" w:styleId="17">
    <w:name w:val="题目"/>
    <w:basedOn w:val="1"/>
    <w:qFormat/>
    <w:uiPriority w:val="0"/>
    <w:pPr>
      <w:jc w:val="center"/>
      <w:outlineLvl w:val="0"/>
    </w:pPr>
    <w:rPr>
      <w:rFonts w:ascii="黑体" w:hAnsi="黑体" w:eastAsia="黑体"/>
      <w:sz w:val="32"/>
      <w:szCs w:val="32"/>
    </w:rPr>
  </w:style>
  <w:style w:type="paragraph" w:customStyle="1" w:styleId="18">
    <w:name w:val="Table Text"/>
    <w:basedOn w:val="1"/>
    <w:semiHidden/>
    <w:qFormat/>
    <w:uiPriority w:val="0"/>
    <w:rPr>
      <w:rFonts w:ascii="宋体" w:hAnsi="宋体" w:eastAsia="宋体" w:cs="宋体"/>
      <w:sz w:val="20"/>
      <w:szCs w:val="20"/>
      <w:lang w:val="en-US" w:eastAsia="en-US" w:bidi="ar-SA"/>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6评价正文"/>
    <w:qFormat/>
    <w:uiPriority w:val="0"/>
    <w:pPr>
      <w:spacing w:line="520" w:lineRule="exact"/>
      <w:ind w:firstLine="200" w:firstLineChars="200"/>
      <w:jc w:val="both"/>
    </w:pPr>
    <w:rPr>
      <w:rFonts w:ascii="Times New Roman" w:hAnsi="Times New Roman" w:eastAsia="宋体" w:cs="Times New Roman"/>
      <w:sz w:val="28"/>
      <w:lang w:val="en-US" w:eastAsia="zh-CN" w:bidi="ar-SA"/>
    </w:rPr>
  </w:style>
  <w:style w:type="paragraph" w:customStyle="1" w:styleId="21">
    <w:name w:val="1评价标题"/>
    <w:qFormat/>
    <w:uiPriority w:val="0"/>
    <w:pPr>
      <w:pageBreakBefore/>
      <w:spacing w:before="100" w:beforeLines="100" w:after="100" w:afterLines="100" w:line="520" w:lineRule="exact"/>
      <w:jc w:val="center"/>
      <w:outlineLvl w:val="0"/>
    </w:pPr>
    <w:rPr>
      <w:rFonts w:ascii="Times New Roman" w:hAnsi="Times New Roman" w:eastAsia="黑体" w:cs="Times New Roman"/>
      <w:kern w:val="2"/>
      <w:sz w:val="32"/>
      <w:szCs w:val="21"/>
      <w:lang w:val="en-US" w:eastAsia="zh-CN" w:bidi="ar-SA"/>
    </w:rPr>
  </w:style>
  <w:style w:type="paragraph" w:customStyle="1" w:styleId="22">
    <w:name w:val="5标题评价表格"/>
    <w:qFormat/>
    <w:uiPriority w:val="0"/>
    <w:pPr>
      <w:spacing w:line="520" w:lineRule="exact"/>
      <w:jc w:val="center"/>
      <w:outlineLvl w:val="4"/>
    </w:pPr>
    <w:rPr>
      <w:rFonts w:ascii="Times New Roman" w:hAnsi="Times New Roman" w:eastAsia="黑体" w:cs="Times New Roman"/>
      <w:kern w:val="2"/>
      <w:sz w:val="24"/>
      <w:szCs w:val="28"/>
      <w:u w:color="000000"/>
      <w:lang w:val="en-US" w:eastAsia="zh-CN" w:bidi="ar-SA"/>
    </w:rPr>
  </w:style>
  <w:style w:type="paragraph" w:customStyle="1" w:styleId="23">
    <w:name w:val="5内容评价表格"/>
    <w:qFormat/>
    <w:uiPriority w:val="0"/>
    <w:pPr>
      <w:spacing w:line="300" w:lineRule="exact"/>
      <w:jc w:val="center"/>
    </w:pPr>
    <w:rPr>
      <w:rFonts w:ascii="Times New Roman" w:hAnsi="Times New Roman" w:eastAsia="宋体" w:cs="Times New Roman"/>
      <w:kern w:val="2"/>
      <w:sz w:val="21"/>
      <w:szCs w:val="21"/>
      <w:u w:color="000000"/>
      <w:lang w:val="en-US" w:eastAsia="zh-CN" w:bidi="ar-SA"/>
    </w:rPr>
  </w:style>
  <w:style w:type="paragraph" w:customStyle="1" w:styleId="24">
    <w:name w:val="7评价备注"/>
    <w:qFormat/>
    <w:uiPriority w:val="0"/>
    <w:pPr>
      <w:spacing w:line="400" w:lineRule="exact"/>
      <w:ind w:firstLine="200" w:firstLineChars="200"/>
    </w:pPr>
    <w:rPr>
      <w:rFonts w:ascii="Times New Roman" w:hAnsi="Times New Roman" w:eastAsia="黑体" w:cs="Times New Roman"/>
      <w:spacing w:val="4"/>
      <w:kern w:val="2"/>
      <w:sz w:val="21"/>
      <w:szCs w:val="24"/>
      <w:lang w:val="en-US" w:eastAsia="zh-CN" w:bidi="ar-SA"/>
    </w:rPr>
  </w:style>
  <w:style w:type="paragraph" w:customStyle="1" w:styleId="25">
    <w:name w:val="3评价标题"/>
    <w:qFormat/>
    <w:uiPriority w:val="0"/>
    <w:pPr>
      <w:spacing w:line="520" w:lineRule="exact"/>
      <w:ind w:firstLine="200" w:firstLineChars="200"/>
      <w:outlineLvl w:val="2"/>
    </w:pPr>
    <w:rPr>
      <w:rFonts w:ascii="Times New Roman" w:hAnsi="Times New Roman" w:eastAsia="黑体" w:cs="Times New Roman"/>
      <w:sz w:val="28"/>
      <w:u w:color="000000"/>
      <w:lang w:val="en-US" w:eastAsia="zh-CN" w:bidi="ar-SA"/>
    </w:rPr>
  </w:style>
  <w:style w:type="paragraph" w:customStyle="1" w:styleId="26">
    <w:name w:val="表内文字"/>
    <w:basedOn w:val="9"/>
    <w:qFormat/>
    <w:uiPriority w:val="0"/>
    <w:pPr>
      <w:spacing w:line="320" w:lineRule="exact"/>
      <w:jc w:val="center"/>
    </w:pPr>
    <w:rPr>
      <w:rFonts w:ascii="Times New Roman" w:hAnsi="Times New Roman"/>
      <w:kern w:val="2"/>
      <w:sz w:val="21"/>
      <w:szCs w:val="21"/>
      <w:u w:color="000000"/>
    </w:rPr>
  </w:style>
  <w:style w:type="paragraph" w:customStyle="1" w:styleId="27">
    <w:name w:val="5表格内容"/>
    <w:basedOn w:val="28"/>
    <w:qFormat/>
    <w:uiPriority w:val="0"/>
    <w:pPr>
      <w:spacing w:beforeLines="0" w:line="300" w:lineRule="exact"/>
    </w:pPr>
    <w:rPr>
      <w:rFonts w:eastAsia="宋体"/>
      <w:color w:val="auto"/>
      <w:sz w:val="21"/>
      <w:szCs w:val="21"/>
    </w:rPr>
  </w:style>
  <w:style w:type="paragraph" w:customStyle="1" w:styleId="28">
    <w:name w:val="表名"/>
    <w:basedOn w:val="9"/>
    <w:qFormat/>
    <w:uiPriority w:val="0"/>
    <w:pPr>
      <w:spacing w:beforeLines="50" w:line="360" w:lineRule="exact"/>
      <w:jc w:val="center"/>
    </w:pPr>
    <w:rPr>
      <w:rFonts w:ascii="Times New Roman" w:hAnsi="Times New Roman" w:eastAsia="黑体"/>
      <w:color w:val="000000"/>
      <w:kern w:val="2"/>
      <w:sz w:val="24"/>
      <w:szCs w:val="28"/>
      <w:u w:color="000000"/>
    </w:rPr>
  </w:style>
  <w:style w:type="paragraph" w:customStyle="1" w:styleId="29">
    <w:name w:val="6表格标题"/>
    <w:basedOn w:val="30"/>
    <w:qFormat/>
    <w:uiPriority w:val="0"/>
    <w:pPr>
      <w:widowControl/>
      <w:spacing w:line="520" w:lineRule="exact"/>
      <w:jc w:val="center"/>
      <w:outlineLvl w:val="4"/>
    </w:pPr>
    <w:rPr>
      <w:color w:val="FF0000"/>
    </w:rPr>
  </w:style>
  <w:style w:type="paragraph" w:customStyle="1" w:styleId="30">
    <w:name w:val="评价表格标题"/>
    <w:qFormat/>
    <w:uiPriority w:val="99"/>
    <w:pPr>
      <w:spacing w:line="400" w:lineRule="exact"/>
      <w:jc w:val="center"/>
    </w:pPr>
    <w:rPr>
      <w:rFonts w:ascii="Times New Roman" w:hAnsi="Times New Roman" w:eastAsia="黑体" w:cs="Times New Roman"/>
      <w:color w:val="000000"/>
      <w:sz w:val="24"/>
      <w:szCs w:val="24"/>
      <w:lang w:val="en-US" w:eastAsia="zh-CN" w:bidi="ar-SA"/>
    </w:rPr>
  </w:style>
  <w:style w:type="paragraph" w:customStyle="1" w:styleId="31">
    <w:name w:val="正文1"/>
    <w:basedOn w:val="1"/>
    <w:qFormat/>
    <w:uiPriority w:val="0"/>
    <w:pPr>
      <w:snapToGrid w:val="0"/>
      <w:spacing w:line="360" w:lineRule="exact"/>
      <w:jc w:val="center"/>
    </w:pPr>
    <w:rPr>
      <w:snapToGrid w:val="0"/>
      <w:kern w:val="21"/>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3426</Words>
  <Characters>3890</Characters>
  <Lines>0</Lines>
  <Paragraphs>0</Paragraphs>
  <TotalTime>3</TotalTime>
  <ScaleCrop>false</ScaleCrop>
  <LinksUpToDate>false</LinksUpToDate>
  <CharactersWithSpaces>3910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2023-09-27T02:48:00Z</dcterms:created>
  <dc:creator>天舞</dc:creator>
  <cp:lastModifiedBy>A</cp:lastModifiedBy>
  <dcterms:modified xsi:type="dcterms:W3CDTF">2026-07-27T02:12:26Z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158E41C4130D45F7BB2A42425FB8946B_11</vt:lpwstr>
  </property>
  <property fmtid="{D5CDD505-2E9C-101B-9397-08002B2CF9AE}" pid="4" name="KSOTemplateDocerSaveRecord">
    <vt:lpwstr>eyJoZGlkIjoiMDljOTcxNjNhZDBjMjhkNDI1NDUxNmZjNjcwNDIwYjMiLCJ1c2VySWQiOiI0NDUyNjk3NzEifQ==</vt:lpwstr>
  </property>
</Properties>
</file>