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4014D">
      <w:pPr>
        <w:jc w:val="center"/>
        <w:rPr>
          <w:rFonts w:hint="eastAsia" w:ascii="黑体" w:hAnsi="黑体" w:eastAsia="黑体" w:cs="黑体"/>
          <w:sz w:val="28"/>
          <w:szCs w:val="28"/>
        </w:rPr>
      </w:pPr>
      <w:r>
        <w:rPr>
          <w:rFonts w:hint="eastAsia" w:ascii="黑体" w:hAnsi="黑体" w:eastAsia="黑体" w:cs="黑体"/>
          <w:sz w:val="28"/>
          <w:szCs w:val="28"/>
        </w:rPr>
        <w:t>安全评价项目信息表</w:t>
      </w:r>
    </w:p>
    <w:p w14:paraId="520393D2">
      <w:pPr>
        <w:rPr>
          <w:rFonts w:hint="eastAsia"/>
          <w:sz w:val="21"/>
          <w:szCs w:val="21"/>
          <w:lang w:val="en-US" w:eastAsia="zh-CN"/>
        </w:rPr>
      </w:pPr>
      <w:r>
        <w:rPr>
          <w:rFonts w:hint="eastAsia"/>
          <w:sz w:val="21"/>
          <w:szCs w:val="21"/>
          <w:lang w:val="en-US" w:eastAsia="zh-CN"/>
        </w:rPr>
        <w:t>项目编号：</w:t>
      </w:r>
    </w:p>
    <w:tbl>
      <w:tblPr>
        <w:tblStyle w:val="5"/>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68" w:type="dxa"/>
          <w:left w:w="108" w:type="dxa"/>
          <w:bottom w:w="68" w:type="dxa"/>
          <w:right w:w="108" w:type="dxa"/>
        </w:tblCellMar>
      </w:tblPr>
      <w:tblGrid>
        <w:gridCol w:w="1832"/>
        <w:gridCol w:w="2188"/>
        <w:gridCol w:w="2350"/>
        <w:gridCol w:w="2918"/>
      </w:tblGrid>
      <w:tr w14:paraId="226AAF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AA60D14">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项目名称</w:t>
            </w:r>
          </w:p>
        </w:tc>
        <w:tc>
          <w:tcPr>
            <w:tcW w:w="7456" w:type="dxa"/>
            <w:gridSpan w:val="3"/>
            <w:tcBorders>
              <w:tl2br w:val="nil"/>
              <w:tr2bl w:val="nil"/>
            </w:tcBorders>
            <w:shd w:val="clear" w:color="auto" w:fill="auto"/>
            <w:vAlign w:val="center"/>
          </w:tcPr>
          <w:p w14:paraId="23C1E73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b w:val="0"/>
                <w:bCs w:val="0"/>
                <w:color w:val="auto"/>
                <w:kern w:val="0"/>
                <w:sz w:val="21"/>
                <w:szCs w:val="21"/>
                <w:highlight w:val="none"/>
                <w:lang w:val="en-US" w:eastAsia="zh-CN" w:bidi="ar-SA"/>
              </w:rPr>
              <w:t>山东润银生物化工股份有限公司甲醇储存项目安全设施竣工验收评价</w:t>
            </w:r>
          </w:p>
        </w:tc>
      </w:tr>
      <w:tr w14:paraId="446D3D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451" w:hRule="atLeast"/>
          <w:jc w:val="center"/>
        </w:trPr>
        <w:tc>
          <w:tcPr>
            <w:tcW w:w="1832" w:type="dxa"/>
            <w:tcBorders>
              <w:tl2br w:val="nil"/>
              <w:tr2bl w:val="nil"/>
            </w:tcBorders>
            <w:shd w:val="clear" w:color="auto" w:fill="auto"/>
            <w:vAlign w:val="center"/>
          </w:tcPr>
          <w:p w14:paraId="37F19601">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项目简介</w:t>
            </w:r>
          </w:p>
        </w:tc>
        <w:tc>
          <w:tcPr>
            <w:tcW w:w="7456" w:type="dxa"/>
            <w:gridSpan w:val="3"/>
            <w:tcBorders>
              <w:tl2br w:val="nil"/>
              <w:tr2bl w:val="nil"/>
            </w:tcBorders>
            <w:shd w:val="clear" w:color="auto" w:fill="auto"/>
            <w:noWrap/>
            <w:vAlign w:val="center"/>
          </w:tcPr>
          <w:p w14:paraId="17E4DF29">
            <w:pPr>
              <w:adjustRightInd w:val="0"/>
              <w:snapToGrid w:val="0"/>
              <w:spacing w:line="240" w:lineRule="auto"/>
              <w:rPr>
                <w:rFonts w:hint="default" w:ascii="宋体" w:hAnsi="宋体" w:eastAsia="宋体" w:cs="宋体"/>
                <w:b w:val="0"/>
                <w:bCs w:val="0"/>
                <w:color w:val="auto"/>
                <w:kern w:val="0"/>
                <w:sz w:val="21"/>
                <w:szCs w:val="21"/>
                <w:highlight w:val="none"/>
                <w:lang w:val="en-US"/>
              </w:rPr>
            </w:pPr>
            <w:r>
              <w:rPr>
                <w:rFonts w:hint="eastAsia" w:ascii="宋体" w:hAnsi="宋体"/>
                <w:sz w:val="20"/>
                <w:szCs w:val="24"/>
                <w:lang w:val="en-US" w:eastAsia="zh-CN"/>
              </w:rPr>
              <w:t>项目在现有厂区内建设，主要建设4个980立方米的甲醇储罐。本项目属于仓储类项目，不涉及甲醇生产、污染物排放、煤炭及能源消耗。公司原有的低温甲醇洗工序配套甲醇罐区时间较久（固定顶、2013年投用），设备老化严重，按照《石油化工企业设计防火标准》GB50160-2008（2018年版）的规定，甲醇储罐应为内浮顶型式，原有甲醇罐区无法满足规范要求。因此企业在厂区西南部净化系统循环水冷却塔与尿素循环水冷却塔之间的空地建设该甲醇储存项目，并拆除原有甲醇罐区.</w:t>
            </w:r>
          </w:p>
        </w:tc>
      </w:tr>
      <w:tr w14:paraId="386E1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129491F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评价人员</w:t>
            </w:r>
          </w:p>
        </w:tc>
        <w:tc>
          <w:tcPr>
            <w:tcW w:w="4538" w:type="dxa"/>
            <w:gridSpan w:val="2"/>
            <w:tcBorders>
              <w:tl2br w:val="nil"/>
              <w:tr2bl w:val="nil"/>
            </w:tcBorders>
            <w:shd w:val="clear" w:color="auto" w:fill="auto"/>
            <w:noWrap/>
            <w:vAlign w:val="center"/>
          </w:tcPr>
          <w:p w14:paraId="391B6C3E">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姓  名</w:t>
            </w:r>
          </w:p>
        </w:tc>
        <w:tc>
          <w:tcPr>
            <w:tcW w:w="2918" w:type="dxa"/>
            <w:tcBorders>
              <w:tl2br w:val="nil"/>
              <w:tr2bl w:val="nil"/>
            </w:tcBorders>
            <w:shd w:val="clear" w:color="auto" w:fill="auto"/>
            <w:noWrap/>
            <w:vAlign w:val="center"/>
          </w:tcPr>
          <w:p w14:paraId="487C378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tc>
      </w:tr>
      <w:tr w14:paraId="29A00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0986F64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tc>
        <w:tc>
          <w:tcPr>
            <w:tcW w:w="4538" w:type="dxa"/>
            <w:gridSpan w:val="2"/>
            <w:tcBorders>
              <w:tl2br w:val="nil"/>
              <w:tr2bl w:val="nil"/>
            </w:tcBorders>
            <w:shd w:val="clear" w:color="auto" w:fill="auto"/>
            <w:noWrap/>
            <w:vAlign w:val="center"/>
          </w:tcPr>
          <w:p w14:paraId="206EB6F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马琳琳</w:t>
            </w:r>
          </w:p>
        </w:tc>
        <w:tc>
          <w:tcPr>
            <w:tcW w:w="2918" w:type="dxa"/>
            <w:tcBorders>
              <w:tl2br w:val="nil"/>
              <w:tr2bl w:val="nil"/>
            </w:tcBorders>
            <w:shd w:val="clear" w:color="auto" w:fill="auto"/>
            <w:noWrap/>
            <w:vAlign w:val="center"/>
          </w:tcPr>
          <w:p w14:paraId="789D216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5ECFC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7087994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项目组成员</w:t>
            </w:r>
          </w:p>
        </w:tc>
        <w:tc>
          <w:tcPr>
            <w:tcW w:w="4538" w:type="dxa"/>
            <w:gridSpan w:val="2"/>
            <w:tcBorders>
              <w:tl2br w:val="nil"/>
              <w:tr2bl w:val="nil"/>
            </w:tcBorders>
            <w:shd w:val="clear" w:color="auto" w:fill="auto"/>
            <w:noWrap/>
            <w:vAlign w:val="center"/>
          </w:tcPr>
          <w:p w14:paraId="466DF95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刘卫国</w:t>
            </w:r>
          </w:p>
        </w:tc>
        <w:tc>
          <w:tcPr>
            <w:tcW w:w="2918" w:type="dxa"/>
            <w:tcBorders>
              <w:tl2br w:val="nil"/>
              <w:tr2bl w:val="nil"/>
            </w:tcBorders>
            <w:shd w:val="clear" w:color="auto" w:fill="auto"/>
            <w:noWrap/>
            <w:vAlign w:val="center"/>
          </w:tcPr>
          <w:p w14:paraId="6436048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9E9FA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42B9202B">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p>
        </w:tc>
        <w:tc>
          <w:tcPr>
            <w:tcW w:w="4538" w:type="dxa"/>
            <w:gridSpan w:val="2"/>
            <w:tcBorders>
              <w:tl2br w:val="nil"/>
              <w:tr2bl w:val="nil"/>
            </w:tcBorders>
            <w:shd w:val="clear" w:color="auto" w:fill="auto"/>
            <w:noWrap/>
            <w:vAlign w:val="center"/>
          </w:tcPr>
          <w:p w14:paraId="7014F52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557E8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2BDA0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4EED554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73B183E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赵云峰</w:t>
            </w:r>
          </w:p>
        </w:tc>
        <w:tc>
          <w:tcPr>
            <w:tcW w:w="2918" w:type="dxa"/>
            <w:tcBorders>
              <w:tl2br w:val="nil"/>
              <w:tr2bl w:val="nil"/>
            </w:tcBorders>
            <w:shd w:val="clear" w:color="auto" w:fill="auto"/>
            <w:noWrap/>
            <w:vAlign w:val="center"/>
          </w:tcPr>
          <w:p w14:paraId="7E294D1E">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40DB4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692870C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DF3DF9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王静</w:t>
            </w:r>
          </w:p>
        </w:tc>
        <w:tc>
          <w:tcPr>
            <w:tcW w:w="2918" w:type="dxa"/>
            <w:tcBorders>
              <w:tl2br w:val="nil"/>
              <w:tr2bl w:val="nil"/>
            </w:tcBorders>
            <w:shd w:val="clear" w:color="auto" w:fill="auto"/>
            <w:noWrap/>
            <w:vAlign w:val="center"/>
          </w:tcPr>
          <w:p w14:paraId="535D964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C132C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1E4DD2C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报告编制人</w:t>
            </w:r>
          </w:p>
        </w:tc>
        <w:tc>
          <w:tcPr>
            <w:tcW w:w="4538" w:type="dxa"/>
            <w:gridSpan w:val="2"/>
            <w:tcBorders>
              <w:tl2br w:val="nil"/>
              <w:tr2bl w:val="nil"/>
            </w:tcBorders>
            <w:shd w:val="clear" w:color="auto" w:fill="auto"/>
            <w:noWrap/>
            <w:vAlign w:val="center"/>
          </w:tcPr>
          <w:p w14:paraId="193045B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en-US"/>
              </w:rPr>
              <w:t>马琳琳</w:t>
            </w:r>
          </w:p>
        </w:tc>
        <w:tc>
          <w:tcPr>
            <w:tcW w:w="2918" w:type="dxa"/>
            <w:tcBorders>
              <w:tl2br w:val="nil"/>
              <w:tr2bl w:val="nil"/>
            </w:tcBorders>
            <w:shd w:val="clear" w:color="auto" w:fill="auto"/>
            <w:noWrap/>
            <w:vAlign w:val="center"/>
          </w:tcPr>
          <w:p w14:paraId="448A0E4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CF0C3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FCA80E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报告审核人</w:t>
            </w:r>
          </w:p>
        </w:tc>
        <w:tc>
          <w:tcPr>
            <w:tcW w:w="4538" w:type="dxa"/>
            <w:gridSpan w:val="2"/>
            <w:tcBorders>
              <w:tl2br w:val="nil"/>
              <w:tr2bl w:val="nil"/>
            </w:tcBorders>
            <w:shd w:val="clear" w:color="auto" w:fill="auto"/>
            <w:noWrap/>
            <w:vAlign w:val="center"/>
          </w:tcPr>
          <w:p w14:paraId="3F87A0C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赵燕</w:t>
            </w:r>
          </w:p>
        </w:tc>
        <w:tc>
          <w:tcPr>
            <w:tcW w:w="2918" w:type="dxa"/>
            <w:tcBorders>
              <w:tl2br w:val="nil"/>
              <w:tr2bl w:val="nil"/>
            </w:tcBorders>
            <w:shd w:val="clear" w:color="auto" w:fill="auto"/>
            <w:noWrap/>
            <w:vAlign w:val="center"/>
          </w:tcPr>
          <w:p w14:paraId="76845E7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0417B2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23FDC7D5">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过程控制负责人</w:t>
            </w:r>
          </w:p>
        </w:tc>
        <w:tc>
          <w:tcPr>
            <w:tcW w:w="4538" w:type="dxa"/>
            <w:gridSpan w:val="2"/>
            <w:tcBorders>
              <w:tl2br w:val="nil"/>
              <w:tr2bl w:val="nil"/>
            </w:tcBorders>
            <w:shd w:val="clear" w:color="auto" w:fill="auto"/>
            <w:noWrap/>
            <w:vAlign w:val="center"/>
          </w:tcPr>
          <w:p w14:paraId="6FCD161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刘云红</w:t>
            </w:r>
          </w:p>
        </w:tc>
        <w:tc>
          <w:tcPr>
            <w:tcW w:w="2918" w:type="dxa"/>
            <w:tcBorders>
              <w:tl2br w:val="nil"/>
              <w:tr2bl w:val="nil"/>
            </w:tcBorders>
            <w:shd w:val="clear" w:color="auto" w:fill="auto"/>
            <w:noWrap/>
            <w:vAlign w:val="center"/>
          </w:tcPr>
          <w:p w14:paraId="7A61A54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F1ACC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1731861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技术负责人</w:t>
            </w:r>
          </w:p>
        </w:tc>
        <w:tc>
          <w:tcPr>
            <w:tcW w:w="4538" w:type="dxa"/>
            <w:gridSpan w:val="2"/>
            <w:tcBorders>
              <w:tl2br w:val="nil"/>
              <w:tr2bl w:val="nil"/>
            </w:tcBorders>
            <w:shd w:val="clear" w:color="auto" w:fill="auto"/>
            <w:noWrap/>
            <w:vAlign w:val="center"/>
          </w:tcPr>
          <w:p w14:paraId="64838A4E">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孙虎</w:t>
            </w:r>
          </w:p>
        </w:tc>
        <w:tc>
          <w:tcPr>
            <w:tcW w:w="2918" w:type="dxa"/>
            <w:tcBorders>
              <w:tl2br w:val="nil"/>
              <w:tr2bl w:val="nil"/>
            </w:tcBorders>
            <w:shd w:val="clear" w:color="auto" w:fill="auto"/>
            <w:noWrap/>
            <w:vAlign w:val="center"/>
          </w:tcPr>
          <w:p w14:paraId="22EEC4AE">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1A832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6307D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技术专家</w:t>
            </w:r>
          </w:p>
          <w:p w14:paraId="2918FAB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或有关技术人员</w:t>
            </w:r>
          </w:p>
        </w:tc>
        <w:tc>
          <w:tcPr>
            <w:tcW w:w="4538" w:type="dxa"/>
            <w:gridSpan w:val="2"/>
            <w:tcBorders>
              <w:tl2br w:val="nil"/>
              <w:tr2bl w:val="nil"/>
            </w:tcBorders>
            <w:shd w:val="clear" w:color="auto" w:fill="auto"/>
            <w:noWrap/>
            <w:vAlign w:val="center"/>
          </w:tcPr>
          <w:p w14:paraId="4AA9937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41AC531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7CB9B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D927DB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706C392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15B7C5D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8A974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6AE7514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7A7D06E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1CF196B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4C97B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6D9F206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A2695A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20D10FF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DA1BB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72F981B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到现场开展安全</w:t>
            </w:r>
          </w:p>
          <w:p w14:paraId="0E93483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评价工作情况</w:t>
            </w:r>
          </w:p>
        </w:tc>
        <w:tc>
          <w:tcPr>
            <w:tcW w:w="2188" w:type="dxa"/>
            <w:tcBorders>
              <w:tl2br w:val="nil"/>
              <w:tr2bl w:val="nil"/>
            </w:tcBorders>
            <w:shd w:val="clear" w:color="auto" w:fill="auto"/>
            <w:noWrap/>
            <w:vAlign w:val="center"/>
          </w:tcPr>
          <w:p w14:paraId="4FA2D7C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时  间</w:t>
            </w:r>
          </w:p>
        </w:tc>
        <w:tc>
          <w:tcPr>
            <w:tcW w:w="2350" w:type="dxa"/>
            <w:tcBorders>
              <w:tl2br w:val="nil"/>
              <w:tr2bl w:val="nil"/>
            </w:tcBorders>
            <w:shd w:val="clear" w:color="auto" w:fill="auto"/>
            <w:noWrap/>
            <w:vAlign w:val="center"/>
          </w:tcPr>
          <w:p w14:paraId="1BA855D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到现场主要人员</w:t>
            </w:r>
          </w:p>
        </w:tc>
        <w:tc>
          <w:tcPr>
            <w:tcW w:w="2918" w:type="dxa"/>
            <w:tcBorders>
              <w:tl2br w:val="nil"/>
              <w:tr2bl w:val="nil"/>
            </w:tcBorders>
            <w:shd w:val="clear" w:color="auto" w:fill="auto"/>
            <w:noWrap/>
            <w:vAlign w:val="center"/>
          </w:tcPr>
          <w:p w14:paraId="39376791">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主要任务</w:t>
            </w:r>
          </w:p>
        </w:tc>
      </w:tr>
      <w:tr w14:paraId="3F8CC1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3EA64FA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7BC783F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2026.3.10</w:t>
            </w:r>
          </w:p>
        </w:tc>
        <w:tc>
          <w:tcPr>
            <w:tcW w:w="2350" w:type="dxa"/>
            <w:tcBorders>
              <w:tl2br w:val="nil"/>
              <w:tr2bl w:val="nil"/>
            </w:tcBorders>
            <w:shd w:val="clear" w:color="auto" w:fill="auto"/>
            <w:noWrap/>
            <w:vAlign w:val="center"/>
          </w:tcPr>
          <w:p w14:paraId="0594AA9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马琳琳 辛磊</w:t>
            </w:r>
          </w:p>
        </w:tc>
        <w:tc>
          <w:tcPr>
            <w:tcW w:w="2918" w:type="dxa"/>
            <w:tcBorders>
              <w:tl2br w:val="nil"/>
              <w:tr2bl w:val="nil"/>
            </w:tcBorders>
            <w:shd w:val="clear" w:color="auto" w:fill="auto"/>
            <w:noWrap/>
            <w:vAlign w:val="center"/>
          </w:tcPr>
          <w:p w14:paraId="19B66DEE">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初访</w:t>
            </w:r>
          </w:p>
        </w:tc>
      </w:tr>
      <w:tr w14:paraId="7827D2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8D3887E">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061B6E83">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2026.3.21</w:t>
            </w:r>
          </w:p>
        </w:tc>
        <w:tc>
          <w:tcPr>
            <w:tcW w:w="2350" w:type="dxa"/>
            <w:tcBorders>
              <w:tl2br w:val="nil"/>
              <w:tr2bl w:val="nil"/>
            </w:tcBorders>
            <w:shd w:val="clear" w:color="auto" w:fill="auto"/>
            <w:noWrap/>
            <w:vAlign w:val="center"/>
          </w:tcPr>
          <w:p w14:paraId="35BE14C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马琳琳 辛磊</w:t>
            </w:r>
          </w:p>
        </w:tc>
        <w:tc>
          <w:tcPr>
            <w:tcW w:w="2918" w:type="dxa"/>
            <w:tcBorders>
              <w:tl2br w:val="nil"/>
              <w:tr2bl w:val="nil"/>
            </w:tcBorders>
            <w:shd w:val="clear" w:color="auto" w:fill="auto"/>
            <w:noWrap/>
            <w:vAlign w:val="center"/>
          </w:tcPr>
          <w:p w14:paraId="0A3B5578">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现场考察</w:t>
            </w:r>
          </w:p>
        </w:tc>
      </w:tr>
      <w:tr w14:paraId="3350FC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375138F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4234FA9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2026.3.23</w:t>
            </w:r>
          </w:p>
        </w:tc>
        <w:tc>
          <w:tcPr>
            <w:tcW w:w="2350" w:type="dxa"/>
            <w:tcBorders>
              <w:tl2br w:val="nil"/>
              <w:tr2bl w:val="nil"/>
            </w:tcBorders>
            <w:shd w:val="clear" w:color="auto" w:fill="auto"/>
            <w:noWrap/>
            <w:vAlign w:val="center"/>
          </w:tcPr>
          <w:p w14:paraId="7FA8487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马琳琳 辛磊</w:t>
            </w:r>
          </w:p>
        </w:tc>
        <w:tc>
          <w:tcPr>
            <w:tcW w:w="2918" w:type="dxa"/>
            <w:tcBorders>
              <w:tl2br w:val="nil"/>
              <w:tr2bl w:val="nil"/>
            </w:tcBorders>
            <w:shd w:val="clear" w:color="auto" w:fill="auto"/>
            <w:noWrap/>
            <w:vAlign w:val="center"/>
          </w:tcPr>
          <w:p w14:paraId="19BAFC3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现场检查</w:t>
            </w:r>
          </w:p>
        </w:tc>
      </w:tr>
      <w:tr w14:paraId="299C43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F6BEE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13158D8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2026.6.15</w:t>
            </w:r>
          </w:p>
        </w:tc>
        <w:tc>
          <w:tcPr>
            <w:tcW w:w="2350" w:type="dxa"/>
            <w:tcBorders>
              <w:tl2br w:val="nil"/>
              <w:tr2bl w:val="nil"/>
            </w:tcBorders>
            <w:shd w:val="clear" w:color="auto" w:fill="auto"/>
            <w:noWrap/>
            <w:vAlign w:val="center"/>
          </w:tcPr>
          <w:p w14:paraId="4576D4A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马琳琳 辛磊</w:t>
            </w:r>
          </w:p>
        </w:tc>
        <w:tc>
          <w:tcPr>
            <w:tcW w:w="2918" w:type="dxa"/>
            <w:tcBorders>
              <w:tl2br w:val="nil"/>
              <w:tr2bl w:val="nil"/>
            </w:tcBorders>
            <w:shd w:val="clear" w:color="auto" w:fill="auto"/>
            <w:noWrap/>
            <w:vAlign w:val="center"/>
          </w:tcPr>
          <w:p w14:paraId="18BFF6AC">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现场核查</w:t>
            </w:r>
          </w:p>
        </w:tc>
      </w:tr>
      <w:tr w14:paraId="24BDDD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2522DFC5">
            <w:pPr>
              <w:autoSpaceDE w:val="0"/>
              <w:autoSpaceDN w:val="0"/>
              <w:adjustRightInd w:val="0"/>
              <w:snapToGrid w:val="0"/>
              <w:spacing w:line="240" w:lineRule="auto"/>
              <w:ind w:firstLine="0" w:firstLineChars="0"/>
              <w:jc w:val="left"/>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安全评价报告提交时间：2026.7.11</w:t>
            </w:r>
          </w:p>
        </w:tc>
      </w:tr>
      <w:tr w14:paraId="1613A8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77C41105">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有必要公开的其它内容：</w:t>
            </w:r>
          </w:p>
        </w:tc>
      </w:tr>
    </w:tbl>
    <w:p w14:paraId="643D4F1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b w:val="0"/>
          <w:bCs w:val="0"/>
          <w:color w:val="auto"/>
          <w:kern w:val="0"/>
          <w:sz w:val="24"/>
          <w:szCs w:val="24"/>
          <w:highlight w:val="none"/>
          <w:lang w:val="en-US" w:eastAsia="zh-CN" w:bidi="ar-SA"/>
        </w:rPr>
      </w:pPr>
    </w:p>
    <w:p w14:paraId="7D551AF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b w:val="0"/>
          <w:bCs w:val="0"/>
          <w:color w:val="auto"/>
          <w:kern w:val="0"/>
          <w:sz w:val="24"/>
          <w:szCs w:val="24"/>
          <w:highlight w:val="none"/>
          <w:lang w:val="en-US" w:eastAsia="zh-CN" w:bidi="ar-SA"/>
        </w:rPr>
      </w:pPr>
    </w:p>
    <w:p w14:paraId="02F180F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山东润银生物化工股份有限公司甲醇储存项目安全设施竣工验收评价现场照片</w:t>
      </w:r>
    </w:p>
    <w:p w14:paraId="4BE7AB56">
      <w:pPr>
        <w:pStyle w:val="2"/>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rPr>
          <w:rFonts w:hint="default"/>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bookmarkStart w:id="30" w:name="_GoBack"/>
      <w:r>
        <w:rPr>
          <w:rFonts w:hint="default"/>
          <w:lang w:val="en-US" w:eastAsia="zh-CN"/>
        </w:rPr>
        <w:drawing>
          <wp:inline distT="0" distB="0" distL="114300" distR="114300">
            <wp:extent cx="5721985" cy="4291330"/>
            <wp:effectExtent l="0" t="0" r="12065" b="13970"/>
            <wp:docPr id="13" name="图片 13" descr="IMG_20260323_15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0260323_151056"/>
                    <pic:cNvPicPr>
                      <a:picLocks noChangeAspect="1"/>
                    </pic:cNvPicPr>
                  </pic:nvPicPr>
                  <pic:blipFill>
                    <a:blip r:embed="rId4"/>
                    <a:stretch>
                      <a:fillRect/>
                    </a:stretch>
                  </pic:blipFill>
                  <pic:spPr>
                    <a:xfrm>
                      <a:off x="0" y="0"/>
                      <a:ext cx="5721985" cy="4291330"/>
                    </a:xfrm>
                    <a:prstGeom prst="rect">
                      <a:avLst/>
                    </a:prstGeom>
                  </pic:spPr>
                </pic:pic>
              </a:graphicData>
            </a:graphic>
          </wp:inline>
        </w:drawing>
      </w:r>
      <w:bookmarkEnd w:id="30"/>
      <w:r>
        <w:rPr>
          <w:rFonts w:hint="default"/>
          <w:lang w:val="en-US" w:eastAsia="zh-CN"/>
        </w:rPr>
        <w:drawing>
          <wp:inline distT="0" distB="0" distL="114300" distR="114300">
            <wp:extent cx="5721985" cy="4291330"/>
            <wp:effectExtent l="0" t="0" r="12065" b="13970"/>
            <wp:docPr id="14" name="图片 14" descr="IMG_20260323_15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0260323_151255"/>
                    <pic:cNvPicPr>
                      <a:picLocks noChangeAspect="1"/>
                    </pic:cNvPicPr>
                  </pic:nvPicPr>
                  <pic:blipFill>
                    <a:blip r:embed="rId5"/>
                    <a:stretch>
                      <a:fillRect/>
                    </a:stretch>
                  </pic:blipFill>
                  <pic:spPr>
                    <a:xfrm>
                      <a:off x="0" y="0"/>
                      <a:ext cx="5721985" cy="4291330"/>
                    </a:xfrm>
                    <a:prstGeom prst="rect">
                      <a:avLst/>
                    </a:prstGeom>
                  </pic:spPr>
                </pic:pic>
              </a:graphicData>
            </a:graphic>
          </wp:inline>
        </w:drawing>
      </w:r>
    </w:p>
    <w:p w14:paraId="1802835D">
      <w:pPr>
        <w:widowControl w:val="0"/>
        <w:numPr>
          <w:ilvl w:val="0"/>
          <w:numId w:val="0"/>
        </w:numPr>
        <w:spacing w:before="156" w:beforeLines="50" w:after="156" w:afterLines="50" w:line="360" w:lineRule="auto"/>
        <w:jc w:val="center"/>
        <w:outlineLvl w:val="1"/>
        <w:rPr>
          <w:rFonts w:ascii="Times New Roman" w:hAnsi="Times New Roman" w:eastAsia="楷体_GB2312" w:cs="楷体_GB2312"/>
          <w:b/>
          <w:bCs/>
          <w:color w:val="000000"/>
          <w:sz w:val="32"/>
          <w:szCs w:val="32"/>
        </w:rPr>
      </w:pPr>
      <w:bookmarkStart w:id="0" w:name="_Toc27777"/>
      <w:bookmarkStart w:id="1" w:name="_Toc23070"/>
      <w:bookmarkStart w:id="2" w:name="_Toc102633980"/>
      <w:bookmarkStart w:id="3" w:name="_Toc102634406"/>
      <w:bookmarkStart w:id="4" w:name="_Toc102633906"/>
      <w:bookmarkStart w:id="5" w:name="_Toc102634255"/>
      <w:r>
        <w:rPr>
          <w:rFonts w:hint="eastAsia" w:ascii="Times New Roman" w:hAnsi="Times New Roman" w:eastAsia="楷体_GB2312" w:cs="楷体_GB2312"/>
          <w:b/>
          <w:bCs/>
          <w:color w:val="000000"/>
          <w:sz w:val="32"/>
          <w:szCs w:val="32"/>
        </w:rPr>
        <w:t>建设单位基本情况</w:t>
      </w:r>
      <w:bookmarkEnd w:id="0"/>
      <w:bookmarkEnd w:id="1"/>
    </w:p>
    <w:p w14:paraId="591CAF74">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bookmarkStart w:id="6" w:name="_Toc39158200"/>
      <w:r>
        <w:rPr>
          <w:rFonts w:hint="eastAsia" w:ascii="Times New Roman" w:hAnsi="Times New Roman" w:eastAsia="黑体" w:cs="Times New Roman"/>
          <w:color w:val="000000"/>
          <w:sz w:val="28"/>
          <w:u w:color="000000"/>
          <w:lang w:val="en-US" w:eastAsia="zh-CN" w:bidi="ar-SA"/>
        </w:rPr>
        <w:t>一、单位名称、性质及负责人</w:t>
      </w:r>
      <w:bookmarkEnd w:id="6"/>
    </w:p>
    <w:p w14:paraId="5D21E58F">
      <w:pPr>
        <w:adjustRightInd w:val="0"/>
        <w:snapToGrid w:val="0"/>
        <w:spacing w:line="360" w:lineRule="auto"/>
        <w:ind w:firstLine="560" w:firstLineChars="200"/>
        <w:rPr>
          <w:rFonts w:hint="eastAsia" w:ascii="宋体" w:hAnsi="宋体" w:eastAsia="宋体" w:cs="宋体"/>
          <w:color w:val="000000"/>
          <w:sz w:val="28"/>
          <w:szCs w:val="21"/>
          <w:lang w:eastAsia="zh-CN"/>
        </w:rPr>
      </w:pPr>
      <w:r>
        <w:rPr>
          <w:rFonts w:hint="eastAsia" w:ascii="宋体" w:hAnsi="宋体" w:eastAsia="宋体" w:cs="宋体"/>
          <w:color w:val="000000"/>
          <w:sz w:val="28"/>
          <w:szCs w:val="21"/>
        </w:rPr>
        <w:t>建设单位：</w:t>
      </w:r>
      <w:r>
        <w:rPr>
          <w:rFonts w:hint="eastAsia" w:ascii="宋体" w:hAnsi="宋体" w:eastAsia="宋体" w:cs="宋体"/>
          <w:color w:val="000000"/>
          <w:sz w:val="28"/>
          <w:szCs w:val="21"/>
          <w:lang w:eastAsia="zh-CN"/>
        </w:rPr>
        <w:t>山东润银生物化工股份有限公司</w:t>
      </w:r>
    </w:p>
    <w:p w14:paraId="3A3E2E0B">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注册地址：山东省泰安市东平县经济开发区滨河新区彭集街道国道路16号</w:t>
      </w:r>
    </w:p>
    <w:p w14:paraId="2F4FE582">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法定代表人：</w:t>
      </w:r>
      <w:r>
        <w:rPr>
          <w:rFonts w:hint="eastAsia" w:ascii="宋体" w:hAnsi="宋体" w:eastAsia="宋体" w:cs="宋体"/>
          <w:color w:val="000000"/>
          <w:sz w:val="28"/>
          <w:szCs w:val="28"/>
        </w:rPr>
        <w:t>孟庆贺</w:t>
      </w:r>
    </w:p>
    <w:p w14:paraId="20104CFA">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注册资本：资本壹亿陆仟叁佰贰拾万元整</w:t>
      </w:r>
    </w:p>
    <w:p w14:paraId="2E8717C0">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公司类型：其他股份有限公司（非上市）</w:t>
      </w:r>
    </w:p>
    <w:p w14:paraId="75479BDE">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二、项目基本情况</w:t>
      </w:r>
    </w:p>
    <w:p w14:paraId="79C57ADE">
      <w:pPr>
        <w:adjustRightInd w:val="0"/>
        <w:snapToGrid w:val="0"/>
        <w:spacing w:line="360" w:lineRule="auto"/>
        <w:ind w:firstLine="560" w:firstLineChars="200"/>
        <w:rPr>
          <w:rFonts w:hint="eastAsia" w:ascii="宋体" w:hAnsi="宋体" w:eastAsia="宋体" w:cs="宋体"/>
          <w:color w:val="000000"/>
          <w:sz w:val="28"/>
          <w:szCs w:val="21"/>
          <w:lang w:eastAsia="zh-CN"/>
        </w:rPr>
      </w:pPr>
      <w:r>
        <w:rPr>
          <w:rFonts w:hint="eastAsia" w:ascii="宋体" w:hAnsi="宋体" w:eastAsia="宋体" w:cs="宋体"/>
          <w:color w:val="000000"/>
          <w:sz w:val="28"/>
          <w:szCs w:val="21"/>
        </w:rPr>
        <w:t>1、项目名称：</w:t>
      </w:r>
      <w:r>
        <w:rPr>
          <w:rFonts w:hint="eastAsia" w:ascii="宋体" w:hAnsi="宋体" w:eastAsia="宋体" w:cs="宋体"/>
          <w:color w:val="000000"/>
          <w:sz w:val="28"/>
          <w:szCs w:val="21"/>
          <w:lang w:eastAsia="zh-CN"/>
        </w:rPr>
        <w:t>甲醇储存项目</w:t>
      </w:r>
    </w:p>
    <w:p w14:paraId="1E1609BC">
      <w:pPr>
        <w:adjustRightInd w:val="0"/>
        <w:snapToGrid w:val="0"/>
        <w:spacing w:line="360" w:lineRule="auto"/>
        <w:ind w:firstLine="560" w:firstLineChars="200"/>
        <w:rPr>
          <w:rFonts w:hint="eastAsia" w:ascii="宋体" w:hAnsi="宋体" w:eastAsia="宋体" w:cs="宋体"/>
          <w:color w:val="000000"/>
          <w:sz w:val="28"/>
          <w:szCs w:val="21"/>
          <w:lang w:eastAsia="zh-CN"/>
        </w:rPr>
      </w:pPr>
      <w:r>
        <w:rPr>
          <w:rFonts w:hint="eastAsia" w:ascii="宋体" w:hAnsi="宋体" w:eastAsia="宋体" w:cs="宋体"/>
          <w:color w:val="000000"/>
          <w:sz w:val="28"/>
          <w:szCs w:val="21"/>
        </w:rPr>
        <w:t>2、建设单位：</w:t>
      </w:r>
      <w:r>
        <w:rPr>
          <w:rFonts w:hint="eastAsia" w:ascii="宋体" w:hAnsi="宋体" w:eastAsia="宋体" w:cs="宋体"/>
          <w:color w:val="000000"/>
          <w:sz w:val="28"/>
          <w:szCs w:val="21"/>
          <w:lang w:eastAsia="zh-CN"/>
        </w:rPr>
        <w:t>山东润银生物化工股份有限公司</w:t>
      </w:r>
    </w:p>
    <w:p w14:paraId="6B033BA5">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3、建设性质：</w:t>
      </w:r>
      <w:r>
        <w:rPr>
          <w:rFonts w:hint="eastAsia" w:ascii="Times New Roman" w:hAnsi="Times New Roman" w:eastAsia="宋体" w:cs="Times New Roman"/>
          <w:color w:val="000000"/>
          <w:sz w:val="28"/>
          <w:szCs w:val="28"/>
        </w:rPr>
        <w:t>新建危险化学品储存项目</w:t>
      </w:r>
    </w:p>
    <w:p w14:paraId="4CFEE600">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4、建设地址：</w:t>
      </w:r>
      <w:r>
        <w:rPr>
          <w:rFonts w:hint="eastAsia" w:ascii="宋体" w:hAnsi="宋体" w:eastAsia="宋体" w:cs="宋体"/>
          <w:color w:val="000000"/>
          <w:sz w:val="28"/>
          <w:szCs w:val="22"/>
        </w:rPr>
        <w:t>山东润银生物化工股份有限公司厂区内</w:t>
      </w:r>
    </w:p>
    <w:p w14:paraId="656B5067">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5、工程总投资：</w:t>
      </w:r>
      <w:r>
        <w:rPr>
          <w:rFonts w:hint="eastAsia" w:ascii="宋体" w:hAnsi="宋体" w:eastAsia="宋体" w:cs="宋体"/>
          <w:color w:val="000000"/>
          <w:sz w:val="28"/>
          <w:szCs w:val="22"/>
          <w:lang w:val="en-US" w:eastAsia="zh-CN"/>
        </w:rPr>
        <w:t>500</w:t>
      </w:r>
      <w:r>
        <w:rPr>
          <w:rFonts w:hint="eastAsia" w:ascii="宋体" w:hAnsi="宋体" w:eastAsia="宋体" w:cs="宋体"/>
          <w:color w:val="000000"/>
          <w:sz w:val="28"/>
          <w:szCs w:val="22"/>
        </w:rPr>
        <w:t>万元，其中安全投资</w:t>
      </w:r>
      <w:r>
        <w:rPr>
          <w:rFonts w:hint="eastAsia" w:ascii="宋体" w:hAnsi="宋体" w:eastAsia="宋体" w:cs="宋体"/>
          <w:color w:val="000000"/>
          <w:sz w:val="28"/>
          <w:szCs w:val="22"/>
          <w:lang w:val="en-US" w:eastAsia="zh-CN"/>
        </w:rPr>
        <w:t>20</w:t>
      </w:r>
      <w:r>
        <w:rPr>
          <w:rFonts w:hint="eastAsia" w:ascii="宋体" w:hAnsi="宋体" w:eastAsia="宋体" w:cs="宋体"/>
          <w:color w:val="000000"/>
          <w:sz w:val="28"/>
          <w:szCs w:val="22"/>
        </w:rPr>
        <w:t>万元</w:t>
      </w:r>
    </w:p>
    <w:p w14:paraId="7D45D2FE">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6、主要建设内容：</w:t>
      </w:r>
    </w:p>
    <w:p w14:paraId="181E205A">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（1）储运工程：新建4台公称容积980m³的甲醇储罐（内浮顶）、3台甲醇输送泵、1台甲醇卸车泵及1套甲醇卸车鹤管；</w:t>
      </w:r>
    </w:p>
    <w:p w14:paraId="5192E027">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（2）配套设施：设置1套尾气处理设施；</w:t>
      </w:r>
    </w:p>
    <w:p w14:paraId="6550830F">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（3）公辅工程：</w:t>
      </w:r>
      <w:r>
        <w:rPr>
          <w:rFonts w:hint="eastAsia" w:ascii="宋体" w:hAnsi="宋体" w:eastAsia="宋体" w:cs="宋体"/>
          <w:color w:val="000000"/>
          <w:sz w:val="28"/>
          <w:szCs w:val="21"/>
          <w:lang w:val="en-US" w:eastAsia="zh-CN"/>
        </w:rPr>
        <w:t>新建初期雨水池/事故水收集池、2台1m³雨水罐、事故水提升泵2台；新增罐区防雷防静电措施、新增DCS控制系统、可燃气体报警系统、视频监控、消防设施、泡沫站</w:t>
      </w:r>
      <w:r>
        <w:rPr>
          <w:rFonts w:hint="eastAsia" w:ascii="宋体" w:hAnsi="宋体" w:eastAsia="宋体" w:cs="宋体"/>
          <w:color w:val="000000"/>
          <w:sz w:val="28"/>
          <w:szCs w:val="21"/>
        </w:rPr>
        <w:t>等</w:t>
      </w:r>
      <w:r>
        <w:rPr>
          <w:rFonts w:hint="eastAsia" w:ascii="宋体" w:hAnsi="宋体" w:eastAsia="宋体" w:cs="宋体"/>
          <w:color w:val="000000"/>
          <w:sz w:val="28"/>
          <w:szCs w:val="21"/>
          <w:lang w:eastAsia="zh-CN"/>
        </w:rPr>
        <w:t>；</w:t>
      </w:r>
      <w:r>
        <w:rPr>
          <w:rFonts w:hint="eastAsia" w:ascii="宋体" w:hAnsi="宋体" w:eastAsia="宋体" w:cs="宋体"/>
          <w:color w:val="000000"/>
          <w:sz w:val="28"/>
          <w:szCs w:val="21"/>
          <w:lang w:val="en-US" w:eastAsia="zh-CN"/>
        </w:rPr>
        <w:t>新建管架</w:t>
      </w:r>
      <w:r>
        <w:rPr>
          <w:rFonts w:hint="eastAsia" w:ascii="宋体" w:hAnsi="宋体" w:eastAsia="宋体" w:cs="宋体"/>
          <w:color w:val="000000"/>
          <w:sz w:val="28"/>
          <w:szCs w:val="21"/>
        </w:rPr>
        <w:t>。</w:t>
      </w:r>
    </w:p>
    <w:p w14:paraId="4978A3CE">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7、劳动定员</w:t>
      </w:r>
    </w:p>
    <w:p w14:paraId="735C21B1">
      <w:pPr>
        <w:adjustRightInd w:val="0"/>
        <w:snapToGrid w:val="0"/>
        <w:spacing w:line="360" w:lineRule="auto"/>
        <w:ind w:firstLine="560" w:firstLineChars="200"/>
        <w:rPr>
          <w:rFonts w:hint="eastAsia" w:ascii="宋体" w:hAnsi="宋体" w:eastAsia="宋体" w:cs="宋体"/>
          <w:color w:val="000000"/>
          <w:sz w:val="28"/>
          <w:szCs w:val="21"/>
        </w:rPr>
      </w:pPr>
      <w:r>
        <w:rPr>
          <w:rFonts w:hint="eastAsia" w:ascii="宋体" w:hAnsi="宋体" w:eastAsia="宋体" w:cs="宋体"/>
          <w:color w:val="000000"/>
          <w:sz w:val="28"/>
          <w:szCs w:val="21"/>
        </w:rPr>
        <w:t>该</w:t>
      </w:r>
      <w:r>
        <w:rPr>
          <w:rFonts w:hint="eastAsia" w:ascii="宋体" w:hAnsi="宋体" w:eastAsia="宋体" w:cs="宋体"/>
          <w:color w:val="000000"/>
          <w:sz w:val="28"/>
          <w:szCs w:val="21"/>
          <w:lang w:eastAsia="zh-CN"/>
        </w:rPr>
        <w:t>项目</w:t>
      </w:r>
      <w:r>
        <w:rPr>
          <w:rFonts w:hint="eastAsia" w:ascii="宋体" w:hAnsi="宋体" w:eastAsia="宋体" w:cs="宋体"/>
          <w:color w:val="000000"/>
          <w:sz w:val="28"/>
          <w:szCs w:val="21"/>
        </w:rPr>
        <w:t>劳动定员</w:t>
      </w:r>
      <w:r>
        <w:rPr>
          <w:rFonts w:hint="eastAsia" w:ascii="宋体" w:hAnsi="宋体" w:eastAsia="宋体" w:cs="宋体"/>
          <w:color w:val="000000"/>
          <w:kern w:val="0"/>
          <w:sz w:val="28"/>
          <w:szCs w:val="22"/>
          <w:lang w:val="en-US" w:eastAsia="zh-CN"/>
        </w:rPr>
        <w:t>6</w:t>
      </w:r>
      <w:r>
        <w:rPr>
          <w:rFonts w:hint="eastAsia" w:ascii="宋体" w:hAnsi="宋体" w:eastAsia="宋体" w:cs="宋体"/>
          <w:color w:val="000000"/>
          <w:kern w:val="0"/>
          <w:sz w:val="28"/>
          <w:szCs w:val="22"/>
          <w:lang w:val="zh-CN"/>
        </w:rPr>
        <w:t>人，</w:t>
      </w:r>
      <w:r>
        <w:rPr>
          <w:rFonts w:hint="eastAsia" w:ascii="宋体" w:hAnsi="宋体" w:eastAsia="宋体" w:cs="宋体"/>
          <w:color w:val="000000"/>
          <w:sz w:val="28"/>
          <w:szCs w:val="28"/>
        </w:rPr>
        <w:t>均为操作人员，为公司原有人员，无新招。实行“</w:t>
      </w:r>
      <w:r>
        <w:rPr>
          <w:rFonts w:hint="eastAsia" w:ascii="宋体" w:hAnsi="宋体" w:eastAsia="宋体" w:cs="宋体"/>
          <w:color w:val="000000"/>
          <w:sz w:val="28"/>
          <w:szCs w:val="21"/>
          <w:lang w:val="en-US" w:eastAsia="zh-CN"/>
        </w:rPr>
        <w:t>三</w:t>
      </w:r>
      <w:r>
        <w:rPr>
          <w:rFonts w:hint="eastAsia" w:ascii="宋体" w:hAnsi="宋体" w:eastAsia="宋体" w:cs="宋体"/>
          <w:color w:val="000000"/>
          <w:sz w:val="28"/>
          <w:szCs w:val="21"/>
        </w:rPr>
        <w:t>班</w:t>
      </w:r>
      <w:r>
        <w:rPr>
          <w:rFonts w:hint="eastAsia" w:ascii="宋体" w:hAnsi="宋体" w:eastAsia="宋体" w:cs="宋体"/>
          <w:color w:val="000000"/>
          <w:sz w:val="28"/>
          <w:szCs w:val="21"/>
          <w:lang w:val="en-US" w:eastAsia="zh-CN"/>
        </w:rPr>
        <w:t>二</w:t>
      </w:r>
      <w:r>
        <w:rPr>
          <w:rFonts w:hint="eastAsia" w:ascii="宋体" w:hAnsi="宋体" w:eastAsia="宋体" w:cs="宋体"/>
          <w:color w:val="000000"/>
          <w:sz w:val="28"/>
          <w:szCs w:val="21"/>
        </w:rPr>
        <w:t>运转</w:t>
      </w:r>
      <w:r>
        <w:rPr>
          <w:rFonts w:hint="eastAsia" w:ascii="宋体" w:hAnsi="宋体" w:eastAsia="宋体" w:cs="宋体"/>
          <w:color w:val="000000"/>
          <w:sz w:val="28"/>
          <w:szCs w:val="28"/>
        </w:rPr>
        <w:t>”</w:t>
      </w:r>
      <w:r>
        <w:rPr>
          <w:rFonts w:hint="eastAsia" w:ascii="宋体" w:hAnsi="宋体" w:eastAsia="宋体" w:cs="宋体"/>
          <w:color w:val="000000"/>
          <w:sz w:val="28"/>
          <w:szCs w:val="21"/>
        </w:rPr>
        <w:t>工作制</w:t>
      </w:r>
      <w:r>
        <w:rPr>
          <w:rFonts w:hint="eastAsia" w:ascii="宋体" w:hAnsi="宋体" w:eastAsia="宋体" w:cs="宋体"/>
          <w:color w:val="000000"/>
          <w:sz w:val="28"/>
          <w:szCs w:val="28"/>
        </w:rPr>
        <w:t>，每班工作</w:t>
      </w:r>
      <w:r>
        <w:rPr>
          <w:rFonts w:hint="eastAsia" w:ascii="宋体" w:hAnsi="宋体" w:eastAsia="宋体" w:cs="宋体"/>
          <w:color w:val="000000"/>
          <w:sz w:val="28"/>
          <w:szCs w:val="28"/>
          <w:lang w:val="en-US" w:eastAsia="zh-CN"/>
        </w:rPr>
        <w:t>12</w:t>
      </w:r>
      <w:r>
        <w:rPr>
          <w:rFonts w:hint="eastAsia" w:ascii="宋体" w:hAnsi="宋体" w:eastAsia="宋体" w:cs="宋体"/>
          <w:color w:val="000000"/>
          <w:sz w:val="28"/>
          <w:szCs w:val="28"/>
        </w:rPr>
        <w:t>小时，全年生产时间按300天计，折合7200小时。</w:t>
      </w:r>
    </w:p>
    <w:p w14:paraId="5E92CD7F">
      <w:pPr>
        <w:numPr>
          <w:ilvl w:val="0"/>
          <w:numId w:val="1"/>
        </w:numPr>
        <w:adjustRightInd w:val="0"/>
        <w:snapToGrid w:val="0"/>
        <w:spacing w:line="360" w:lineRule="auto"/>
        <w:ind w:firstLine="560" w:firstLineChars="200"/>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项目备案情况</w:t>
      </w:r>
    </w:p>
    <w:p w14:paraId="2036F94E">
      <w:pPr>
        <w:adjustRightInd w:val="0"/>
        <w:snapToGrid w:val="0"/>
        <w:spacing w:line="360" w:lineRule="auto"/>
        <w:ind w:firstLine="560" w:firstLineChars="200"/>
        <w:rPr>
          <w:rFonts w:hint="eastAsia" w:ascii="宋体" w:hAnsi="宋体" w:eastAsia="宋体" w:cs="Times New Roman"/>
          <w:color w:val="000000"/>
          <w:sz w:val="28"/>
          <w:szCs w:val="28"/>
        </w:rPr>
      </w:pPr>
      <w:r>
        <w:rPr>
          <w:rFonts w:hint="eastAsia" w:ascii="宋体" w:hAnsi="宋体" w:eastAsia="宋体" w:cs="宋体"/>
          <w:color w:val="000000"/>
          <w:kern w:val="0"/>
          <w:sz w:val="28"/>
          <w:szCs w:val="22"/>
          <w:lang w:val="zh-CN"/>
        </w:rPr>
        <w:t>山东润银生物化工股份有限公司甲醇储存项目于2024年12月10日取得了建设项目备案证明，项目代码为2412-370923-04-01-495294，建设规模及内容为：项目在现有厂区内建设，主要建设4个980立方米的甲醇储罐</w:t>
      </w:r>
      <w:r>
        <w:rPr>
          <w:rFonts w:hint="eastAsia" w:ascii="宋体" w:hAnsi="宋体" w:eastAsia="宋体" w:cs="宋体"/>
          <w:color w:val="000000"/>
          <w:sz w:val="28"/>
          <w:szCs w:val="28"/>
        </w:rPr>
        <w:t>。</w:t>
      </w:r>
    </w:p>
    <w:p w14:paraId="506AA33C">
      <w:pPr>
        <w:keepNext/>
        <w:keepLines/>
        <w:widowControl w:val="0"/>
        <w:spacing w:before="340" w:after="330" w:line="360" w:lineRule="auto"/>
        <w:ind w:firstLine="0" w:firstLineChars="0"/>
        <w:jc w:val="center"/>
        <w:outlineLvl w:val="0"/>
        <w:rPr>
          <w:rFonts w:ascii="Times New Roman" w:hAnsi="Times New Roman" w:eastAsia="黑体" w:cs="Times New Roman"/>
          <w:b/>
          <w:color w:val="auto"/>
          <w:kern w:val="44"/>
          <w:sz w:val="44"/>
          <w:szCs w:val="20"/>
          <w:lang w:val="zh-CN" w:eastAsia="zh-CN" w:bidi="ar-SA"/>
        </w:rPr>
      </w:pPr>
    </w:p>
    <w:bookmarkEnd w:id="2"/>
    <w:bookmarkEnd w:id="3"/>
    <w:bookmarkEnd w:id="4"/>
    <w:bookmarkEnd w:id="5"/>
    <w:p w14:paraId="723A2016">
      <w:pPr>
        <w:rPr>
          <w:rFonts w:hint="eastAsia" w:ascii="Times New Roman" w:hAnsi="Times New Roman" w:eastAsia="黑体" w:cs="Times New Roman"/>
          <w:color w:val="auto"/>
          <w:kern w:val="2"/>
          <w:sz w:val="32"/>
          <w:szCs w:val="21"/>
          <w:lang w:val="zh-CN" w:eastAsia="zh-CN" w:bidi="ar-SA"/>
        </w:rPr>
      </w:pPr>
      <w:bookmarkStart w:id="7" w:name="_Toc102634408"/>
      <w:bookmarkStart w:id="8" w:name="_Toc102634259"/>
      <w:bookmarkStart w:id="9" w:name="_Toc102633982"/>
      <w:bookmarkStart w:id="10" w:name="_Toc188079886"/>
      <w:bookmarkStart w:id="11" w:name="_Toc15488"/>
      <w:bookmarkStart w:id="12" w:name="_Toc22578"/>
      <w:bookmarkStart w:id="13" w:name="_Toc192907202"/>
      <w:bookmarkStart w:id="14" w:name="_Toc102633908"/>
      <w:bookmarkStart w:id="15" w:name="_Toc15033755"/>
      <w:bookmarkStart w:id="16" w:name="_Toc24232"/>
      <w:bookmarkStart w:id="17" w:name="_Toc2367"/>
      <w:bookmarkStart w:id="18" w:name="_Toc188080068"/>
      <w:bookmarkStart w:id="19" w:name="_Toc238007575"/>
      <w:bookmarkStart w:id="20" w:name="_Toc272364537"/>
      <w:bookmarkStart w:id="21" w:name="_Toc19785"/>
      <w:bookmarkStart w:id="22" w:name="_Toc198026274"/>
      <w:r>
        <w:rPr>
          <w:rFonts w:hint="eastAsia" w:ascii="Times New Roman" w:hAnsi="Times New Roman" w:eastAsia="黑体" w:cs="Times New Roman"/>
          <w:color w:val="auto"/>
          <w:kern w:val="2"/>
          <w:sz w:val="32"/>
          <w:szCs w:val="21"/>
          <w:lang w:val="zh-CN" w:eastAsia="zh-CN" w:bidi="ar-SA"/>
        </w:rPr>
        <w:br w:type="page"/>
      </w:r>
    </w:p>
    <w:p w14:paraId="4EC61E7B">
      <w:pPr>
        <w:pageBreakBefore/>
        <w:widowControl w:val="0"/>
        <w:spacing w:before="389" w:beforeLines="100" w:after="389" w:afterLines="100" w:line="360" w:lineRule="auto"/>
        <w:jc w:val="center"/>
        <w:outlineLvl w:val="0"/>
        <w:rPr>
          <w:rFonts w:hint="eastAsia" w:ascii="Times New Roman" w:hAnsi="Times New Roman" w:eastAsia="黑体" w:cs="Times New Roman"/>
          <w:color w:val="auto"/>
          <w:kern w:val="2"/>
          <w:sz w:val="32"/>
          <w:szCs w:val="21"/>
          <w:lang w:val="zh-CN" w:eastAsia="zh-CN" w:bidi="ar-SA"/>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14:paraId="581FAF3B">
      <w:pPr>
        <w:pStyle w:val="13"/>
        <w:widowControl w:val="0"/>
        <w:spacing w:before="389" w:after="389" w:line="360" w:lineRule="auto"/>
        <w:rPr>
          <w:rFonts w:ascii="黑体" w:cs="黑体"/>
          <w:color w:val="000000"/>
        </w:rPr>
      </w:pPr>
      <w:r>
        <w:rPr>
          <w:rFonts w:hint="eastAsia"/>
          <w:color w:val="000000"/>
          <w:lang w:val="zh-CN"/>
        </w:rPr>
        <w:t>第四章</w:t>
      </w:r>
      <w:r>
        <w:rPr>
          <w:rFonts w:hint="eastAsia"/>
          <w:color w:val="000000"/>
        </w:rPr>
        <w:t xml:space="preserve"> </w:t>
      </w:r>
      <w:r>
        <w:rPr>
          <w:rFonts w:hint="eastAsia"/>
          <w:color w:val="000000"/>
          <w:lang w:val="zh-CN"/>
        </w:rPr>
        <w:t>评价单元划分和评价方法选择</w:t>
      </w:r>
    </w:p>
    <w:p w14:paraId="5EAC38A9">
      <w:pPr>
        <w:widowControl w:val="0"/>
        <w:adjustRightInd w:val="0"/>
        <w:spacing w:before="194" w:beforeLines="50" w:after="194" w:afterLines="50" w:line="360" w:lineRule="auto"/>
        <w:jc w:val="center"/>
        <w:outlineLvl w:val="1"/>
        <w:rPr>
          <w:rFonts w:ascii="Times New Roman" w:hAnsi="Times New Roman" w:eastAsia="楷体_GB2312" w:cs="Times New Roman"/>
          <w:b/>
          <w:color w:val="000000"/>
          <w:kern w:val="2"/>
          <w:sz w:val="32"/>
          <w:szCs w:val="21"/>
          <w:lang w:val="en-US" w:eastAsia="zh-CN" w:bidi="ar-SA"/>
        </w:rPr>
      </w:pPr>
      <w:bookmarkStart w:id="23" w:name="_Toc314037410"/>
      <w:bookmarkEnd w:id="23"/>
      <w:bookmarkStart w:id="24" w:name="_Toc10634"/>
      <w:bookmarkStart w:id="25" w:name="_Toc6011"/>
      <w:bookmarkStart w:id="26" w:name="_Toc15140"/>
      <w:r>
        <w:rPr>
          <w:rFonts w:hint="eastAsia" w:ascii="Times New Roman" w:hAnsi="Times New Roman" w:eastAsia="楷体_GB2312" w:cs="Times New Roman"/>
          <w:b/>
          <w:color w:val="000000"/>
          <w:kern w:val="2"/>
          <w:sz w:val="32"/>
          <w:szCs w:val="21"/>
          <w:lang w:val="en-US" w:eastAsia="zh-CN" w:bidi="ar-SA"/>
        </w:rPr>
        <w:t xml:space="preserve">第一节 </w:t>
      </w:r>
      <w:bookmarkEnd w:id="24"/>
      <w:r>
        <w:rPr>
          <w:rFonts w:hint="eastAsia" w:ascii="Times New Roman" w:hAnsi="Times New Roman" w:eastAsia="楷体_GB2312" w:cs="Times New Roman"/>
          <w:b/>
          <w:color w:val="000000"/>
          <w:kern w:val="2"/>
          <w:sz w:val="32"/>
          <w:szCs w:val="21"/>
          <w:lang w:val="en-US" w:eastAsia="zh-CN" w:bidi="ar-SA"/>
        </w:rPr>
        <w:t>评价单元的划分</w:t>
      </w:r>
      <w:bookmarkEnd w:id="25"/>
      <w:bookmarkEnd w:id="26"/>
    </w:p>
    <w:p w14:paraId="36E2A951">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一、评价单元的划分原则</w:t>
      </w:r>
    </w:p>
    <w:p w14:paraId="7C1F728C">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划分评价单元是为评价目标和评价方法服务的，为便于评价工作的进行，提高评价工作的准确性，评价单元一般以生产工艺、工艺</w:t>
      </w:r>
      <w:r>
        <w:rPr>
          <w:rFonts w:hint="eastAsia" w:ascii="宋体" w:hAnsi="宋体" w:eastAsia="宋体" w:cs="Times New Roman"/>
          <w:color w:val="000000"/>
          <w:sz w:val="28"/>
          <w:szCs w:val="21"/>
          <w:lang w:val="en-US" w:eastAsia="zh-CN"/>
        </w:rPr>
        <w:t>设施</w:t>
      </w:r>
      <w:r>
        <w:rPr>
          <w:rFonts w:hint="eastAsia" w:ascii="宋体" w:hAnsi="宋体" w:eastAsia="宋体" w:cs="Times New Roman"/>
          <w:color w:val="000000"/>
          <w:sz w:val="28"/>
          <w:szCs w:val="21"/>
        </w:rPr>
        <w:t>、物料的特点和特征与危险有害因素的类别、分布，有机结合起来进行划分，还可以按评价的要求将一个评价单元再划分为若干个子单元或更细致的单元。由于评价要求和目的不同，各类评价方法均有自身的特点，只要达到评价目的，评价单元的划分并不要求绝对一致。</w:t>
      </w:r>
    </w:p>
    <w:p w14:paraId="7E1B2F79">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评价单元的划分应遵循以下原则：</w:t>
      </w:r>
    </w:p>
    <w:p w14:paraId="43AB0A35">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1、以危险有害因素的类别为主划分评价单元</w:t>
      </w:r>
    </w:p>
    <w:p w14:paraId="48B53261">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（1）对工艺方案、总体布置及自然条件、社会环境等影响系统的危险有害因素的分析和评价，宜将整个系统作为一个评价单元。</w:t>
      </w:r>
    </w:p>
    <w:p w14:paraId="1A156634">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（2）将具有共性危险有害因素的场所和</w:t>
      </w:r>
      <w:r>
        <w:rPr>
          <w:rFonts w:hint="eastAsia" w:ascii="宋体" w:hAnsi="宋体" w:eastAsia="宋体" w:cs="Times New Roman"/>
          <w:color w:val="000000"/>
          <w:sz w:val="28"/>
          <w:szCs w:val="21"/>
          <w:lang w:val="en-US" w:eastAsia="zh-CN"/>
        </w:rPr>
        <w:t>设施</w:t>
      </w:r>
      <w:r>
        <w:rPr>
          <w:rFonts w:hint="eastAsia" w:ascii="宋体" w:hAnsi="宋体" w:eastAsia="宋体" w:cs="Times New Roman"/>
          <w:color w:val="000000"/>
          <w:sz w:val="28"/>
          <w:szCs w:val="21"/>
        </w:rPr>
        <w:t>划分为一个评价单元。</w:t>
      </w:r>
    </w:p>
    <w:p w14:paraId="21D89862">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①按危险、有害因素的类别各划分一个单元，再按工艺、物料、作业特点（即其潜在危险、有害因素的不同）划分子单元分别评价；</w:t>
      </w:r>
    </w:p>
    <w:p w14:paraId="2A00FE23">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②按有害因素（有害作业）的类别划分评价单元。</w:t>
      </w:r>
    </w:p>
    <w:p w14:paraId="7DCE53D9">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2、以</w:t>
      </w:r>
      <w:r>
        <w:rPr>
          <w:rFonts w:hint="eastAsia" w:ascii="宋体" w:hAnsi="宋体" w:eastAsia="宋体" w:cs="Times New Roman"/>
          <w:color w:val="000000"/>
          <w:sz w:val="28"/>
          <w:szCs w:val="21"/>
          <w:lang w:val="en-US" w:eastAsia="zh-CN"/>
        </w:rPr>
        <w:t>设备设施</w:t>
      </w:r>
      <w:r>
        <w:rPr>
          <w:rFonts w:hint="eastAsia" w:ascii="宋体" w:hAnsi="宋体" w:eastAsia="宋体" w:cs="Times New Roman"/>
          <w:color w:val="000000"/>
          <w:sz w:val="28"/>
          <w:szCs w:val="21"/>
        </w:rPr>
        <w:t>特征和物质特征划分评价单元</w:t>
      </w:r>
    </w:p>
    <w:p w14:paraId="50677733">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（1）按</w:t>
      </w:r>
      <w:r>
        <w:rPr>
          <w:rFonts w:hint="eastAsia" w:ascii="宋体" w:hAnsi="宋体" w:eastAsia="宋体" w:cs="Times New Roman"/>
          <w:color w:val="000000"/>
          <w:sz w:val="28"/>
          <w:szCs w:val="21"/>
          <w:lang w:val="en-US" w:eastAsia="zh-CN"/>
        </w:rPr>
        <w:t>设备设施</w:t>
      </w:r>
      <w:r>
        <w:rPr>
          <w:rFonts w:hint="eastAsia" w:ascii="宋体" w:hAnsi="宋体" w:eastAsia="宋体" w:cs="Times New Roman"/>
          <w:color w:val="000000"/>
          <w:sz w:val="28"/>
          <w:szCs w:val="21"/>
        </w:rPr>
        <w:t>的工艺功能划分</w:t>
      </w:r>
    </w:p>
    <w:p w14:paraId="7450BC8E">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（2）按布置的相对独立性划分</w:t>
      </w:r>
    </w:p>
    <w:p w14:paraId="526EAC1E">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①以安全距离、防火墙、防火堤、隔离带等与（其他）</w:t>
      </w:r>
      <w:r>
        <w:rPr>
          <w:rFonts w:hint="eastAsia" w:ascii="宋体" w:hAnsi="宋体" w:eastAsia="宋体" w:cs="Times New Roman"/>
          <w:color w:val="000000"/>
          <w:sz w:val="28"/>
          <w:szCs w:val="21"/>
          <w:lang w:val="en-US" w:eastAsia="zh-CN"/>
        </w:rPr>
        <w:t>设备设施</w:t>
      </w:r>
      <w:r>
        <w:rPr>
          <w:rFonts w:hint="eastAsia" w:ascii="宋体" w:hAnsi="宋体" w:eastAsia="宋体" w:cs="Times New Roman"/>
          <w:color w:val="000000"/>
          <w:sz w:val="28"/>
          <w:szCs w:val="21"/>
        </w:rPr>
        <w:t>隔开的区域或</w:t>
      </w:r>
      <w:r>
        <w:rPr>
          <w:rFonts w:hint="eastAsia" w:ascii="宋体" w:hAnsi="宋体" w:eastAsia="宋体" w:cs="Times New Roman"/>
          <w:color w:val="000000"/>
          <w:sz w:val="28"/>
          <w:szCs w:val="21"/>
          <w:lang w:val="en-US" w:eastAsia="zh-CN"/>
        </w:rPr>
        <w:t>设备设施</w:t>
      </w:r>
      <w:r>
        <w:rPr>
          <w:rFonts w:hint="eastAsia" w:ascii="宋体" w:hAnsi="宋体" w:eastAsia="宋体" w:cs="Times New Roman"/>
          <w:color w:val="000000"/>
          <w:sz w:val="28"/>
          <w:szCs w:val="21"/>
        </w:rPr>
        <w:t>部分作为一个评价单元；</w:t>
      </w:r>
    </w:p>
    <w:p w14:paraId="47B4968A">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②贮存区域内通常以一个或共同防火堤（防火墙、防火建筑物）内的贮罐、贮存空间作为一个评价单元。</w:t>
      </w:r>
    </w:p>
    <w:p w14:paraId="1DD47745">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（3）按工艺条件划分</w:t>
      </w:r>
    </w:p>
    <w:p w14:paraId="7B7B2186">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按操作温度、压力范围的不同，划分不同的评价单元；按开车、加料、卸车、正常运转、添加剂、检修等的不同作业条件划分评价单元。</w:t>
      </w:r>
    </w:p>
    <w:p w14:paraId="7D1CDDDA">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（4）按储存、处理危险物品的潜在化学能、毒性和危险物品的数量划分。</w:t>
      </w:r>
    </w:p>
    <w:p w14:paraId="3B77AED1">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①一个贮存区域内（如危险品库）贮存不同的危险物质，为了能够正确识别其相对危险性，可作不同单元处理；</w:t>
      </w:r>
    </w:p>
    <w:p w14:paraId="1EBFF7A0">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②为避免夸大评价单元的危险性，评价单元的可燃、易燃、易爆等物质应有最低限量。</w:t>
      </w:r>
    </w:p>
    <w:p w14:paraId="48DBF50C">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（5）按重点设备或区域危险划分</w:t>
      </w:r>
    </w:p>
    <w:p w14:paraId="1C2FCA17">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根据以往事故资料，将发生事故能导致停产、波及范围大、造成巨大损失和伤害的关键设备作为一个评价单元，将危险、有害因素大且资金密度大的区域作为一个评价单元，将危险、有害因素特别大的区域、</w:t>
      </w:r>
      <w:r>
        <w:rPr>
          <w:rFonts w:hint="eastAsia" w:ascii="宋体" w:hAnsi="宋体" w:eastAsia="宋体" w:cs="Times New Roman"/>
          <w:color w:val="000000"/>
          <w:sz w:val="28"/>
          <w:szCs w:val="21"/>
          <w:lang w:val="en-US" w:eastAsia="zh-CN"/>
        </w:rPr>
        <w:t>设备设施</w:t>
      </w:r>
      <w:r>
        <w:rPr>
          <w:rFonts w:hint="eastAsia" w:ascii="宋体" w:hAnsi="宋体" w:eastAsia="宋体" w:cs="Times New Roman"/>
          <w:color w:val="000000"/>
          <w:sz w:val="28"/>
          <w:szCs w:val="21"/>
        </w:rPr>
        <w:t>作为一个评价单元，将具有类似危险性潜能的单元合并为一个大评价单元。</w:t>
      </w:r>
    </w:p>
    <w:p w14:paraId="4092E1FB">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3、依据评价方法的有关规定划分评价单元。</w:t>
      </w:r>
    </w:p>
    <w:p w14:paraId="69563E5A">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二、评价单元的分析过程</w:t>
      </w:r>
    </w:p>
    <w:p w14:paraId="109DDFA5">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由于项目的地理位置应考虑地质、地形地貌、水文、气象条件、周围环境、交通运输条件、自然灾害、消防等方面的危险有害因素；厂区总平面布置主要从功能分区、防火间距和安全间距、风向、建筑物朝向、危险化学品道路、贮运等方面识别危险有害因素；建筑物从厂房的生产火灾危险性分类、耐火等级、结构、占地面积、防火间距、安全疏散等方面识别危险有害因素。故以危险有害因素的类别为主划分评价单元的原则，将项目选址、总平面布置及建筑作为一个综合评价单元。</w:t>
      </w:r>
    </w:p>
    <w:p w14:paraId="4E4A35CD">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由于</w:t>
      </w:r>
      <w:r>
        <w:rPr>
          <w:rFonts w:hint="eastAsia" w:ascii="宋体" w:hAnsi="宋体" w:eastAsia="宋体" w:cs="Times New Roman"/>
          <w:color w:val="000000"/>
          <w:sz w:val="28"/>
          <w:szCs w:val="21"/>
          <w:lang w:val="en-US" w:eastAsia="zh-CN"/>
        </w:rPr>
        <w:t>储罐</w:t>
      </w:r>
      <w:r>
        <w:rPr>
          <w:rFonts w:hint="eastAsia" w:ascii="宋体" w:hAnsi="宋体" w:eastAsia="宋体" w:cs="Times New Roman"/>
          <w:color w:val="000000"/>
          <w:sz w:val="28"/>
          <w:szCs w:val="21"/>
        </w:rPr>
        <w:t>区的设备、设施的危险、有害因素具有共性，根据具有共性危险有害因素的场所和</w:t>
      </w:r>
      <w:r>
        <w:rPr>
          <w:rFonts w:hint="eastAsia" w:ascii="宋体" w:hAnsi="宋体" w:eastAsia="宋体" w:cs="Times New Roman"/>
          <w:color w:val="000000"/>
          <w:sz w:val="28"/>
          <w:szCs w:val="21"/>
          <w:lang w:val="en-US" w:eastAsia="zh-CN"/>
        </w:rPr>
        <w:t>设备设施</w:t>
      </w:r>
      <w:r>
        <w:rPr>
          <w:rFonts w:hint="eastAsia" w:ascii="宋体" w:hAnsi="宋体" w:eastAsia="宋体" w:cs="Times New Roman"/>
          <w:color w:val="000000"/>
          <w:sz w:val="28"/>
          <w:szCs w:val="21"/>
        </w:rPr>
        <w:t>宜划分为一个评价单元的原则，将主要设备、设施划分为一个单元。</w:t>
      </w:r>
    </w:p>
    <w:p w14:paraId="58FB14F3">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由于各公用工程和辅助设施的功能不同，同时每一部分的布置具有相对独立性，故以</w:t>
      </w:r>
      <w:r>
        <w:rPr>
          <w:rFonts w:hint="eastAsia" w:ascii="宋体" w:hAnsi="宋体" w:eastAsia="宋体" w:cs="Times New Roman"/>
          <w:color w:val="000000"/>
          <w:sz w:val="28"/>
          <w:szCs w:val="21"/>
          <w:lang w:val="en-US" w:eastAsia="zh-CN"/>
        </w:rPr>
        <w:t>设备设施</w:t>
      </w:r>
      <w:r>
        <w:rPr>
          <w:rFonts w:hint="eastAsia" w:ascii="宋体" w:hAnsi="宋体" w:eastAsia="宋体" w:cs="Times New Roman"/>
          <w:color w:val="000000"/>
          <w:sz w:val="28"/>
          <w:szCs w:val="21"/>
        </w:rPr>
        <w:t>特征和物质特征划分评价单元的原则，将公用工程和辅助设施划分为一个评价单元。</w:t>
      </w:r>
    </w:p>
    <w:p w14:paraId="5F9FD53C">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安全管理是以保证该</w:t>
      </w:r>
      <w:r>
        <w:rPr>
          <w:rFonts w:hint="eastAsia" w:ascii="宋体" w:hAnsi="宋体" w:eastAsia="宋体" w:cs="Times New Roman"/>
          <w:color w:val="000000"/>
          <w:sz w:val="28"/>
          <w:szCs w:val="21"/>
          <w:lang w:eastAsia="zh-CN"/>
        </w:rPr>
        <w:t>项目</w:t>
      </w:r>
      <w:r>
        <w:rPr>
          <w:rFonts w:hint="eastAsia" w:ascii="宋体" w:hAnsi="宋体" w:eastAsia="宋体" w:cs="Times New Roman"/>
          <w:color w:val="000000"/>
          <w:sz w:val="28"/>
          <w:szCs w:val="21"/>
        </w:rPr>
        <w:t>建成后生产过程安全为目的的现代化、科学化的管理。它包括：管理制度的制订、从业人员的资格及人员培训、安全管理组织的设置、事故应急救援预案的建立与演练等方面，它作为评价对象的一个相对独立部分，宜划分为一个评价单元进行评价。</w:t>
      </w:r>
    </w:p>
    <w:p w14:paraId="55B67E2E">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三、评价单元的划分结果</w:t>
      </w:r>
    </w:p>
    <w:p w14:paraId="3DBD614E">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根据上述常用的评价单元划分原则和方法，按照《安全验收评价导则》（AQ8003-2007）的要求，结合该</w:t>
      </w:r>
      <w:r>
        <w:rPr>
          <w:rFonts w:hint="eastAsia" w:ascii="宋体" w:hAnsi="宋体" w:eastAsia="宋体" w:cs="Times New Roman"/>
          <w:color w:val="000000"/>
          <w:sz w:val="28"/>
          <w:szCs w:val="21"/>
          <w:lang w:eastAsia="zh-CN"/>
        </w:rPr>
        <w:t>项目</w:t>
      </w:r>
      <w:r>
        <w:rPr>
          <w:rFonts w:hint="eastAsia" w:ascii="宋体" w:hAnsi="宋体" w:eastAsia="宋体" w:cs="Times New Roman"/>
          <w:color w:val="000000"/>
          <w:sz w:val="28"/>
          <w:szCs w:val="21"/>
        </w:rPr>
        <w:t>储存工艺特点和总图布置的实际情况，本次评价划分了以下四个评价单元：</w:t>
      </w:r>
    </w:p>
    <w:p w14:paraId="7E1EB046">
      <w:pPr>
        <w:widowControl/>
        <w:adjustRightInd w:val="0"/>
        <w:snapToGrid w:val="0"/>
        <w:spacing w:line="360" w:lineRule="auto"/>
        <w:ind w:firstLine="0" w:firstLineChars="0"/>
        <w:jc w:val="center"/>
        <w:outlineLvl w:val="3"/>
        <w:rPr>
          <w:rFonts w:hint="eastAsia" w:ascii="黑体" w:hAnsi="黑体" w:eastAsia="黑体" w:cs="黑体"/>
          <w:color w:val="000000"/>
          <w:kern w:val="0"/>
          <w:sz w:val="24"/>
          <w:szCs w:val="24"/>
          <w:lang w:val="en-GB"/>
        </w:rPr>
      </w:pPr>
      <w:r>
        <w:rPr>
          <w:rFonts w:hint="eastAsia" w:ascii="黑体" w:hAnsi="黑体" w:eastAsia="黑体" w:cs="黑体"/>
          <w:color w:val="000000"/>
          <w:kern w:val="0"/>
          <w:sz w:val="24"/>
          <w:szCs w:val="24"/>
          <w:lang w:val="en-GB"/>
        </w:rPr>
        <w:t>表4.1-1 评价单元划分表</w:t>
      </w:r>
    </w:p>
    <w:tbl>
      <w:tblPr>
        <w:tblStyle w:val="5"/>
        <w:tblW w:w="5000" w:type="pct"/>
        <w:tblInd w:w="0" w:type="dxa"/>
        <w:tblLayout w:type="autofit"/>
        <w:tblCellMar>
          <w:top w:w="57" w:type="dxa"/>
          <w:left w:w="57" w:type="dxa"/>
          <w:bottom w:w="57" w:type="dxa"/>
          <w:right w:w="57" w:type="dxa"/>
        </w:tblCellMar>
      </w:tblPr>
      <w:tblGrid>
        <w:gridCol w:w="799"/>
        <w:gridCol w:w="2216"/>
        <w:gridCol w:w="6171"/>
      </w:tblGrid>
      <w:tr w14:paraId="60E390F7">
        <w:tblPrEx>
          <w:tblCellMar>
            <w:top w:w="57" w:type="dxa"/>
            <w:left w:w="57" w:type="dxa"/>
            <w:bottom w:w="57" w:type="dxa"/>
            <w:right w:w="57" w:type="dxa"/>
          </w:tblCellMar>
        </w:tblPrEx>
        <w:trPr>
          <w:trHeight w:val="340" w:hRule="atLeast"/>
        </w:trPr>
        <w:tc>
          <w:tcPr>
            <w:tcW w:w="435" w:type="pct"/>
            <w:tcBorders>
              <w:top w:val="single" w:color="000000" w:sz="12" w:space="0"/>
              <w:left w:val="single" w:color="000000" w:sz="12" w:space="0"/>
              <w:bottom w:val="single" w:color="000000" w:sz="6" w:space="0"/>
              <w:right w:val="single" w:color="000000" w:sz="6" w:space="0"/>
            </w:tcBorders>
            <w:vAlign w:val="center"/>
          </w:tcPr>
          <w:p w14:paraId="6049736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序号</w:t>
            </w:r>
          </w:p>
        </w:tc>
        <w:tc>
          <w:tcPr>
            <w:tcW w:w="1206" w:type="pct"/>
            <w:tcBorders>
              <w:top w:val="single" w:color="000000" w:sz="12" w:space="0"/>
              <w:left w:val="single" w:color="000000" w:sz="6" w:space="0"/>
              <w:bottom w:val="single" w:color="000000" w:sz="6" w:space="0"/>
              <w:right w:val="single" w:color="000000" w:sz="6" w:space="0"/>
            </w:tcBorders>
            <w:vAlign w:val="center"/>
          </w:tcPr>
          <w:p w14:paraId="475773C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单元</w:t>
            </w:r>
          </w:p>
        </w:tc>
        <w:tc>
          <w:tcPr>
            <w:tcW w:w="3359" w:type="pct"/>
            <w:tcBorders>
              <w:top w:val="single" w:color="000000" w:sz="12" w:space="0"/>
              <w:left w:val="single" w:color="000000" w:sz="6" w:space="0"/>
              <w:bottom w:val="single" w:color="000000" w:sz="6" w:space="0"/>
              <w:right w:val="single" w:color="000000" w:sz="12" w:space="0"/>
            </w:tcBorders>
            <w:vAlign w:val="center"/>
          </w:tcPr>
          <w:p w14:paraId="34FC9B3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主要内容</w:t>
            </w:r>
          </w:p>
        </w:tc>
      </w:tr>
      <w:tr w14:paraId="00FA06A6">
        <w:tblPrEx>
          <w:tblCellMar>
            <w:top w:w="57" w:type="dxa"/>
            <w:left w:w="57" w:type="dxa"/>
            <w:bottom w:w="57" w:type="dxa"/>
            <w:right w:w="57" w:type="dxa"/>
          </w:tblCellMar>
        </w:tblPrEx>
        <w:trPr>
          <w:trHeight w:val="340" w:hRule="atLeast"/>
        </w:trPr>
        <w:tc>
          <w:tcPr>
            <w:tcW w:w="435" w:type="pct"/>
            <w:tcBorders>
              <w:top w:val="single" w:color="000000" w:sz="6" w:space="0"/>
              <w:left w:val="single" w:color="000000" w:sz="12" w:space="0"/>
              <w:bottom w:val="single" w:color="000000" w:sz="6" w:space="0"/>
              <w:right w:val="single" w:color="000000" w:sz="6" w:space="0"/>
            </w:tcBorders>
            <w:vAlign w:val="center"/>
          </w:tcPr>
          <w:p w14:paraId="6886D27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1</w:t>
            </w:r>
          </w:p>
        </w:tc>
        <w:tc>
          <w:tcPr>
            <w:tcW w:w="1206" w:type="pct"/>
            <w:tcBorders>
              <w:top w:val="single" w:color="000000" w:sz="6" w:space="0"/>
              <w:left w:val="single" w:color="000000" w:sz="6" w:space="0"/>
              <w:bottom w:val="single" w:color="000000" w:sz="6" w:space="0"/>
              <w:right w:val="single" w:color="000000" w:sz="6" w:space="0"/>
            </w:tcBorders>
            <w:vAlign w:val="center"/>
          </w:tcPr>
          <w:p w14:paraId="1278D44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选址、总图布置单元</w:t>
            </w:r>
          </w:p>
        </w:tc>
        <w:tc>
          <w:tcPr>
            <w:tcW w:w="3359" w:type="pct"/>
            <w:tcBorders>
              <w:top w:val="single" w:color="000000" w:sz="6" w:space="0"/>
              <w:left w:val="single" w:color="000000" w:sz="6" w:space="0"/>
              <w:bottom w:val="single" w:color="000000" w:sz="6" w:space="0"/>
              <w:right w:val="single" w:color="000000" w:sz="12" w:space="0"/>
            </w:tcBorders>
            <w:vAlign w:val="center"/>
          </w:tcPr>
          <w:p w14:paraId="705F9E2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选址、总图布置</w:t>
            </w:r>
          </w:p>
        </w:tc>
      </w:tr>
      <w:tr w14:paraId="0AD171CA">
        <w:tblPrEx>
          <w:tblCellMar>
            <w:top w:w="57" w:type="dxa"/>
            <w:left w:w="57" w:type="dxa"/>
            <w:bottom w:w="57" w:type="dxa"/>
            <w:right w:w="57" w:type="dxa"/>
          </w:tblCellMar>
        </w:tblPrEx>
        <w:trPr>
          <w:trHeight w:val="340" w:hRule="atLeast"/>
        </w:trPr>
        <w:tc>
          <w:tcPr>
            <w:tcW w:w="435" w:type="pct"/>
            <w:tcBorders>
              <w:top w:val="single" w:color="000000" w:sz="6" w:space="0"/>
              <w:left w:val="single" w:color="000000" w:sz="12" w:space="0"/>
              <w:bottom w:val="single" w:color="000000" w:sz="6" w:space="0"/>
              <w:right w:val="single" w:color="000000" w:sz="6" w:space="0"/>
            </w:tcBorders>
            <w:vAlign w:val="center"/>
          </w:tcPr>
          <w:p w14:paraId="722D786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2</w:t>
            </w:r>
          </w:p>
        </w:tc>
        <w:tc>
          <w:tcPr>
            <w:tcW w:w="1206" w:type="pct"/>
            <w:tcBorders>
              <w:top w:val="single" w:color="000000" w:sz="6" w:space="0"/>
              <w:left w:val="single" w:color="000000" w:sz="6" w:space="0"/>
              <w:bottom w:val="single" w:color="000000" w:sz="6" w:space="0"/>
              <w:right w:val="single" w:color="000000" w:sz="6" w:space="0"/>
            </w:tcBorders>
            <w:vAlign w:val="center"/>
          </w:tcPr>
          <w:p w14:paraId="2F4100A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设备、设施单元</w:t>
            </w:r>
          </w:p>
        </w:tc>
        <w:tc>
          <w:tcPr>
            <w:tcW w:w="3359" w:type="pct"/>
            <w:tcBorders>
              <w:top w:val="single" w:color="000000" w:sz="6" w:space="0"/>
              <w:left w:val="single" w:color="000000" w:sz="6" w:space="0"/>
              <w:bottom w:val="single" w:color="000000" w:sz="6" w:space="0"/>
              <w:right w:val="single" w:color="000000" w:sz="12" w:space="0"/>
            </w:tcBorders>
            <w:vAlign w:val="center"/>
          </w:tcPr>
          <w:p w14:paraId="0878205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储存设备和安全设施</w:t>
            </w:r>
          </w:p>
        </w:tc>
      </w:tr>
      <w:tr w14:paraId="63E3EB19">
        <w:tblPrEx>
          <w:tblCellMar>
            <w:top w:w="57" w:type="dxa"/>
            <w:left w:w="57" w:type="dxa"/>
            <w:bottom w:w="57" w:type="dxa"/>
            <w:right w:w="57" w:type="dxa"/>
          </w:tblCellMar>
        </w:tblPrEx>
        <w:trPr>
          <w:trHeight w:val="340" w:hRule="atLeast"/>
        </w:trPr>
        <w:tc>
          <w:tcPr>
            <w:tcW w:w="435" w:type="pct"/>
            <w:tcBorders>
              <w:top w:val="single" w:color="000000" w:sz="6" w:space="0"/>
              <w:left w:val="single" w:color="000000" w:sz="12" w:space="0"/>
              <w:bottom w:val="single" w:color="000000" w:sz="6" w:space="0"/>
              <w:right w:val="single" w:color="000000" w:sz="6" w:space="0"/>
            </w:tcBorders>
            <w:vAlign w:val="center"/>
          </w:tcPr>
          <w:p w14:paraId="5BF04FF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3</w:t>
            </w:r>
          </w:p>
        </w:tc>
        <w:tc>
          <w:tcPr>
            <w:tcW w:w="1206" w:type="pct"/>
            <w:tcBorders>
              <w:top w:val="single" w:color="000000" w:sz="6" w:space="0"/>
              <w:left w:val="single" w:color="000000" w:sz="6" w:space="0"/>
              <w:bottom w:val="single" w:color="000000" w:sz="6" w:space="0"/>
              <w:right w:val="single" w:color="000000" w:sz="6" w:space="0"/>
            </w:tcBorders>
            <w:vAlign w:val="center"/>
          </w:tcPr>
          <w:p w14:paraId="02F21AD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公用辅助工程单元</w:t>
            </w:r>
          </w:p>
        </w:tc>
        <w:tc>
          <w:tcPr>
            <w:tcW w:w="3359" w:type="pct"/>
            <w:tcBorders>
              <w:top w:val="single" w:color="000000" w:sz="6" w:space="0"/>
              <w:left w:val="single" w:color="000000" w:sz="6" w:space="0"/>
              <w:bottom w:val="single" w:color="000000" w:sz="6" w:space="0"/>
              <w:right w:val="single" w:color="000000" w:sz="12" w:space="0"/>
            </w:tcBorders>
            <w:vAlign w:val="center"/>
          </w:tcPr>
          <w:p w14:paraId="2AE2465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供配电、给排水、自控、消防、防雷防静电、电讯、供热、供气、等</w:t>
            </w:r>
          </w:p>
        </w:tc>
      </w:tr>
      <w:tr w14:paraId="64B3E166">
        <w:tblPrEx>
          <w:tblCellMar>
            <w:top w:w="57" w:type="dxa"/>
            <w:left w:w="57" w:type="dxa"/>
            <w:bottom w:w="57" w:type="dxa"/>
            <w:right w:w="57" w:type="dxa"/>
          </w:tblCellMar>
        </w:tblPrEx>
        <w:trPr>
          <w:trHeight w:val="340" w:hRule="atLeast"/>
        </w:trPr>
        <w:tc>
          <w:tcPr>
            <w:tcW w:w="435" w:type="pct"/>
            <w:tcBorders>
              <w:top w:val="single" w:color="000000" w:sz="6" w:space="0"/>
              <w:left w:val="single" w:color="000000" w:sz="12" w:space="0"/>
              <w:bottom w:val="single" w:color="000000" w:sz="12" w:space="0"/>
              <w:right w:val="single" w:color="000000" w:sz="6" w:space="0"/>
            </w:tcBorders>
            <w:vAlign w:val="center"/>
          </w:tcPr>
          <w:p w14:paraId="18504B8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4</w:t>
            </w:r>
          </w:p>
        </w:tc>
        <w:tc>
          <w:tcPr>
            <w:tcW w:w="1206" w:type="pct"/>
            <w:tcBorders>
              <w:top w:val="single" w:color="000000" w:sz="6" w:space="0"/>
              <w:left w:val="single" w:color="000000" w:sz="6" w:space="0"/>
              <w:bottom w:val="single" w:color="000000" w:sz="12" w:space="0"/>
              <w:right w:val="single" w:color="000000" w:sz="6" w:space="0"/>
            </w:tcBorders>
            <w:vAlign w:val="center"/>
          </w:tcPr>
          <w:p w14:paraId="240744B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安全管理单元</w:t>
            </w:r>
          </w:p>
        </w:tc>
        <w:tc>
          <w:tcPr>
            <w:tcW w:w="3359" w:type="pct"/>
            <w:tcBorders>
              <w:top w:val="single" w:color="000000" w:sz="6" w:space="0"/>
              <w:left w:val="single" w:color="000000" w:sz="6" w:space="0"/>
              <w:bottom w:val="single" w:color="000000" w:sz="12" w:space="0"/>
              <w:right w:val="single" w:color="000000" w:sz="12" w:space="0"/>
            </w:tcBorders>
            <w:vAlign w:val="center"/>
          </w:tcPr>
          <w:p w14:paraId="00DB7EA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安全生产管理组织机构、管理制度、操作规程、应急救援、信息化建设、人员培训和日常管理</w:t>
            </w:r>
          </w:p>
        </w:tc>
      </w:tr>
    </w:tbl>
    <w:p w14:paraId="1990D3DF">
      <w:pPr>
        <w:widowControl w:val="0"/>
        <w:spacing w:before="194" w:beforeLines="50" w:after="194" w:afterLines="50" w:line="360" w:lineRule="auto"/>
        <w:jc w:val="center"/>
        <w:outlineLvl w:val="1"/>
        <w:rPr>
          <w:rFonts w:ascii="Times New Roman" w:hAnsi="Times New Roman" w:eastAsia="楷体_GB2312" w:cs="Times New Roman"/>
          <w:b/>
          <w:color w:val="000000"/>
          <w:kern w:val="2"/>
          <w:sz w:val="32"/>
          <w:szCs w:val="21"/>
          <w:lang w:val="zh-CN" w:eastAsia="zh-CN" w:bidi="ar-SA"/>
        </w:rPr>
      </w:pPr>
      <w:bookmarkStart w:id="27" w:name="_Toc4741"/>
      <w:bookmarkStart w:id="28" w:name="_Toc4123"/>
      <w:r>
        <w:rPr>
          <w:rFonts w:hint="eastAsia" w:ascii="Times New Roman" w:hAnsi="Times New Roman" w:eastAsia="楷体_GB2312" w:cs="Times New Roman"/>
          <w:b/>
          <w:color w:val="000000"/>
          <w:kern w:val="2"/>
          <w:sz w:val="32"/>
          <w:szCs w:val="21"/>
          <w:lang w:val="zh-CN" w:eastAsia="zh-CN" w:bidi="ar-SA"/>
        </w:rPr>
        <w:t>第</w:t>
      </w:r>
      <w:r>
        <w:rPr>
          <w:rFonts w:hint="eastAsia" w:ascii="Times New Roman" w:hAnsi="Times New Roman" w:eastAsia="楷体_GB2312" w:cs="Times New Roman"/>
          <w:b/>
          <w:color w:val="000000"/>
          <w:kern w:val="2"/>
          <w:sz w:val="32"/>
          <w:szCs w:val="21"/>
          <w:lang w:val="en-US" w:eastAsia="zh-CN" w:bidi="ar-SA"/>
        </w:rPr>
        <w:t>二</w:t>
      </w:r>
      <w:r>
        <w:rPr>
          <w:rFonts w:hint="eastAsia" w:ascii="Times New Roman" w:hAnsi="Times New Roman" w:eastAsia="楷体_GB2312" w:cs="Times New Roman"/>
          <w:b/>
          <w:color w:val="000000"/>
          <w:kern w:val="2"/>
          <w:sz w:val="32"/>
          <w:szCs w:val="21"/>
          <w:lang w:val="zh-CN" w:eastAsia="zh-CN" w:bidi="ar-SA"/>
        </w:rPr>
        <w:t>节</w:t>
      </w:r>
      <w:r>
        <w:rPr>
          <w:rFonts w:hint="eastAsia" w:ascii="Times New Roman" w:hAnsi="Times New Roman" w:eastAsia="楷体_GB2312" w:cs="Times New Roman"/>
          <w:b/>
          <w:color w:val="000000"/>
          <w:kern w:val="2"/>
          <w:sz w:val="32"/>
          <w:szCs w:val="21"/>
          <w:lang w:val="en-US" w:eastAsia="zh-CN" w:bidi="ar-SA"/>
        </w:rPr>
        <w:t xml:space="preserve"> 评价方法的选择</w:t>
      </w:r>
      <w:bookmarkEnd w:id="27"/>
      <w:bookmarkEnd w:id="28"/>
    </w:p>
    <w:p w14:paraId="22D1975B">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一、评价方法的介绍</w:t>
      </w:r>
    </w:p>
    <w:p w14:paraId="2DFC8FAA">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安全评价方法是进行定性、定量安全评价的工具。目前，安全评价方法有很多种，每种评价方法都有其适用范围和应用条件，选择安全评价方法时应根据安全评价的特点、具体条件和需要，针对被评价系统的实际情况、特点和和评价目标，经过认真地分析、比较来选择；必要时，应根据评价目标的要求，选择几种安全评价方法进行安全评价，互相补充、分析综合和相互验证，以提高评价结果的可靠性。</w:t>
      </w:r>
    </w:p>
    <w:p w14:paraId="205D8E65">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1、安全检查表分析法</w:t>
      </w:r>
    </w:p>
    <w:p w14:paraId="150C4C69">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根据有关安全规范、标准、制度及其他系统分析方法分析的结果，系统地对一个生产系统或设备进行科学的分析，找出各种不安全因素，依据检查项目把找出的不安全因素以问题清单的形式制成表，以便于实施检查和安全管理，这种表称为安全检查表。安全检查表分析法就是制订安全检查表，并依据此表实施安全检查和诊断的系统安全分析方法。</w:t>
      </w:r>
    </w:p>
    <w:p w14:paraId="24394F26">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安全检查表分析法的核心是安全检查表的编制和实施。安全检查表必须包括系统或子系统的全部主要检查点，不能忽略那些主要的、潜在的危险因素，而且还应从检查点中发现与之有关的其他因素。</w:t>
      </w:r>
    </w:p>
    <w:p w14:paraId="53BCA353">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安全检查表分析利用检查条款按照相关的标准、规范等对已知的危险类别、设计缺陷以及与一般工艺设备、操作、管理有关的潜在危险性和有害特性进行判别检查。</w:t>
      </w:r>
    </w:p>
    <w:p w14:paraId="7D13E383">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安全检查表分析可适用于工程、系统的各个阶段。安全检查表可以评价物质、设备和工艺，常用于专门设计的评价，检查表也能用于在新工艺的早期开发阶段，判定和估测危险，还可以对已经运行多年的</w:t>
      </w:r>
      <w:r>
        <w:rPr>
          <w:rFonts w:hint="eastAsia" w:ascii="宋体" w:hAnsi="宋体" w:eastAsia="宋体" w:cs="Times New Roman"/>
          <w:color w:val="000000"/>
          <w:sz w:val="28"/>
          <w:szCs w:val="21"/>
          <w:lang w:val="en-US" w:eastAsia="zh-CN"/>
        </w:rPr>
        <w:t>设备设施</w:t>
      </w:r>
      <w:r>
        <w:rPr>
          <w:rFonts w:hint="eastAsia" w:ascii="宋体" w:hAnsi="宋体" w:eastAsia="宋体" w:cs="Times New Roman"/>
          <w:color w:val="000000"/>
          <w:sz w:val="28"/>
          <w:szCs w:val="21"/>
        </w:rPr>
        <w:t>的危险进行评价。</w:t>
      </w:r>
    </w:p>
    <w:p w14:paraId="1ECA4540">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2、危险度评价法</w:t>
      </w:r>
    </w:p>
    <w:p w14:paraId="4EC0DCB2">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危险度评价法是一种危险指数评价法，通过从物质、容量、温度、压力和操作五个方面，对单元内潜在危险因素进行量化分析，然后累计分值，从而确定单元的危险等级。危险等级分为三个等级：高度危险（Ⅰ级）、中度危险（Ⅱ级）与低度危险（Ⅲ级）。</w:t>
      </w:r>
    </w:p>
    <w:p w14:paraId="3AA30BD2">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3、预先危险性分析</w:t>
      </w:r>
    </w:p>
    <w:p w14:paraId="5583F4A1">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预先危险分析（PHA）也可称为危险性预先分析，对系统存在的危险因素类型、来源、出现的条件，导致事故的结果以及有关防范措施等作一概略分析方法。</w:t>
      </w:r>
    </w:p>
    <w:p w14:paraId="71BB4C11">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4、个人风险及社会风险计算</w:t>
      </w:r>
    </w:p>
    <w:p w14:paraId="35FED966">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根据</w:t>
      </w:r>
      <w:r>
        <w:rPr>
          <w:rFonts w:hint="eastAsia" w:ascii="宋体" w:hAnsi="宋体" w:eastAsia="宋体" w:cs="Times New Roman"/>
          <w:color w:val="000000"/>
          <w:sz w:val="28"/>
          <w:szCs w:val="28"/>
        </w:rPr>
        <w:t>《危险化学品生产装置和储存设施风险基准》（GB36894-2018）和《危险化学品生产装置和储存设施外部安全防护距离确定方法》（GB/T37243-2019）的</w:t>
      </w:r>
      <w:r>
        <w:rPr>
          <w:rFonts w:hint="eastAsia" w:ascii="宋体" w:hAnsi="宋体" w:eastAsia="宋体" w:cs="Times New Roman"/>
          <w:color w:val="000000"/>
          <w:sz w:val="28"/>
          <w:szCs w:val="21"/>
        </w:rPr>
        <w:t>要求，采用中国安全生产科学研究院《重大危险源区域定量风险评价软件》2.1版进行定量风险评价，确定事故后果及个人和社会风险值。</w:t>
      </w:r>
    </w:p>
    <w:p w14:paraId="52752784">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二、安全评价方法的选择</w:t>
      </w:r>
    </w:p>
    <w:p w14:paraId="19A37A27">
      <w:pPr>
        <w:adjustRightInd w:val="0"/>
        <w:snapToGrid w:val="0"/>
        <w:spacing w:line="360" w:lineRule="auto"/>
        <w:ind w:firstLine="560" w:firstLineChars="200"/>
        <w:rPr>
          <w:rFonts w:hint="eastAsia" w:ascii="宋体" w:hAnsi="宋体" w:eastAsia="宋体" w:cs="Times New Roman"/>
          <w:color w:val="000000"/>
          <w:sz w:val="28"/>
          <w:szCs w:val="21"/>
        </w:rPr>
      </w:pPr>
      <w:r>
        <w:rPr>
          <w:rFonts w:hint="eastAsia" w:ascii="宋体" w:hAnsi="宋体" w:eastAsia="宋体" w:cs="Times New Roman"/>
          <w:color w:val="000000"/>
          <w:sz w:val="28"/>
          <w:szCs w:val="21"/>
        </w:rPr>
        <w:t>依据原国家安全生产监督管理总局《危险化学品建设项目安全评价细则（试行）》（安监总危化[2007]255号）及《安全验收评价导则》（AQ8003-2007）的要求，对该</w:t>
      </w:r>
      <w:r>
        <w:rPr>
          <w:rFonts w:hint="eastAsia" w:ascii="宋体" w:hAnsi="宋体" w:eastAsia="宋体" w:cs="Times New Roman"/>
          <w:color w:val="000000"/>
          <w:sz w:val="28"/>
          <w:szCs w:val="21"/>
          <w:lang w:eastAsia="zh-CN"/>
        </w:rPr>
        <w:t>项目</w:t>
      </w:r>
      <w:r>
        <w:rPr>
          <w:rFonts w:hint="eastAsia" w:ascii="宋体" w:hAnsi="宋体" w:eastAsia="宋体" w:cs="Times New Roman"/>
          <w:color w:val="000000"/>
          <w:sz w:val="28"/>
          <w:szCs w:val="21"/>
        </w:rPr>
        <w:t>安全设施竣工验收的安全评价，安全评价方法的选择应以安全检查表的方法为主，其他方面的安全评价为辅的原则，选择国际、国内通行的安全评价方法。故本次验收评价选用安全检查表法、预先危险性分析、危险度</w:t>
      </w:r>
      <w:r>
        <w:rPr>
          <w:rFonts w:hint="eastAsia" w:ascii="宋体" w:hAnsi="宋体" w:eastAsia="宋体" w:cs="Times New Roman"/>
          <w:color w:val="000000"/>
          <w:sz w:val="28"/>
          <w:szCs w:val="21"/>
          <w:lang w:eastAsia="zh-CN"/>
        </w:rPr>
        <w:t>、个人风险及社会风险计算</w:t>
      </w:r>
      <w:r>
        <w:rPr>
          <w:rFonts w:hint="eastAsia" w:ascii="宋体" w:hAnsi="宋体" w:eastAsia="宋体" w:cs="Times New Roman"/>
          <w:color w:val="000000"/>
          <w:sz w:val="28"/>
          <w:szCs w:val="21"/>
        </w:rPr>
        <w:t>对各个评价单元进行评价。对关键装置和重点部位采用危险度评价法。不同单元评价方法选择的具体情况如下：</w:t>
      </w:r>
    </w:p>
    <w:p w14:paraId="57156F2D">
      <w:pPr>
        <w:widowControl/>
        <w:adjustRightInd w:val="0"/>
        <w:snapToGrid w:val="0"/>
        <w:spacing w:line="360" w:lineRule="auto"/>
        <w:ind w:firstLine="0" w:firstLineChars="0"/>
        <w:jc w:val="center"/>
        <w:outlineLvl w:val="3"/>
        <w:rPr>
          <w:rFonts w:hint="eastAsia" w:ascii="黑体" w:hAnsi="黑体" w:eastAsia="黑体" w:cs="黑体"/>
          <w:color w:val="000000"/>
          <w:kern w:val="0"/>
          <w:sz w:val="24"/>
          <w:szCs w:val="24"/>
          <w:lang w:val="en-GB"/>
        </w:rPr>
      </w:pPr>
      <w:r>
        <w:rPr>
          <w:rFonts w:hint="eastAsia" w:ascii="黑体" w:hAnsi="黑体" w:eastAsia="黑体" w:cs="黑体"/>
          <w:color w:val="000000"/>
          <w:kern w:val="0"/>
          <w:sz w:val="24"/>
          <w:szCs w:val="24"/>
          <w:lang w:val="en-GB"/>
        </w:rPr>
        <w:t>表4.2-1 选用的安全评价方法</w:t>
      </w:r>
    </w:p>
    <w:tbl>
      <w:tblPr>
        <w:tblStyle w:val="5"/>
        <w:tblW w:w="499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57" w:type="dxa"/>
          <w:left w:w="57" w:type="dxa"/>
          <w:bottom w:w="57" w:type="dxa"/>
          <w:right w:w="57" w:type="dxa"/>
        </w:tblCellMar>
      </w:tblPr>
      <w:tblGrid>
        <w:gridCol w:w="2492"/>
        <w:gridCol w:w="1396"/>
        <w:gridCol w:w="990"/>
        <w:gridCol w:w="1860"/>
        <w:gridCol w:w="2441"/>
      </w:tblGrid>
      <w:tr w14:paraId="5856F8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57" w:type="pct"/>
            <w:tcBorders>
              <w:tl2br w:val="single" w:color="000000" w:sz="4" w:space="0"/>
            </w:tcBorders>
            <w:vAlign w:val="center"/>
          </w:tcPr>
          <w:p w14:paraId="5FB91F8E">
            <w:pPr>
              <w:keepNext w:val="0"/>
              <w:keepLines w:val="0"/>
              <w:suppressLineNumbers w:val="0"/>
              <w:adjustRightInd w:val="0"/>
              <w:snapToGrid w:val="0"/>
              <w:spacing w:before="0" w:beforeAutospacing="0" w:after="0" w:afterAutospacing="0" w:line="240" w:lineRule="auto"/>
              <w:ind w:left="0" w:right="0" w:firstLine="0" w:firstLineChars="0"/>
              <w:jc w:val="right"/>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方法</w:t>
            </w:r>
          </w:p>
          <w:p w14:paraId="195FE84E">
            <w:pPr>
              <w:keepNext w:val="0"/>
              <w:keepLines w:val="0"/>
              <w:suppressLineNumbers w:val="0"/>
              <w:adjustRightInd w:val="0"/>
              <w:snapToGrid w:val="0"/>
              <w:spacing w:before="0" w:beforeAutospacing="0" w:after="0" w:afterAutospacing="0" w:line="240" w:lineRule="auto"/>
              <w:ind w:left="0" w:right="0" w:firstLine="0" w:firstLineChars="0"/>
              <w:jc w:val="left"/>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单元</w:t>
            </w:r>
          </w:p>
        </w:tc>
        <w:tc>
          <w:tcPr>
            <w:tcW w:w="760" w:type="pct"/>
            <w:tcBorders>
              <w:tl2br w:val="nil"/>
              <w:tr2bl w:val="nil"/>
            </w:tcBorders>
            <w:vAlign w:val="center"/>
          </w:tcPr>
          <w:p w14:paraId="18B4EF1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安全检查表</w:t>
            </w:r>
          </w:p>
        </w:tc>
        <w:tc>
          <w:tcPr>
            <w:tcW w:w="539" w:type="pct"/>
            <w:tcBorders>
              <w:tl2br w:val="nil"/>
              <w:tr2bl w:val="nil"/>
            </w:tcBorders>
            <w:vAlign w:val="center"/>
          </w:tcPr>
          <w:p w14:paraId="0534B18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危险度</w:t>
            </w:r>
          </w:p>
        </w:tc>
        <w:tc>
          <w:tcPr>
            <w:tcW w:w="1013" w:type="pct"/>
            <w:tcBorders>
              <w:tl2br w:val="nil"/>
              <w:tr2bl w:val="nil"/>
            </w:tcBorders>
            <w:vAlign w:val="center"/>
          </w:tcPr>
          <w:p w14:paraId="7697DD6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预先危险性分析</w:t>
            </w:r>
          </w:p>
        </w:tc>
        <w:tc>
          <w:tcPr>
            <w:tcW w:w="1329" w:type="pct"/>
            <w:tcBorders>
              <w:tl2br w:val="nil"/>
              <w:tr2bl w:val="nil"/>
            </w:tcBorders>
            <w:vAlign w:val="center"/>
          </w:tcPr>
          <w:p w14:paraId="30E6F76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b/>
                <w:bCs/>
                <w:color w:val="000000"/>
                <w:sz w:val="21"/>
                <w:szCs w:val="21"/>
              </w:rPr>
            </w:pPr>
            <w:r>
              <w:rPr>
                <w:rFonts w:hint="eastAsia" w:ascii="宋体" w:hAnsi="Times New Roman" w:eastAsia="宋体" w:cs="Times New Roman"/>
                <w:b/>
                <w:bCs/>
                <w:color w:val="000000"/>
                <w:sz w:val="21"/>
                <w:szCs w:val="21"/>
              </w:rPr>
              <w:t>个人风险及社会风险计算</w:t>
            </w:r>
          </w:p>
        </w:tc>
      </w:tr>
      <w:tr w14:paraId="41996F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57" w:type="pct"/>
            <w:tcBorders>
              <w:tl2br w:val="nil"/>
              <w:tr2bl w:val="nil"/>
            </w:tcBorders>
            <w:vAlign w:val="center"/>
          </w:tcPr>
          <w:p w14:paraId="2A2CB46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选址、总图布置</w:t>
            </w:r>
          </w:p>
        </w:tc>
        <w:tc>
          <w:tcPr>
            <w:tcW w:w="760" w:type="pct"/>
            <w:tcBorders>
              <w:tl2br w:val="nil"/>
              <w:tr2bl w:val="nil"/>
            </w:tcBorders>
            <w:vAlign w:val="center"/>
          </w:tcPr>
          <w:p w14:paraId="11AF2E5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539" w:type="pct"/>
            <w:tcBorders>
              <w:tl2br w:val="nil"/>
              <w:tr2bl w:val="nil"/>
            </w:tcBorders>
            <w:vAlign w:val="center"/>
          </w:tcPr>
          <w:p w14:paraId="0E4F2AD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p>
        </w:tc>
        <w:tc>
          <w:tcPr>
            <w:tcW w:w="1013" w:type="pct"/>
            <w:tcBorders>
              <w:tl2br w:val="nil"/>
              <w:tr2bl w:val="nil"/>
            </w:tcBorders>
            <w:vAlign w:val="center"/>
          </w:tcPr>
          <w:p w14:paraId="60B1E87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p>
        </w:tc>
        <w:tc>
          <w:tcPr>
            <w:tcW w:w="1329" w:type="pct"/>
            <w:tcBorders>
              <w:tl2br w:val="nil"/>
              <w:tr2bl w:val="nil"/>
            </w:tcBorders>
            <w:vAlign w:val="center"/>
          </w:tcPr>
          <w:p w14:paraId="5A0D219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p>
        </w:tc>
      </w:tr>
      <w:tr w14:paraId="5ACA35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57" w:type="pct"/>
            <w:tcBorders>
              <w:tl2br w:val="nil"/>
              <w:tr2bl w:val="nil"/>
            </w:tcBorders>
            <w:vAlign w:val="center"/>
          </w:tcPr>
          <w:p w14:paraId="7FD1A01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设备、设施单元</w:t>
            </w:r>
          </w:p>
        </w:tc>
        <w:tc>
          <w:tcPr>
            <w:tcW w:w="760" w:type="pct"/>
            <w:tcBorders>
              <w:tl2br w:val="nil"/>
              <w:tr2bl w:val="nil"/>
            </w:tcBorders>
            <w:vAlign w:val="center"/>
          </w:tcPr>
          <w:p w14:paraId="124807A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539" w:type="pct"/>
            <w:tcBorders>
              <w:tl2br w:val="nil"/>
              <w:tr2bl w:val="nil"/>
            </w:tcBorders>
            <w:vAlign w:val="center"/>
          </w:tcPr>
          <w:p w14:paraId="2C821A1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1013" w:type="pct"/>
            <w:tcBorders>
              <w:tl2br w:val="nil"/>
              <w:tr2bl w:val="nil"/>
            </w:tcBorders>
            <w:vAlign w:val="center"/>
          </w:tcPr>
          <w:p w14:paraId="64A11B7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1329" w:type="pct"/>
            <w:tcBorders>
              <w:tl2br w:val="nil"/>
              <w:tr2bl w:val="nil"/>
            </w:tcBorders>
            <w:vAlign w:val="center"/>
          </w:tcPr>
          <w:p w14:paraId="7C8D209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r>
      <w:tr w14:paraId="33BFE3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57" w:type="pct"/>
            <w:tcBorders>
              <w:tl2br w:val="nil"/>
              <w:tr2bl w:val="nil"/>
            </w:tcBorders>
            <w:vAlign w:val="center"/>
          </w:tcPr>
          <w:p w14:paraId="2AEE82D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公用辅助工程单元</w:t>
            </w:r>
          </w:p>
        </w:tc>
        <w:tc>
          <w:tcPr>
            <w:tcW w:w="760" w:type="pct"/>
            <w:tcBorders>
              <w:tl2br w:val="nil"/>
              <w:tr2bl w:val="nil"/>
            </w:tcBorders>
            <w:vAlign w:val="center"/>
          </w:tcPr>
          <w:p w14:paraId="2F9EFE5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539" w:type="pct"/>
            <w:tcBorders>
              <w:tl2br w:val="nil"/>
              <w:tr2bl w:val="nil"/>
            </w:tcBorders>
            <w:vAlign w:val="center"/>
          </w:tcPr>
          <w:p w14:paraId="4DD4CF3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p>
        </w:tc>
        <w:tc>
          <w:tcPr>
            <w:tcW w:w="1013" w:type="pct"/>
            <w:tcBorders>
              <w:tl2br w:val="nil"/>
              <w:tr2bl w:val="nil"/>
            </w:tcBorders>
            <w:vAlign w:val="center"/>
          </w:tcPr>
          <w:p w14:paraId="16126EB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1329" w:type="pct"/>
            <w:tcBorders>
              <w:tl2br w:val="nil"/>
              <w:tr2bl w:val="nil"/>
            </w:tcBorders>
            <w:vAlign w:val="center"/>
          </w:tcPr>
          <w:p w14:paraId="02FBF20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p>
        </w:tc>
      </w:tr>
      <w:tr w14:paraId="509EE2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57" w:type="pct"/>
            <w:tcBorders>
              <w:tl2br w:val="nil"/>
              <w:tr2bl w:val="nil"/>
            </w:tcBorders>
            <w:vAlign w:val="center"/>
          </w:tcPr>
          <w:p w14:paraId="03C1FA5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安全管理单元</w:t>
            </w:r>
          </w:p>
        </w:tc>
        <w:tc>
          <w:tcPr>
            <w:tcW w:w="760" w:type="pct"/>
            <w:tcBorders>
              <w:tl2br w:val="nil"/>
              <w:tr2bl w:val="nil"/>
            </w:tcBorders>
            <w:vAlign w:val="center"/>
          </w:tcPr>
          <w:p w14:paraId="20EF8E8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r>
              <w:rPr>
                <w:rFonts w:hint="eastAsia" w:ascii="宋体" w:hAnsi="Times New Roman" w:eastAsia="宋体" w:cs="Times New Roman"/>
                <w:color w:val="000000"/>
                <w:sz w:val="21"/>
                <w:szCs w:val="21"/>
              </w:rPr>
              <w:t>√</w:t>
            </w:r>
          </w:p>
        </w:tc>
        <w:tc>
          <w:tcPr>
            <w:tcW w:w="539" w:type="pct"/>
            <w:tcBorders>
              <w:tl2br w:val="nil"/>
              <w:tr2bl w:val="nil"/>
            </w:tcBorders>
            <w:vAlign w:val="center"/>
          </w:tcPr>
          <w:p w14:paraId="510B51B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p>
        </w:tc>
        <w:tc>
          <w:tcPr>
            <w:tcW w:w="1013" w:type="pct"/>
            <w:tcBorders>
              <w:tl2br w:val="nil"/>
              <w:tr2bl w:val="nil"/>
            </w:tcBorders>
            <w:vAlign w:val="center"/>
          </w:tcPr>
          <w:p w14:paraId="1727BC3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p>
        </w:tc>
        <w:tc>
          <w:tcPr>
            <w:tcW w:w="1329" w:type="pct"/>
            <w:tcBorders>
              <w:tl2br w:val="nil"/>
              <w:tr2bl w:val="nil"/>
            </w:tcBorders>
            <w:vAlign w:val="center"/>
          </w:tcPr>
          <w:p w14:paraId="3BC25CF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Times New Roman"/>
                <w:color w:val="000000"/>
                <w:sz w:val="21"/>
                <w:szCs w:val="21"/>
              </w:rPr>
            </w:pPr>
          </w:p>
        </w:tc>
      </w:tr>
    </w:tbl>
    <w:p w14:paraId="4F787841">
      <w:pPr>
        <w:adjustRightInd w:val="0"/>
        <w:snapToGrid w:val="0"/>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注：表中“√”表示评价单元所采用的评价方法。</w:t>
      </w:r>
    </w:p>
    <w:p w14:paraId="4F83948B">
      <w:pPr>
        <w:pStyle w:val="2"/>
        <w:rPr>
          <w:rFonts w:hint="default"/>
          <w:lang w:val="en-US" w:eastAsia="zh-CN"/>
        </w:rPr>
      </w:pPr>
    </w:p>
    <w:p w14:paraId="0DB25329">
      <w:pPr>
        <w:pStyle w:val="2"/>
        <w:rPr>
          <w:rFonts w:hint="default"/>
          <w:lang w:val="en-US" w:eastAsia="zh-CN"/>
        </w:rPr>
      </w:pPr>
    </w:p>
    <w:p w14:paraId="411FA994">
      <w:pPr>
        <w:rPr>
          <w:rFonts w:hint="eastAsia" w:ascii="Times New Roman" w:hAnsi="Times New Roman" w:eastAsia="楷体_GB2312" w:cs="Times New Roman"/>
          <w:b/>
          <w:color w:val="auto"/>
          <w:kern w:val="2"/>
          <w:sz w:val="32"/>
          <w:szCs w:val="21"/>
          <w:lang w:val="en-US" w:eastAsia="zh-CN" w:bidi="ar-SA"/>
        </w:rPr>
      </w:pPr>
      <w:bookmarkStart w:id="29" w:name="_Toc14737"/>
      <w:r>
        <w:rPr>
          <w:rFonts w:hint="eastAsia" w:ascii="Times New Roman" w:hAnsi="Times New Roman" w:eastAsia="楷体_GB2312" w:cs="Times New Roman"/>
          <w:b/>
          <w:color w:val="auto"/>
          <w:kern w:val="2"/>
          <w:sz w:val="32"/>
          <w:szCs w:val="21"/>
          <w:lang w:val="en-US" w:eastAsia="zh-CN" w:bidi="ar-SA"/>
        </w:rPr>
        <w:br w:type="page"/>
      </w:r>
    </w:p>
    <w:p w14:paraId="5EEE64AE">
      <w:pPr>
        <w:widowControl w:val="0"/>
        <w:spacing w:before="197" w:beforeLines="50" w:after="197" w:afterLines="50" w:line="360" w:lineRule="auto"/>
        <w:jc w:val="center"/>
        <w:outlineLvl w:val="1"/>
        <w:rPr>
          <w:rFonts w:ascii="Times New Roman" w:hAnsi="Times New Roman" w:eastAsia="楷体_GB2312" w:cs="Times New Roman"/>
          <w:b/>
          <w:color w:val="auto"/>
          <w:kern w:val="2"/>
          <w:sz w:val="32"/>
          <w:szCs w:val="21"/>
          <w:lang w:val="en-US" w:eastAsia="zh-CN" w:bidi="ar-SA"/>
        </w:rPr>
      </w:pPr>
      <w:r>
        <w:rPr>
          <w:rFonts w:hint="eastAsia" w:ascii="Times New Roman" w:hAnsi="Times New Roman" w:eastAsia="楷体_GB2312" w:cs="Times New Roman"/>
          <w:b/>
          <w:color w:val="auto"/>
          <w:kern w:val="2"/>
          <w:sz w:val="32"/>
          <w:szCs w:val="21"/>
          <w:lang w:val="en-US" w:eastAsia="zh-CN" w:bidi="ar-SA"/>
        </w:rPr>
        <w:t>第二节 安全对策措施及建议</w:t>
      </w:r>
      <w:bookmarkEnd w:id="29"/>
    </w:p>
    <w:p w14:paraId="7A995DD2">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一、对存在问题隐患的建议</w:t>
      </w:r>
    </w:p>
    <w:p w14:paraId="68B12FBB">
      <w:pPr>
        <w:widowControl/>
        <w:adjustRightInd w:val="0"/>
        <w:snapToGrid w:val="0"/>
        <w:spacing w:line="360" w:lineRule="auto"/>
        <w:ind w:firstLine="0" w:firstLineChars="0"/>
        <w:jc w:val="center"/>
        <w:outlineLvl w:val="3"/>
        <w:rPr>
          <w:rFonts w:hint="eastAsia" w:ascii="黑体" w:hAnsi="黑体" w:eastAsia="黑体" w:cs="黑体"/>
          <w:color w:val="000000"/>
          <w:kern w:val="0"/>
          <w:sz w:val="24"/>
          <w:szCs w:val="24"/>
          <w:lang w:val="en-GB"/>
        </w:rPr>
      </w:pPr>
      <w:r>
        <w:rPr>
          <w:rFonts w:hint="eastAsia" w:ascii="黑体" w:hAnsi="黑体" w:eastAsia="黑体" w:cs="黑体"/>
          <w:color w:val="000000"/>
          <w:kern w:val="0"/>
          <w:sz w:val="24"/>
          <w:szCs w:val="24"/>
          <w:lang w:val="en-GB"/>
        </w:rPr>
        <w:t>表7.2-1 现场隐患及整改建议</w:t>
      </w: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733"/>
        <w:gridCol w:w="3432"/>
        <w:gridCol w:w="1935"/>
        <w:gridCol w:w="3188"/>
      </w:tblGrid>
      <w:tr w14:paraId="411F8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733" w:type="dxa"/>
            <w:tcBorders>
              <w:tl2br w:val="nil"/>
              <w:tr2bl w:val="nil"/>
            </w:tcBorders>
            <w:shd w:val="clear" w:color="auto" w:fill="auto"/>
            <w:vAlign w:val="center"/>
          </w:tcPr>
          <w:p w14:paraId="0C061B1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bCs/>
                <w:color w:val="000000"/>
                <w:sz w:val="21"/>
                <w:szCs w:val="21"/>
              </w:rPr>
            </w:pPr>
            <w:r>
              <w:rPr>
                <w:rFonts w:hint="eastAsia" w:ascii="宋体" w:hAnsi="Times New Roman" w:eastAsia="宋体" w:cs="宋体"/>
                <w:b/>
                <w:bCs/>
                <w:color w:val="000000"/>
                <w:sz w:val="21"/>
                <w:szCs w:val="21"/>
              </w:rPr>
              <w:t>序号</w:t>
            </w:r>
          </w:p>
        </w:tc>
        <w:tc>
          <w:tcPr>
            <w:tcW w:w="3432" w:type="dxa"/>
            <w:tcBorders>
              <w:tl2br w:val="nil"/>
              <w:tr2bl w:val="nil"/>
            </w:tcBorders>
            <w:shd w:val="clear" w:color="auto" w:fill="auto"/>
            <w:vAlign w:val="center"/>
          </w:tcPr>
          <w:p w14:paraId="4CCED05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bCs/>
                <w:color w:val="000000"/>
                <w:sz w:val="21"/>
                <w:szCs w:val="21"/>
              </w:rPr>
            </w:pPr>
            <w:r>
              <w:rPr>
                <w:rFonts w:hint="eastAsia" w:ascii="宋体" w:hAnsi="Times New Roman" w:eastAsia="宋体" w:cs="宋体"/>
                <w:b/>
                <w:bCs/>
                <w:color w:val="000000"/>
                <w:sz w:val="21"/>
                <w:szCs w:val="21"/>
              </w:rPr>
              <w:t>现场不符合项</w:t>
            </w:r>
          </w:p>
        </w:tc>
        <w:tc>
          <w:tcPr>
            <w:tcW w:w="1935" w:type="dxa"/>
            <w:tcBorders>
              <w:tl2br w:val="nil"/>
              <w:tr2bl w:val="nil"/>
            </w:tcBorders>
            <w:shd w:val="clear" w:color="auto" w:fill="auto"/>
            <w:vAlign w:val="center"/>
          </w:tcPr>
          <w:p w14:paraId="0C1A39F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bCs/>
                <w:color w:val="000000"/>
                <w:sz w:val="21"/>
                <w:szCs w:val="21"/>
              </w:rPr>
            </w:pPr>
            <w:r>
              <w:rPr>
                <w:rFonts w:hint="eastAsia" w:ascii="宋体" w:hAnsi="Times New Roman" w:eastAsia="宋体" w:cs="宋体"/>
                <w:b/>
                <w:bCs/>
                <w:color w:val="000000"/>
                <w:sz w:val="21"/>
                <w:szCs w:val="21"/>
              </w:rPr>
              <w:t>检查依据</w:t>
            </w:r>
          </w:p>
        </w:tc>
        <w:tc>
          <w:tcPr>
            <w:tcW w:w="3188" w:type="dxa"/>
            <w:tcBorders>
              <w:tl2br w:val="nil"/>
              <w:tr2bl w:val="nil"/>
            </w:tcBorders>
            <w:shd w:val="clear" w:color="auto" w:fill="auto"/>
            <w:vAlign w:val="center"/>
          </w:tcPr>
          <w:p w14:paraId="5FBF290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bCs/>
                <w:color w:val="000000"/>
                <w:sz w:val="21"/>
                <w:szCs w:val="21"/>
              </w:rPr>
            </w:pPr>
            <w:r>
              <w:rPr>
                <w:rFonts w:hint="eastAsia" w:ascii="宋体" w:hAnsi="Times New Roman" w:eastAsia="宋体" w:cs="宋体"/>
                <w:b/>
                <w:bCs/>
                <w:color w:val="000000"/>
                <w:sz w:val="21"/>
                <w:szCs w:val="21"/>
              </w:rPr>
              <w:t>整改建议</w:t>
            </w:r>
          </w:p>
        </w:tc>
      </w:tr>
      <w:tr w14:paraId="5686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733" w:type="dxa"/>
            <w:tcBorders>
              <w:tl2br w:val="nil"/>
              <w:tr2bl w:val="nil"/>
            </w:tcBorders>
            <w:shd w:val="clear" w:color="auto" w:fill="auto"/>
            <w:vAlign w:val="center"/>
          </w:tcPr>
          <w:p w14:paraId="414A2CC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1</w:t>
            </w:r>
          </w:p>
        </w:tc>
        <w:tc>
          <w:tcPr>
            <w:tcW w:w="3432" w:type="dxa"/>
            <w:tcBorders>
              <w:tl2br w:val="nil"/>
              <w:tr2bl w:val="nil"/>
            </w:tcBorders>
            <w:shd w:val="clear" w:color="auto" w:fill="auto"/>
            <w:vAlign w:val="center"/>
          </w:tcPr>
          <w:p w14:paraId="10B88C43">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lang w:eastAsia="zh-CN"/>
              </w:rPr>
            </w:pPr>
            <w:r>
              <w:rPr>
                <w:rFonts w:hint="eastAsia" w:ascii="宋体" w:hAnsi="宋体" w:eastAsia="宋体" w:cs="宋体"/>
                <w:color w:val="000000"/>
                <w:sz w:val="21"/>
                <w:szCs w:val="21"/>
              </w:rPr>
              <w:t>部分阀门标识牌未标明常开或常关使用状态；</w:t>
            </w:r>
          </w:p>
        </w:tc>
        <w:tc>
          <w:tcPr>
            <w:tcW w:w="1935" w:type="dxa"/>
            <w:tcBorders>
              <w:tl2br w:val="nil"/>
              <w:tr2bl w:val="nil"/>
            </w:tcBorders>
            <w:shd w:val="clear" w:color="auto" w:fill="auto"/>
            <w:vAlign w:val="center"/>
          </w:tcPr>
          <w:p w14:paraId="2B22D4B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GB5083-2023</w:t>
            </w:r>
          </w:p>
          <w:p w14:paraId="541F3DA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第7.1条</w:t>
            </w:r>
          </w:p>
        </w:tc>
        <w:tc>
          <w:tcPr>
            <w:tcW w:w="3188" w:type="dxa"/>
            <w:tcBorders>
              <w:tl2br w:val="nil"/>
              <w:tr2bl w:val="nil"/>
            </w:tcBorders>
            <w:shd w:val="clear" w:color="auto" w:fill="auto"/>
            <w:vAlign w:val="center"/>
          </w:tcPr>
          <w:p w14:paraId="1CBAAA0F">
            <w:pPr>
              <w:keepNext w:val="0"/>
              <w:keepLines w:val="0"/>
              <w:suppressLineNumbers w:val="0"/>
              <w:adjustRightInd w:val="0"/>
              <w:snapToGrid w:val="0"/>
              <w:spacing w:before="0" w:beforeAutospacing="0" w:after="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阀门标识牌</w:t>
            </w:r>
            <w:r>
              <w:rPr>
                <w:rFonts w:hint="eastAsia" w:ascii="宋体" w:hAnsi="宋体" w:eastAsia="宋体" w:cs="宋体"/>
                <w:color w:val="000000"/>
                <w:sz w:val="21"/>
                <w:szCs w:val="21"/>
                <w:lang w:val="en-US" w:eastAsia="zh-CN"/>
              </w:rPr>
              <w:t>应</w:t>
            </w:r>
            <w:r>
              <w:rPr>
                <w:rFonts w:hint="default" w:ascii="宋体" w:hAnsi="宋体" w:eastAsia="宋体" w:cs="宋体"/>
                <w:color w:val="000000"/>
                <w:sz w:val="21"/>
                <w:szCs w:val="21"/>
              </w:rPr>
              <w:t>标明使用状态；</w:t>
            </w:r>
          </w:p>
        </w:tc>
      </w:tr>
      <w:tr w14:paraId="3DBFB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733" w:type="dxa"/>
            <w:tcBorders>
              <w:tl2br w:val="nil"/>
              <w:tr2bl w:val="nil"/>
            </w:tcBorders>
            <w:shd w:val="clear" w:color="auto" w:fill="auto"/>
            <w:vAlign w:val="center"/>
          </w:tcPr>
          <w:p w14:paraId="4CEEDB6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2</w:t>
            </w:r>
          </w:p>
        </w:tc>
        <w:tc>
          <w:tcPr>
            <w:tcW w:w="3432" w:type="dxa"/>
            <w:tcBorders>
              <w:tl2br w:val="nil"/>
              <w:tr2bl w:val="nil"/>
            </w:tcBorders>
            <w:shd w:val="clear" w:color="auto" w:fill="auto"/>
            <w:vAlign w:val="center"/>
          </w:tcPr>
          <w:p w14:paraId="0344D280">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仪表空气管道缺介质流向标识</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管廊架缺少限高标识</w:t>
            </w:r>
            <w:r>
              <w:rPr>
                <w:rFonts w:hint="eastAsia" w:ascii="宋体" w:hAnsi="宋体" w:eastAsia="宋体" w:cs="宋体"/>
                <w:color w:val="000000"/>
                <w:sz w:val="21"/>
                <w:szCs w:val="21"/>
                <w:lang w:eastAsia="zh-CN"/>
              </w:rPr>
              <w:t>；</w:t>
            </w:r>
          </w:p>
        </w:tc>
        <w:tc>
          <w:tcPr>
            <w:tcW w:w="1935" w:type="dxa"/>
            <w:tcBorders>
              <w:tl2br w:val="nil"/>
              <w:tr2bl w:val="nil"/>
            </w:tcBorders>
            <w:shd w:val="clear" w:color="auto" w:fill="auto"/>
            <w:vAlign w:val="center"/>
          </w:tcPr>
          <w:p w14:paraId="71C3B3E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GB12801-2025</w:t>
            </w:r>
          </w:p>
          <w:p w14:paraId="721F674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第5.7.4条</w:t>
            </w:r>
          </w:p>
        </w:tc>
        <w:tc>
          <w:tcPr>
            <w:tcW w:w="3188" w:type="dxa"/>
            <w:tcBorders>
              <w:tl2br w:val="nil"/>
              <w:tr2bl w:val="nil"/>
            </w:tcBorders>
            <w:shd w:val="clear" w:color="auto" w:fill="auto"/>
            <w:vAlign w:val="center"/>
          </w:tcPr>
          <w:p w14:paraId="373A0414">
            <w:pPr>
              <w:keepNext w:val="0"/>
              <w:keepLines w:val="0"/>
              <w:suppressLineNumbers w:val="0"/>
              <w:adjustRightInd w:val="0"/>
              <w:snapToGrid w:val="0"/>
              <w:spacing w:before="0" w:beforeAutospacing="0" w:after="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仪表空气管道</w:t>
            </w:r>
            <w:r>
              <w:rPr>
                <w:rFonts w:hint="eastAsia" w:ascii="宋体" w:hAnsi="宋体" w:eastAsia="宋体" w:cs="宋体"/>
                <w:color w:val="000000"/>
                <w:sz w:val="21"/>
                <w:szCs w:val="21"/>
                <w:lang w:val="en-US" w:eastAsia="zh-CN"/>
              </w:rPr>
              <w:t>应设置</w:t>
            </w:r>
            <w:r>
              <w:rPr>
                <w:rFonts w:hint="default" w:ascii="宋体" w:hAnsi="宋体" w:eastAsia="宋体" w:cs="宋体"/>
                <w:color w:val="000000"/>
                <w:sz w:val="21"/>
                <w:szCs w:val="21"/>
              </w:rPr>
              <w:t>介质流向标识、管廊架应设置限高标识；</w:t>
            </w:r>
          </w:p>
        </w:tc>
      </w:tr>
      <w:tr w14:paraId="2648BE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733" w:type="dxa"/>
            <w:tcBorders>
              <w:tl2br w:val="nil"/>
              <w:tr2bl w:val="nil"/>
            </w:tcBorders>
            <w:shd w:val="clear" w:color="auto" w:fill="auto"/>
            <w:vAlign w:val="center"/>
          </w:tcPr>
          <w:p w14:paraId="270EE8B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3</w:t>
            </w:r>
          </w:p>
        </w:tc>
        <w:tc>
          <w:tcPr>
            <w:tcW w:w="3432" w:type="dxa"/>
            <w:tcBorders>
              <w:tl2br w:val="nil"/>
              <w:tr2bl w:val="nil"/>
            </w:tcBorders>
            <w:shd w:val="clear" w:color="auto" w:fill="auto"/>
            <w:vAlign w:val="center"/>
          </w:tcPr>
          <w:p w14:paraId="51B20DED">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lang w:eastAsia="zh-CN"/>
              </w:rPr>
            </w:pPr>
            <w:r>
              <w:rPr>
                <w:rFonts w:hint="eastAsia" w:ascii="宋体" w:hAnsi="宋体" w:eastAsia="宋体" w:cs="宋体"/>
                <w:color w:val="000000"/>
                <w:sz w:val="21"/>
                <w:szCs w:val="21"/>
              </w:rPr>
              <w:t>个别液位计连接法兰无静电跨接线、部分管架未进行静电跨接；</w:t>
            </w:r>
          </w:p>
        </w:tc>
        <w:tc>
          <w:tcPr>
            <w:tcW w:w="1935" w:type="dxa"/>
            <w:tcBorders>
              <w:tl2br w:val="nil"/>
              <w:tr2bl w:val="nil"/>
            </w:tcBorders>
            <w:shd w:val="clear" w:color="auto" w:fill="auto"/>
            <w:vAlign w:val="center"/>
          </w:tcPr>
          <w:p w14:paraId="37CC47D3">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GB50235-2010</w:t>
            </w:r>
          </w:p>
          <w:p w14:paraId="25C4B1F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第7.13.1条</w:t>
            </w:r>
          </w:p>
        </w:tc>
        <w:tc>
          <w:tcPr>
            <w:tcW w:w="3188" w:type="dxa"/>
            <w:tcBorders>
              <w:tl2br w:val="nil"/>
              <w:tr2bl w:val="nil"/>
            </w:tcBorders>
            <w:shd w:val="clear" w:color="auto" w:fill="auto"/>
            <w:vAlign w:val="center"/>
          </w:tcPr>
          <w:p w14:paraId="4F589F84">
            <w:pPr>
              <w:keepNext w:val="0"/>
              <w:keepLines w:val="0"/>
              <w:suppressLineNumbers w:val="0"/>
              <w:adjustRightInd w:val="0"/>
              <w:snapToGrid w:val="0"/>
              <w:spacing w:before="0" w:beforeAutospacing="0" w:after="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液位计连接法兰应设置静电跨接线、管架应设置静电跨接；</w:t>
            </w:r>
          </w:p>
        </w:tc>
      </w:tr>
      <w:tr w14:paraId="04509B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733" w:type="dxa"/>
            <w:tcBorders>
              <w:tl2br w:val="nil"/>
              <w:tr2bl w:val="nil"/>
            </w:tcBorders>
            <w:shd w:val="clear" w:color="auto" w:fill="auto"/>
            <w:vAlign w:val="center"/>
          </w:tcPr>
          <w:p w14:paraId="197F861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4</w:t>
            </w:r>
          </w:p>
        </w:tc>
        <w:tc>
          <w:tcPr>
            <w:tcW w:w="3432" w:type="dxa"/>
            <w:tcBorders>
              <w:tl2br w:val="nil"/>
              <w:tr2bl w:val="nil"/>
            </w:tcBorders>
            <w:shd w:val="clear" w:color="auto" w:fill="auto"/>
            <w:vAlign w:val="center"/>
          </w:tcPr>
          <w:p w14:paraId="4264A5CE">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lang w:eastAsia="zh-CN"/>
              </w:rPr>
            </w:pPr>
            <w:r>
              <w:rPr>
                <w:rFonts w:hint="eastAsia" w:ascii="宋体" w:hAnsi="宋体" w:eastAsia="宋体" w:cs="宋体"/>
                <w:color w:val="000000"/>
                <w:sz w:val="21"/>
                <w:szCs w:val="21"/>
              </w:rPr>
              <w:t>泡沫站洗眼器无水收集设施；</w:t>
            </w:r>
          </w:p>
        </w:tc>
        <w:tc>
          <w:tcPr>
            <w:tcW w:w="1935" w:type="dxa"/>
            <w:tcBorders>
              <w:tl2br w:val="nil"/>
              <w:tr2bl w:val="nil"/>
            </w:tcBorders>
            <w:shd w:val="clear" w:color="auto" w:fill="auto"/>
            <w:vAlign w:val="center"/>
          </w:tcPr>
          <w:p w14:paraId="1212931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HG20571-2014</w:t>
            </w:r>
          </w:p>
          <w:p w14:paraId="7D437A2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第5.6.5条</w:t>
            </w:r>
          </w:p>
        </w:tc>
        <w:tc>
          <w:tcPr>
            <w:tcW w:w="3188" w:type="dxa"/>
            <w:tcBorders>
              <w:tl2br w:val="nil"/>
              <w:tr2bl w:val="nil"/>
            </w:tcBorders>
            <w:shd w:val="clear" w:color="auto" w:fill="auto"/>
            <w:vAlign w:val="center"/>
          </w:tcPr>
          <w:p w14:paraId="41592FB1">
            <w:pPr>
              <w:keepNext w:val="0"/>
              <w:keepLines w:val="0"/>
              <w:suppressLineNumbers w:val="0"/>
              <w:adjustRightInd w:val="0"/>
              <w:snapToGrid w:val="0"/>
              <w:spacing w:before="0" w:beforeAutospacing="0" w:after="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泡沫站洗眼器应设置水收集设施；</w:t>
            </w:r>
          </w:p>
        </w:tc>
      </w:tr>
      <w:tr w14:paraId="50D16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733" w:type="dxa"/>
            <w:tcBorders>
              <w:tl2br w:val="nil"/>
              <w:tr2bl w:val="nil"/>
            </w:tcBorders>
            <w:shd w:val="clear" w:color="auto" w:fill="auto"/>
            <w:vAlign w:val="center"/>
          </w:tcPr>
          <w:p w14:paraId="69F7100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5</w:t>
            </w:r>
          </w:p>
        </w:tc>
        <w:tc>
          <w:tcPr>
            <w:tcW w:w="3432" w:type="dxa"/>
            <w:tcBorders>
              <w:tl2br w:val="nil"/>
              <w:tr2bl w:val="nil"/>
            </w:tcBorders>
            <w:shd w:val="clear" w:color="auto" w:fill="auto"/>
            <w:vAlign w:val="center"/>
          </w:tcPr>
          <w:p w14:paraId="0CE1E79E">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lang w:eastAsia="zh-CN"/>
              </w:rPr>
            </w:pPr>
            <w:r>
              <w:rPr>
                <w:rFonts w:hint="eastAsia" w:ascii="宋体" w:hAnsi="宋体" w:eastAsia="宋体" w:cs="宋体"/>
                <w:color w:val="000000"/>
                <w:sz w:val="21"/>
                <w:szCs w:val="21"/>
              </w:rPr>
              <w:t>储罐接地涂色标识不规范。</w:t>
            </w:r>
          </w:p>
        </w:tc>
        <w:tc>
          <w:tcPr>
            <w:tcW w:w="1935" w:type="dxa"/>
            <w:tcBorders>
              <w:tl2br w:val="nil"/>
              <w:tr2bl w:val="nil"/>
            </w:tcBorders>
            <w:shd w:val="clear" w:color="auto" w:fill="auto"/>
            <w:vAlign w:val="center"/>
          </w:tcPr>
          <w:p w14:paraId="2CDEE69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HG20571-2014</w:t>
            </w:r>
          </w:p>
          <w:p w14:paraId="593EAB5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第6.1.1条</w:t>
            </w:r>
          </w:p>
        </w:tc>
        <w:tc>
          <w:tcPr>
            <w:tcW w:w="3188" w:type="dxa"/>
            <w:tcBorders>
              <w:tl2br w:val="nil"/>
              <w:tr2bl w:val="nil"/>
            </w:tcBorders>
            <w:shd w:val="clear" w:color="auto" w:fill="auto"/>
            <w:vAlign w:val="center"/>
          </w:tcPr>
          <w:p w14:paraId="5FDA5587">
            <w:pPr>
              <w:keepNext w:val="0"/>
              <w:keepLines w:val="0"/>
              <w:suppressLineNumbers w:val="0"/>
              <w:adjustRightInd w:val="0"/>
              <w:snapToGrid w:val="0"/>
              <w:spacing w:before="0" w:beforeAutospacing="0" w:after="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储罐接地涂色标识</w:t>
            </w:r>
            <w:r>
              <w:rPr>
                <w:rFonts w:hint="eastAsia" w:ascii="宋体" w:hAnsi="宋体" w:eastAsia="宋体" w:cs="宋体"/>
                <w:color w:val="000000"/>
                <w:sz w:val="21"/>
                <w:szCs w:val="21"/>
                <w:lang w:val="en-US" w:eastAsia="zh-CN"/>
              </w:rPr>
              <w:t>应符合</w:t>
            </w:r>
            <w:r>
              <w:rPr>
                <w:rFonts w:hint="default" w:ascii="宋体" w:hAnsi="宋体" w:eastAsia="宋体" w:cs="宋体"/>
                <w:color w:val="000000"/>
                <w:sz w:val="21"/>
                <w:szCs w:val="21"/>
              </w:rPr>
              <w:t>规范</w:t>
            </w:r>
            <w:r>
              <w:rPr>
                <w:rFonts w:hint="eastAsia" w:ascii="宋体" w:hAnsi="宋体" w:eastAsia="宋体" w:cs="宋体"/>
                <w:color w:val="000000"/>
                <w:sz w:val="21"/>
                <w:szCs w:val="21"/>
                <w:lang w:val="en-US" w:eastAsia="zh-CN"/>
              </w:rPr>
              <w:t>要求</w:t>
            </w:r>
            <w:r>
              <w:rPr>
                <w:rFonts w:hint="default" w:ascii="宋体" w:hAnsi="宋体" w:eastAsia="宋体" w:cs="宋体"/>
                <w:color w:val="000000"/>
                <w:sz w:val="21"/>
                <w:szCs w:val="21"/>
              </w:rPr>
              <w:t>。</w:t>
            </w:r>
          </w:p>
        </w:tc>
      </w:tr>
    </w:tbl>
    <w:p w14:paraId="1B3E36DE">
      <w:pPr>
        <w:widowControl w:val="0"/>
        <w:adjustRightInd w:val="0"/>
        <w:snapToGrid w:val="0"/>
        <w:spacing w:line="360" w:lineRule="auto"/>
        <w:ind w:firstLine="560" w:firstLineChars="200"/>
        <w:jc w:val="both"/>
        <w:outlineLvl w:val="2"/>
        <w:rPr>
          <w:rFonts w:ascii="Times New Roman" w:hAnsi="Times New Roman" w:eastAsia="黑体" w:cs="Times New Roman"/>
          <w:color w:val="000000"/>
          <w:sz w:val="28"/>
          <w:u w:color="000000"/>
          <w:lang w:val="en-US" w:eastAsia="zh-CN" w:bidi="ar-SA"/>
        </w:rPr>
      </w:pPr>
      <w:r>
        <w:rPr>
          <w:rFonts w:hint="eastAsia" w:ascii="Times New Roman" w:hAnsi="Times New Roman" w:eastAsia="黑体" w:cs="Times New Roman"/>
          <w:color w:val="000000"/>
          <w:sz w:val="28"/>
          <w:u w:color="000000"/>
          <w:lang w:val="en-US" w:eastAsia="zh-CN" w:bidi="ar-SA"/>
        </w:rPr>
        <w:t>二、隐患整改情况复查结果</w:t>
      </w:r>
    </w:p>
    <w:p w14:paraId="3CCB9A2C">
      <w:pPr>
        <w:widowControl/>
        <w:adjustRightInd w:val="0"/>
        <w:snapToGrid w:val="0"/>
        <w:spacing w:line="360" w:lineRule="auto"/>
        <w:ind w:firstLine="0" w:firstLineChars="0"/>
        <w:jc w:val="center"/>
        <w:outlineLvl w:val="3"/>
        <w:rPr>
          <w:rFonts w:hint="eastAsia" w:ascii="黑体" w:hAnsi="黑体" w:eastAsia="黑体" w:cs="黑体"/>
          <w:color w:val="000000"/>
          <w:kern w:val="0"/>
          <w:sz w:val="24"/>
          <w:szCs w:val="24"/>
          <w:lang w:val="en-GB"/>
        </w:rPr>
      </w:pPr>
      <w:r>
        <w:rPr>
          <w:rFonts w:hint="eastAsia" w:ascii="黑体" w:hAnsi="黑体" w:eastAsia="黑体" w:cs="黑体"/>
          <w:color w:val="000000"/>
          <w:kern w:val="0"/>
          <w:sz w:val="24"/>
          <w:szCs w:val="24"/>
          <w:lang w:val="en-GB"/>
        </w:rPr>
        <w:t>表7.2-2 现场隐患及整改情况</w:t>
      </w:r>
    </w:p>
    <w:p w14:paraId="605B246A">
      <w:pPr>
        <w:pStyle w:val="2"/>
        <w:rPr>
          <w:rFonts w:hint="default"/>
          <w:lang w:val="en-US" w:eastAsia="zh-CN"/>
        </w:rPr>
      </w:pP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662"/>
        <w:gridCol w:w="3833"/>
        <w:gridCol w:w="3900"/>
        <w:gridCol w:w="893"/>
      </w:tblGrid>
      <w:tr w14:paraId="1A6914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662" w:type="dxa"/>
            <w:tcBorders>
              <w:tl2br w:val="nil"/>
              <w:tr2bl w:val="nil"/>
            </w:tcBorders>
            <w:shd w:val="clear" w:color="auto" w:fill="auto"/>
            <w:vAlign w:val="center"/>
          </w:tcPr>
          <w:p w14:paraId="3731332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bCs/>
                <w:color w:val="000000"/>
                <w:sz w:val="21"/>
                <w:szCs w:val="21"/>
              </w:rPr>
            </w:pPr>
            <w:r>
              <w:rPr>
                <w:rFonts w:hint="eastAsia" w:ascii="宋体" w:hAnsi="Times New Roman" w:eastAsia="宋体" w:cs="宋体"/>
                <w:b/>
                <w:bCs/>
                <w:color w:val="000000"/>
                <w:sz w:val="21"/>
                <w:szCs w:val="21"/>
              </w:rPr>
              <w:t>序号</w:t>
            </w:r>
          </w:p>
        </w:tc>
        <w:tc>
          <w:tcPr>
            <w:tcW w:w="3833" w:type="dxa"/>
            <w:tcBorders>
              <w:tl2br w:val="nil"/>
              <w:tr2bl w:val="nil"/>
            </w:tcBorders>
            <w:shd w:val="clear" w:color="auto" w:fill="auto"/>
            <w:vAlign w:val="center"/>
          </w:tcPr>
          <w:p w14:paraId="7CBC4C1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bCs/>
                <w:color w:val="000000"/>
                <w:sz w:val="21"/>
                <w:szCs w:val="21"/>
              </w:rPr>
            </w:pPr>
            <w:r>
              <w:rPr>
                <w:rFonts w:hint="eastAsia" w:ascii="宋体" w:hAnsi="Times New Roman" w:eastAsia="宋体" w:cs="宋体"/>
                <w:b/>
                <w:bCs/>
                <w:color w:val="000000"/>
                <w:sz w:val="21"/>
                <w:szCs w:val="21"/>
              </w:rPr>
              <w:t>现场不符合项</w:t>
            </w:r>
          </w:p>
        </w:tc>
        <w:tc>
          <w:tcPr>
            <w:tcW w:w="3900" w:type="dxa"/>
            <w:tcBorders>
              <w:tl2br w:val="nil"/>
              <w:tr2bl w:val="nil"/>
            </w:tcBorders>
            <w:shd w:val="clear" w:color="auto" w:fill="auto"/>
            <w:vAlign w:val="center"/>
          </w:tcPr>
          <w:p w14:paraId="034952B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bCs/>
                <w:color w:val="000000"/>
                <w:sz w:val="21"/>
                <w:szCs w:val="21"/>
              </w:rPr>
            </w:pPr>
            <w:r>
              <w:rPr>
                <w:rFonts w:hint="eastAsia" w:ascii="宋体" w:hAnsi="Times New Roman" w:eastAsia="宋体" w:cs="宋体"/>
                <w:b/>
                <w:bCs/>
                <w:color w:val="000000"/>
                <w:sz w:val="21"/>
                <w:szCs w:val="21"/>
              </w:rPr>
              <w:t>整改情况</w:t>
            </w:r>
          </w:p>
        </w:tc>
        <w:tc>
          <w:tcPr>
            <w:tcW w:w="893" w:type="dxa"/>
            <w:tcBorders>
              <w:tl2br w:val="nil"/>
              <w:tr2bl w:val="nil"/>
            </w:tcBorders>
            <w:shd w:val="clear" w:color="auto" w:fill="auto"/>
            <w:vAlign w:val="center"/>
          </w:tcPr>
          <w:p w14:paraId="1AADC12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Times New Roman" w:eastAsia="宋体" w:cs="宋体"/>
                <w:b/>
                <w:bCs/>
                <w:color w:val="000000"/>
                <w:sz w:val="21"/>
                <w:szCs w:val="21"/>
              </w:rPr>
            </w:pPr>
            <w:r>
              <w:rPr>
                <w:rFonts w:hint="eastAsia" w:ascii="宋体" w:hAnsi="Times New Roman" w:eastAsia="宋体" w:cs="宋体"/>
                <w:b/>
                <w:bCs/>
                <w:color w:val="000000"/>
                <w:sz w:val="21"/>
                <w:szCs w:val="21"/>
              </w:rPr>
              <w:t>结论</w:t>
            </w:r>
          </w:p>
        </w:tc>
      </w:tr>
      <w:tr w14:paraId="57D42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662" w:type="dxa"/>
            <w:tcBorders>
              <w:tl2br w:val="nil"/>
              <w:tr2bl w:val="nil"/>
            </w:tcBorders>
            <w:shd w:val="clear" w:color="auto" w:fill="auto"/>
            <w:vAlign w:val="center"/>
          </w:tcPr>
          <w:p w14:paraId="54ABDDF7">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1</w:t>
            </w:r>
          </w:p>
        </w:tc>
        <w:tc>
          <w:tcPr>
            <w:tcW w:w="3833" w:type="dxa"/>
            <w:tcBorders>
              <w:tl2br w:val="nil"/>
              <w:tr2bl w:val="nil"/>
            </w:tcBorders>
            <w:shd w:val="clear" w:color="auto" w:fill="auto"/>
            <w:vAlign w:val="center"/>
          </w:tcPr>
          <w:p w14:paraId="0B98EFFD">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eastAsia" w:ascii="宋体" w:hAnsi="宋体" w:eastAsia="宋体" w:cs="宋体"/>
                <w:color w:val="000000"/>
                <w:sz w:val="21"/>
                <w:szCs w:val="21"/>
              </w:rPr>
              <w:t>部分阀门标识牌未标明常开或常关使用状态；</w:t>
            </w:r>
          </w:p>
        </w:tc>
        <w:tc>
          <w:tcPr>
            <w:tcW w:w="3900" w:type="dxa"/>
            <w:tcBorders>
              <w:tl2br w:val="nil"/>
              <w:tr2bl w:val="nil"/>
            </w:tcBorders>
            <w:shd w:val="clear" w:color="auto" w:fill="auto"/>
            <w:vAlign w:val="center"/>
          </w:tcPr>
          <w:p w14:paraId="0B6FBA41">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阀门标识牌</w:t>
            </w:r>
            <w:r>
              <w:rPr>
                <w:rFonts w:hint="eastAsia" w:ascii="宋体" w:hAnsi="宋体" w:eastAsia="宋体" w:cs="宋体"/>
                <w:color w:val="000000"/>
                <w:sz w:val="21"/>
                <w:szCs w:val="21"/>
                <w:lang w:val="en-US" w:eastAsia="zh-CN"/>
              </w:rPr>
              <w:t>已</w:t>
            </w:r>
            <w:r>
              <w:rPr>
                <w:rFonts w:hint="default" w:ascii="宋体" w:hAnsi="宋体" w:eastAsia="宋体" w:cs="宋体"/>
                <w:color w:val="000000"/>
                <w:sz w:val="21"/>
                <w:szCs w:val="21"/>
              </w:rPr>
              <w:t>标明使用状态；</w:t>
            </w:r>
          </w:p>
        </w:tc>
        <w:tc>
          <w:tcPr>
            <w:tcW w:w="893" w:type="dxa"/>
            <w:tcBorders>
              <w:tl2br w:val="nil"/>
              <w:tr2bl w:val="nil"/>
            </w:tcBorders>
            <w:shd w:val="clear" w:color="auto" w:fill="auto"/>
            <w:vAlign w:val="center"/>
          </w:tcPr>
          <w:p w14:paraId="0DE3D40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已整改</w:t>
            </w:r>
          </w:p>
        </w:tc>
      </w:tr>
      <w:tr w14:paraId="18E48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662" w:type="dxa"/>
            <w:tcBorders>
              <w:tl2br w:val="nil"/>
              <w:tr2bl w:val="nil"/>
            </w:tcBorders>
            <w:shd w:val="clear" w:color="auto" w:fill="auto"/>
            <w:vAlign w:val="center"/>
          </w:tcPr>
          <w:p w14:paraId="719FA98F">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2</w:t>
            </w:r>
          </w:p>
        </w:tc>
        <w:tc>
          <w:tcPr>
            <w:tcW w:w="3833" w:type="dxa"/>
            <w:tcBorders>
              <w:tl2br w:val="nil"/>
              <w:tr2bl w:val="nil"/>
            </w:tcBorders>
            <w:shd w:val="clear" w:color="auto" w:fill="auto"/>
            <w:vAlign w:val="center"/>
          </w:tcPr>
          <w:p w14:paraId="602FC737">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eastAsia" w:ascii="宋体" w:hAnsi="宋体" w:eastAsia="宋体" w:cs="宋体"/>
                <w:color w:val="000000"/>
                <w:sz w:val="21"/>
                <w:szCs w:val="21"/>
              </w:rPr>
              <w:t>仪表空气管道缺介质流向标识、管廊架缺少限高标识；</w:t>
            </w:r>
          </w:p>
        </w:tc>
        <w:tc>
          <w:tcPr>
            <w:tcW w:w="3900" w:type="dxa"/>
            <w:tcBorders>
              <w:tl2br w:val="nil"/>
              <w:tr2bl w:val="nil"/>
            </w:tcBorders>
            <w:shd w:val="clear" w:color="auto" w:fill="auto"/>
            <w:vAlign w:val="center"/>
          </w:tcPr>
          <w:p w14:paraId="1E0EE0C0">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仪表空气管道</w:t>
            </w:r>
            <w:r>
              <w:rPr>
                <w:rFonts w:hint="eastAsia" w:ascii="宋体" w:hAnsi="宋体" w:eastAsia="宋体" w:cs="宋体"/>
                <w:color w:val="000000"/>
                <w:sz w:val="21"/>
                <w:szCs w:val="21"/>
                <w:lang w:val="en-US" w:eastAsia="zh-CN"/>
              </w:rPr>
              <w:t>已</w:t>
            </w:r>
            <w:r>
              <w:rPr>
                <w:rFonts w:hint="default" w:ascii="宋体" w:hAnsi="宋体" w:eastAsia="宋体" w:cs="宋体"/>
                <w:color w:val="000000"/>
                <w:sz w:val="21"/>
                <w:szCs w:val="21"/>
              </w:rPr>
              <w:t>设置介质流向标识、管廊架已设置限高标识；</w:t>
            </w:r>
          </w:p>
        </w:tc>
        <w:tc>
          <w:tcPr>
            <w:tcW w:w="893" w:type="dxa"/>
            <w:tcBorders>
              <w:tl2br w:val="nil"/>
              <w:tr2bl w:val="nil"/>
            </w:tcBorders>
            <w:shd w:val="clear" w:color="auto" w:fill="auto"/>
            <w:vAlign w:val="center"/>
          </w:tcPr>
          <w:p w14:paraId="56255CD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已整改</w:t>
            </w:r>
          </w:p>
        </w:tc>
      </w:tr>
      <w:tr w14:paraId="718EF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662" w:type="dxa"/>
            <w:tcBorders>
              <w:tl2br w:val="nil"/>
              <w:tr2bl w:val="nil"/>
            </w:tcBorders>
            <w:shd w:val="clear" w:color="auto" w:fill="auto"/>
            <w:vAlign w:val="center"/>
          </w:tcPr>
          <w:p w14:paraId="58D81BE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3</w:t>
            </w:r>
          </w:p>
        </w:tc>
        <w:tc>
          <w:tcPr>
            <w:tcW w:w="3833" w:type="dxa"/>
            <w:tcBorders>
              <w:tl2br w:val="nil"/>
              <w:tr2bl w:val="nil"/>
            </w:tcBorders>
            <w:shd w:val="clear" w:color="auto" w:fill="auto"/>
            <w:vAlign w:val="center"/>
          </w:tcPr>
          <w:p w14:paraId="74A736F4">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eastAsia" w:ascii="宋体" w:hAnsi="宋体" w:eastAsia="宋体" w:cs="宋体"/>
                <w:color w:val="000000"/>
                <w:sz w:val="21"/>
                <w:szCs w:val="21"/>
              </w:rPr>
              <w:t>个别液位计连接法兰无静电跨接线、部分管架未进行静电跨接；</w:t>
            </w:r>
          </w:p>
        </w:tc>
        <w:tc>
          <w:tcPr>
            <w:tcW w:w="3900" w:type="dxa"/>
            <w:tcBorders>
              <w:tl2br w:val="nil"/>
              <w:tr2bl w:val="nil"/>
            </w:tcBorders>
            <w:shd w:val="clear" w:color="auto" w:fill="auto"/>
            <w:vAlign w:val="center"/>
          </w:tcPr>
          <w:p w14:paraId="4A4FB1FF">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液位计连接法兰已设置静电跨接线、管架已设置静电跨接；</w:t>
            </w:r>
          </w:p>
        </w:tc>
        <w:tc>
          <w:tcPr>
            <w:tcW w:w="893" w:type="dxa"/>
            <w:tcBorders>
              <w:tl2br w:val="nil"/>
              <w:tr2bl w:val="nil"/>
            </w:tcBorders>
            <w:shd w:val="clear" w:color="auto" w:fill="auto"/>
            <w:vAlign w:val="center"/>
          </w:tcPr>
          <w:p w14:paraId="6FBD909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已整改</w:t>
            </w:r>
          </w:p>
        </w:tc>
      </w:tr>
      <w:tr w14:paraId="3FA56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662" w:type="dxa"/>
            <w:tcBorders>
              <w:tl2br w:val="nil"/>
              <w:tr2bl w:val="nil"/>
            </w:tcBorders>
            <w:shd w:val="clear" w:color="auto" w:fill="auto"/>
            <w:vAlign w:val="center"/>
          </w:tcPr>
          <w:p w14:paraId="7DBEE6B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4</w:t>
            </w:r>
          </w:p>
        </w:tc>
        <w:tc>
          <w:tcPr>
            <w:tcW w:w="3833" w:type="dxa"/>
            <w:tcBorders>
              <w:tl2br w:val="nil"/>
              <w:tr2bl w:val="nil"/>
            </w:tcBorders>
            <w:shd w:val="clear" w:color="auto" w:fill="auto"/>
            <w:vAlign w:val="center"/>
          </w:tcPr>
          <w:p w14:paraId="7EC50B34">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eastAsia" w:ascii="宋体" w:hAnsi="宋体" w:eastAsia="宋体" w:cs="宋体"/>
                <w:color w:val="000000"/>
                <w:sz w:val="21"/>
                <w:szCs w:val="21"/>
              </w:rPr>
              <w:t>泡沫站洗眼器无水收集设施；</w:t>
            </w:r>
          </w:p>
        </w:tc>
        <w:tc>
          <w:tcPr>
            <w:tcW w:w="3900" w:type="dxa"/>
            <w:tcBorders>
              <w:tl2br w:val="nil"/>
              <w:tr2bl w:val="nil"/>
            </w:tcBorders>
            <w:shd w:val="clear" w:color="auto" w:fill="auto"/>
            <w:vAlign w:val="center"/>
          </w:tcPr>
          <w:p w14:paraId="58577EBC">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泡沫站洗眼器已设置水收集设施；</w:t>
            </w:r>
          </w:p>
        </w:tc>
        <w:tc>
          <w:tcPr>
            <w:tcW w:w="893" w:type="dxa"/>
            <w:tcBorders>
              <w:tl2br w:val="nil"/>
              <w:tr2bl w:val="nil"/>
            </w:tcBorders>
            <w:shd w:val="clear" w:color="auto" w:fill="auto"/>
            <w:vAlign w:val="center"/>
          </w:tcPr>
          <w:p w14:paraId="0E637E7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已整改</w:t>
            </w:r>
          </w:p>
        </w:tc>
      </w:tr>
      <w:tr w14:paraId="48597D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662" w:type="dxa"/>
            <w:tcBorders>
              <w:tl2br w:val="nil"/>
              <w:tr2bl w:val="nil"/>
            </w:tcBorders>
            <w:shd w:val="clear" w:color="auto" w:fill="auto"/>
            <w:vAlign w:val="center"/>
          </w:tcPr>
          <w:p w14:paraId="08D9E02F">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lang w:val="en-US" w:eastAsia="zh-CN"/>
              </w:rPr>
            </w:pPr>
            <w:r>
              <w:rPr>
                <w:rFonts w:hint="eastAsia" w:ascii="宋体" w:hAnsi="Times New Roman" w:eastAsia="宋体" w:cs="宋体"/>
                <w:b w:val="0"/>
                <w:bCs w:val="0"/>
                <w:color w:val="000000"/>
                <w:sz w:val="21"/>
                <w:szCs w:val="21"/>
                <w:lang w:val="en-US" w:eastAsia="zh-CN"/>
              </w:rPr>
              <w:t>5</w:t>
            </w:r>
          </w:p>
        </w:tc>
        <w:tc>
          <w:tcPr>
            <w:tcW w:w="3833" w:type="dxa"/>
            <w:tcBorders>
              <w:tl2br w:val="nil"/>
              <w:tr2bl w:val="nil"/>
            </w:tcBorders>
            <w:shd w:val="clear" w:color="auto" w:fill="auto"/>
            <w:vAlign w:val="center"/>
          </w:tcPr>
          <w:p w14:paraId="4E83E5AB">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eastAsia" w:ascii="宋体" w:hAnsi="宋体" w:eastAsia="宋体" w:cs="宋体"/>
                <w:color w:val="000000"/>
                <w:sz w:val="21"/>
                <w:szCs w:val="21"/>
              </w:rPr>
              <w:t>储罐接地涂色标识不规范。</w:t>
            </w:r>
          </w:p>
        </w:tc>
        <w:tc>
          <w:tcPr>
            <w:tcW w:w="3900" w:type="dxa"/>
            <w:tcBorders>
              <w:tl2br w:val="nil"/>
              <w:tr2bl w:val="nil"/>
            </w:tcBorders>
            <w:shd w:val="clear" w:color="auto" w:fill="auto"/>
            <w:vAlign w:val="center"/>
          </w:tcPr>
          <w:p w14:paraId="59ACB0E1">
            <w:pPr>
              <w:keepNext w:val="0"/>
              <w:keepLines w:val="0"/>
              <w:suppressLineNumbers w:val="0"/>
              <w:adjustRightInd w:val="0"/>
              <w:snapToGrid w:val="0"/>
              <w:spacing w:before="0" w:beforeLines="0" w:beforeAutospacing="0" w:after="0" w:afterLines="0" w:afterAutospacing="0" w:line="240" w:lineRule="auto"/>
              <w:ind w:left="0" w:right="0" w:firstLine="0" w:firstLineChars="0"/>
              <w:jc w:val="left"/>
              <w:rPr>
                <w:rFonts w:hint="eastAsia" w:ascii="宋体" w:hAnsi="Times New Roman" w:eastAsia="宋体" w:cs="宋体"/>
                <w:b w:val="0"/>
                <w:bCs w:val="0"/>
                <w:color w:val="000000"/>
                <w:sz w:val="21"/>
                <w:szCs w:val="21"/>
              </w:rPr>
            </w:pPr>
            <w:r>
              <w:rPr>
                <w:rFonts w:hint="default" w:ascii="宋体" w:hAnsi="宋体" w:eastAsia="宋体" w:cs="宋体"/>
                <w:color w:val="000000"/>
                <w:sz w:val="21"/>
                <w:szCs w:val="21"/>
              </w:rPr>
              <w:t>储罐接地涂色标识符合规范要求。</w:t>
            </w:r>
          </w:p>
        </w:tc>
        <w:tc>
          <w:tcPr>
            <w:tcW w:w="893" w:type="dxa"/>
            <w:tcBorders>
              <w:tl2br w:val="nil"/>
              <w:tr2bl w:val="nil"/>
            </w:tcBorders>
            <w:shd w:val="clear" w:color="auto" w:fill="auto"/>
            <w:vAlign w:val="center"/>
          </w:tcPr>
          <w:p w14:paraId="68D26DA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宋体" w:hAnsi="Times New Roman" w:eastAsia="宋体" w:cs="宋体"/>
                <w:b w:val="0"/>
                <w:bCs w:val="0"/>
                <w:color w:val="000000"/>
                <w:sz w:val="21"/>
                <w:szCs w:val="21"/>
              </w:rPr>
            </w:pPr>
            <w:r>
              <w:rPr>
                <w:rFonts w:hint="eastAsia" w:ascii="宋体" w:hAnsi="Times New Roman" w:eastAsia="宋体" w:cs="宋体"/>
                <w:b w:val="0"/>
                <w:bCs w:val="0"/>
                <w:color w:val="000000"/>
                <w:sz w:val="21"/>
                <w:szCs w:val="21"/>
              </w:rPr>
              <w:t>已整改</w:t>
            </w:r>
          </w:p>
        </w:tc>
      </w:tr>
    </w:tbl>
    <w:p w14:paraId="00158257">
      <w:pPr>
        <w:pStyle w:val="2"/>
        <w:rPr>
          <w:rFonts w:hint="default"/>
          <w:lang w:val="en-US" w:eastAsia="zh-CN"/>
        </w:rPr>
      </w:pPr>
    </w:p>
    <w:p w14:paraId="1B7AFBC8">
      <w:pPr>
        <w:pStyle w:val="2"/>
        <w:rPr>
          <w:rFonts w:hint="default"/>
          <w:lang w:val="en-US" w:eastAsia="zh-CN"/>
        </w:rPr>
      </w:pPr>
    </w:p>
    <w:p w14:paraId="7933A7DB">
      <w:pPr>
        <w:pStyle w:val="2"/>
        <w:rPr>
          <w:rFonts w:hint="default"/>
          <w:lang w:val="en-US" w:eastAsia="zh-CN"/>
        </w:rPr>
      </w:pPr>
    </w:p>
    <w:p w14:paraId="2764FBCB">
      <w:pPr>
        <w:pStyle w:val="2"/>
        <w:rPr>
          <w:rFonts w:hint="default"/>
          <w:lang w:val="en-US" w:eastAsia="zh-CN"/>
        </w:rPr>
      </w:pPr>
    </w:p>
    <w:p w14:paraId="5DF2C20A">
      <w:pPr>
        <w:pStyle w:val="2"/>
        <w:rPr>
          <w:rFonts w:hint="default"/>
          <w:lang w:val="en-US" w:eastAsia="zh-CN"/>
        </w:rPr>
      </w:pPr>
    </w:p>
    <w:p w14:paraId="62C496B8">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lang w:eastAsia="zh-CN"/>
        </w:rPr>
      </w:pPr>
    </w:p>
    <w:p w14:paraId="0C481F63">
      <w:pPr>
        <w:pStyle w:val="2"/>
        <w:rPr>
          <w:rFonts w:hint="default"/>
          <w:lang w:val="en-US" w:eastAsia="zh-CN"/>
        </w:rPr>
      </w:pPr>
    </w:p>
    <w:p w14:paraId="7600F68C">
      <w:pPr>
        <w:pStyle w:val="2"/>
        <w:spacing w:line="240" w:lineRule="auto"/>
        <w:rPr>
          <w:rFonts w:hint="default"/>
          <w:lang w:val="en-US" w:eastAsia="zh-CN"/>
        </w:rPr>
      </w:pPr>
      <w:r>
        <w:rPr>
          <w:rFonts w:hint="default"/>
          <w:lang w:val="en-US" w:eastAsia="zh-CN"/>
        </w:rPr>
        <w:drawing>
          <wp:inline distT="0" distB="0" distL="114300" distR="114300">
            <wp:extent cx="7680960" cy="5760720"/>
            <wp:effectExtent l="0" t="0" r="11430" b="15240"/>
            <wp:docPr id="18" name="图片 18" descr="IMG_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3523"/>
                    <pic:cNvPicPr>
                      <a:picLocks noChangeAspect="1"/>
                    </pic:cNvPicPr>
                  </pic:nvPicPr>
                  <pic:blipFill>
                    <a:blip r:embed="rId6"/>
                    <a:stretch>
                      <a:fillRect/>
                    </a:stretch>
                  </pic:blipFill>
                  <pic:spPr>
                    <a:xfrm rot="5400000">
                      <a:off x="0" y="0"/>
                      <a:ext cx="7680960" cy="5760720"/>
                    </a:xfrm>
                    <a:prstGeom prst="rect">
                      <a:avLst/>
                    </a:prstGeom>
                  </pic:spPr>
                </pic:pic>
              </a:graphicData>
            </a:graphic>
          </wp:inline>
        </w:drawing>
      </w:r>
      <w:r>
        <w:rPr>
          <w:rFonts w:hint="default"/>
          <w:lang w:val="en-US" w:eastAsia="zh-CN"/>
        </w:rPr>
        <w:drawing>
          <wp:inline distT="0" distB="0" distL="114300" distR="114300">
            <wp:extent cx="7680960" cy="5760720"/>
            <wp:effectExtent l="0" t="0" r="11430" b="15240"/>
            <wp:docPr id="17" name="图片 17" descr="IMG_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3524"/>
                    <pic:cNvPicPr>
                      <a:picLocks noChangeAspect="1"/>
                    </pic:cNvPicPr>
                  </pic:nvPicPr>
                  <pic:blipFill>
                    <a:blip r:embed="rId7"/>
                    <a:stretch>
                      <a:fillRect/>
                    </a:stretch>
                  </pic:blipFill>
                  <pic:spPr>
                    <a:xfrm rot="5400000">
                      <a:off x="0" y="0"/>
                      <a:ext cx="7680960" cy="5760720"/>
                    </a:xfrm>
                    <a:prstGeom prst="rect">
                      <a:avLst/>
                    </a:prstGeom>
                  </pic:spPr>
                </pic:pic>
              </a:graphicData>
            </a:graphic>
          </wp:inline>
        </w:drawing>
      </w:r>
      <w:r>
        <w:rPr>
          <w:rFonts w:hint="default"/>
          <w:lang w:val="en-US" w:eastAsia="zh-CN"/>
        </w:rPr>
        <w:drawing>
          <wp:inline distT="0" distB="0" distL="114300" distR="114300">
            <wp:extent cx="7680960" cy="5760720"/>
            <wp:effectExtent l="0" t="0" r="11430" b="15240"/>
            <wp:docPr id="16" name="图片 16" descr="IMG_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3525"/>
                    <pic:cNvPicPr>
                      <a:picLocks noChangeAspect="1"/>
                    </pic:cNvPicPr>
                  </pic:nvPicPr>
                  <pic:blipFill>
                    <a:blip r:embed="rId8"/>
                    <a:stretch>
                      <a:fillRect/>
                    </a:stretch>
                  </pic:blipFill>
                  <pic:spPr>
                    <a:xfrm rot="5400000">
                      <a:off x="0" y="0"/>
                      <a:ext cx="7680960" cy="5760720"/>
                    </a:xfrm>
                    <a:prstGeom prst="rect">
                      <a:avLst/>
                    </a:prstGeom>
                  </pic:spPr>
                </pic:pic>
              </a:graphicData>
            </a:graphic>
          </wp:inline>
        </w:drawing>
      </w:r>
      <w:r>
        <w:rPr>
          <w:rFonts w:hint="default"/>
          <w:lang w:val="en-US" w:eastAsia="zh-CN"/>
        </w:rPr>
        <w:drawing>
          <wp:inline distT="0" distB="0" distL="114300" distR="114300">
            <wp:extent cx="5751830" cy="4313555"/>
            <wp:effectExtent l="0" t="0" r="10795" b="1270"/>
            <wp:docPr id="15" name="图片 15" descr="IMG_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3526"/>
                    <pic:cNvPicPr>
                      <a:picLocks noChangeAspect="1"/>
                    </pic:cNvPicPr>
                  </pic:nvPicPr>
                  <pic:blipFill>
                    <a:blip r:embed="rId9"/>
                    <a:stretch>
                      <a:fillRect/>
                    </a:stretch>
                  </pic:blipFill>
                  <pic:spPr>
                    <a:xfrm rot="5400000">
                      <a:off x="0" y="0"/>
                      <a:ext cx="5751830" cy="4313555"/>
                    </a:xfrm>
                    <a:prstGeom prst="rect">
                      <a:avLst/>
                    </a:prstGeom>
                  </pic:spPr>
                </pic:pic>
              </a:graphicData>
            </a:graphic>
          </wp:inline>
        </w:drawing>
      </w:r>
      <w:r>
        <w:rPr>
          <w:rFonts w:hint="default"/>
          <w:lang w:val="en-US" w:eastAsia="zh-CN"/>
        </w:rPr>
        <w:drawing>
          <wp:inline distT="0" distB="0" distL="114300" distR="114300">
            <wp:extent cx="5751830" cy="4313555"/>
            <wp:effectExtent l="0" t="0" r="10795" b="1270"/>
            <wp:docPr id="24" name="图片 24" descr="IMG_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3527"/>
                    <pic:cNvPicPr>
                      <a:picLocks noChangeAspect="1"/>
                    </pic:cNvPicPr>
                  </pic:nvPicPr>
                  <pic:blipFill>
                    <a:blip r:embed="rId10"/>
                    <a:stretch>
                      <a:fillRect/>
                    </a:stretch>
                  </pic:blipFill>
                  <pic:spPr>
                    <a:xfrm rot="5400000">
                      <a:off x="0" y="0"/>
                      <a:ext cx="5751830" cy="4313555"/>
                    </a:xfrm>
                    <a:prstGeom prst="rect">
                      <a:avLst/>
                    </a:prstGeom>
                  </pic:spPr>
                </pic:pic>
              </a:graphicData>
            </a:graphic>
          </wp:inline>
        </w:drawing>
      </w:r>
      <w:r>
        <w:rPr>
          <w:rFonts w:hint="default"/>
          <w:lang w:val="en-US" w:eastAsia="zh-CN"/>
        </w:rPr>
        <w:drawing>
          <wp:inline distT="0" distB="0" distL="114300" distR="114300">
            <wp:extent cx="5751830" cy="4313555"/>
            <wp:effectExtent l="0" t="0" r="10795" b="1270"/>
            <wp:docPr id="23" name="图片 23" descr="IMG_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3528"/>
                    <pic:cNvPicPr>
                      <a:picLocks noChangeAspect="1"/>
                    </pic:cNvPicPr>
                  </pic:nvPicPr>
                  <pic:blipFill>
                    <a:blip r:embed="rId11"/>
                    <a:stretch>
                      <a:fillRect/>
                    </a:stretch>
                  </pic:blipFill>
                  <pic:spPr>
                    <a:xfrm rot="5400000">
                      <a:off x="0" y="0"/>
                      <a:ext cx="5751830" cy="4313555"/>
                    </a:xfrm>
                    <a:prstGeom prst="rect">
                      <a:avLst/>
                    </a:prstGeom>
                  </pic:spPr>
                </pic:pic>
              </a:graphicData>
            </a:graphic>
          </wp:inline>
        </w:drawing>
      </w:r>
      <w:r>
        <w:rPr>
          <w:rFonts w:hint="default"/>
          <w:lang w:val="en-US" w:eastAsia="zh-CN"/>
        </w:rPr>
        <w:drawing>
          <wp:inline distT="0" distB="0" distL="114300" distR="114300">
            <wp:extent cx="5751830" cy="4313555"/>
            <wp:effectExtent l="0" t="0" r="10795" b="1270"/>
            <wp:docPr id="22" name="图片 22" descr="IMG_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3529"/>
                    <pic:cNvPicPr>
                      <a:picLocks noChangeAspect="1"/>
                    </pic:cNvPicPr>
                  </pic:nvPicPr>
                  <pic:blipFill>
                    <a:blip r:embed="rId12"/>
                    <a:stretch>
                      <a:fillRect/>
                    </a:stretch>
                  </pic:blipFill>
                  <pic:spPr>
                    <a:xfrm rot="5400000">
                      <a:off x="0" y="0"/>
                      <a:ext cx="5751830" cy="4313555"/>
                    </a:xfrm>
                    <a:prstGeom prst="rect">
                      <a:avLst/>
                    </a:prstGeom>
                  </pic:spPr>
                </pic:pic>
              </a:graphicData>
            </a:graphic>
          </wp:inline>
        </w:drawing>
      </w:r>
      <w:r>
        <w:rPr>
          <w:rFonts w:hint="default"/>
          <w:lang w:val="en-US" w:eastAsia="zh-CN"/>
        </w:rPr>
        <w:drawing>
          <wp:inline distT="0" distB="0" distL="114300" distR="114300">
            <wp:extent cx="5751830" cy="4313555"/>
            <wp:effectExtent l="0" t="0" r="10795" b="1270"/>
            <wp:docPr id="21" name="图片 21" descr="IMG_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3530"/>
                    <pic:cNvPicPr>
                      <a:picLocks noChangeAspect="1"/>
                    </pic:cNvPicPr>
                  </pic:nvPicPr>
                  <pic:blipFill>
                    <a:blip r:embed="rId13"/>
                    <a:stretch>
                      <a:fillRect/>
                    </a:stretch>
                  </pic:blipFill>
                  <pic:spPr>
                    <a:xfrm rot="5400000">
                      <a:off x="0" y="0"/>
                      <a:ext cx="5751830" cy="4313555"/>
                    </a:xfrm>
                    <a:prstGeom prst="rect">
                      <a:avLst/>
                    </a:prstGeom>
                  </pic:spPr>
                </pic:pic>
              </a:graphicData>
            </a:graphic>
          </wp:inline>
        </w:drawing>
      </w:r>
      <w:r>
        <w:rPr>
          <w:rFonts w:hint="default"/>
          <w:lang w:val="en-US" w:eastAsia="zh-CN"/>
        </w:rPr>
        <w:drawing>
          <wp:inline distT="0" distB="0" distL="114300" distR="114300">
            <wp:extent cx="5751830" cy="4313555"/>
            <wp:effectExtent l="0" t="0" r="10795" b="1270"/>
            <wp:docPr id="19" name="图片 19" descr="IMG_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3532"/>
                    <pic:cNvPicPr>
                      <a:picLocks noChangeAspect="1"/>
                    </pic:cNvPicPr>
                  </pic:nvPicPr>
                  <pic:blipFill>
                    <a:blip r:embed="rId14"/>
                    <a:stretch>
                      <a:fillRect/>
                    </a:stretch>
                  </pic:blipFill>
                  <pic:spPr>
                    <a:xfrm rot="5400000">
                      <a:off x="0" y="0"/>
                      <a:ext cx="5751830" cy="4313555"/>
                    </a:xfrm>
                    <a:prstGeom prst="rect">
                      <a:avLst/>
                    </a:prstGeom>
                  </pic:spPr>
                </pic:pic>
              </a:graphicData>
            </a:graphic>
          </wp:inline>
        </w:drawing>
      </w:r>
      <w:r>
        <w:rPr>
          <w:rFonts w:hint="default"/>
          <w:lang w:val="en-US" w:eastAsia="zh-CN"/>
        </w:rPr>
        <w:drawing>
          <wp:inline distT="0" distB="0" distL="114300" distR="114300">
            <wp:extent cx="5751830" cy="4313555"/>
            <wp:effectExtent l="0" t="0" r="10795" b="1270"/>
            <wp:docPr id="20" name="图片 20" descr="IMG_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3531"/>
                    <pic:cNvPicPr>
                      <a:picLocks noChangeAspect="1"/>
                    </pic:cNvPicPr>
                  </pic:nvPicPr>
                  <pic:blipFill>
                    <a:blip r:embed="rId15"/>
                    <a:stretch>
                      <a:fillRect/>
                    </a:stretch>
                  </pic:blipFill>
                  <pic:spPr>
                    <a:xfrm rot="5400000">
                      <a:off x="0" y="0"/>
                      <a:ext cx="5751830" cy="4313555"/>
                    </a:xfrm>
                    <a:prstGeom prst="rect">
                      <a:avLst/>
                    </a:prstGeom>
                  </pic:spPr>
                </pic:pic>
              </a:graphicData>
            </a:graphic>
          </wp:inline>
        </w:drawing>
      </w:r>
    </w:p>
    <w:sectPr>
      <w:type w:val="continuous"/>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7E486D"/>
    <w:multiLevelType w:val="singleLevel"/>
    <w:tmpl w:val="297E486D"/>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hMTU5MjYzZjVmNGM5NzEyODNmNDZmYjBlYjY4YWIifQ=="/>
  </w:docVars>
  <w:rsids>
    <w:rsidRoot w:val="35CC29B8"/>
    <w:rsid w:val="029513F2"/>
    <w:rsid w:val="039504BE"/>
    <w:rsid w:val="03CC63D7"/>
    <w:rsid w:val="09D5345C"/>
    <w:rsid w:val="0A27015B"/>
    <w:rsid w:val="0BD51C61"/>
    <w:rsid w:val="0C860DEC"/>
    <w:rsid w:val="0EDC1223"/>
    <w:rsid w:val="109224BA"/>
    <w:rsid w:val="13D12EE6"/>
    <w:rsid w:val="153C4810"/>
    <w:rsid w:val="16BC1C2B"/>
    <w:rsid w:val="18895139"/>
    <w:rsid w:val="19E82D37"/>
    <w:rsid w:val="1B766F52"/>
    <w:rsid w:val="1CED3353"/>
    <w:rsid w:val="1D772B32"/>
    <w:rsid w:val="1E1E483E"/>
    <w:rsid w:val="1ECE699F"/>
    <w:rsid w:val="22CB7136"/>
    <w:rsid w:val="25C46CDA"/>
    <w:rsid w:val="284F788D"/>
    <w:rsid w:val="2A9D36CA"/>
    <w:rsid w:val="2EC41433"/>
    <w:rsid w:val="31B33160"/>
    <w:rsid w:val="34897199"/>
    <w:rsid w:val="355F439E"/>
    <w:rsid w:val="35CC29B8"/>
    <w:rsid w:val="38F15A12"/>
    <w:rsid w:val="39D72754"/>
    <w:rsid w:val="3AD24FC7"/>
    <w:rsid w:val="3BB85D78"/>
    <w:rsid w:val="3F702321"/>
    <w:rsid w:val="3FEA0D08"/>
    <w:rsid w:val="420C1409"/>
    <w:rsid w:val="42B4482C"/>
    <w:rsid w:val="44480294"/>
    <w:rsid w:val="4706325F"/>
    <w:rsid w:val="48FE4AE5"/>
    <w:rsid w:val="495431DD"/>
    <w:rsid w:val="4C8875DC"/>
    <w:rsid w:val="4FD01CC8"/>
    <w:rsid w:val="501F4C50"/>
    <w:rsid w:val="537F016A"/>
    <w:rsid w:val="559E5A81"/>
    <w:rsid w:val="563D798B"/>
    <w:rsid w:val="567C6788"/>
    <w:rsid w:val="579A241E"/>
    <w:rsid w:val="5AA46893"/>
    <w:rsid w:val="60193E6F"/>
    <w:rsid w:val="60660241"/>
    <w:rsid w:val="624F1172"/>
    <w:rsid w:val="6314629E"/>
    <w:rsid w:val="634C3B4B"/>
    <w:rsid w:val="63A159FD"/>
    <w:rsid w:val="64FC15ED"/>
    <w:rsid w:val="68A06711"/>
    <w:rsid w:val="6A035285"/>
    <w:rsid w:val="6AAE352A"/>
    <w:rsid w:val="6AD40467"/>
    <w:rsid w:val="6B60619E"/>
    <w:rsid w:val="6BF95CAB"/>
    <w:rsid w:val="6D0669CA"/>
    <w:rsid w:val="6FC41C9A"/>
    <w:rsid w:val="70AB545C"/>
    <w:rsid w:val="717A11AE"/>
    <w:rsid w:val="72FD2CFB"/>
    <w:rsid w:val="7772596D"/>
    <w:rsid w:val="77F53EE5"/>
    <w:rsid w:val="7AB02F22"/>
    <w:rsid w:val="7C3F3BAE"/>
    <w:rsid w:val="7D7D613E"/>
    <w:rsid w:val="7F5D0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szCs w:val="24"/>
      <w:u w:color="000000"/>
    </w:rPr>
  </w:style>
  <w:style w:type="paragraph" w:styleId="3">
    <w:name w:val="Normal Indent"/>
    <w:basedOn w:val="1"/>
    <w:qFormat/>
    <w:uiPriority w:val="99"/>
    <w:pPr>
      <w:ind w:firstLine="420"/>
    </w:pPr>
  </w:style>
  <w:style w:type="paragraph" w:styleId="4">
    <w:name w:val="Plain Text"/>
    <w:basedOn w:val="1"/>
    <w:unhideWhenUsed/>
    <w:qFormat/>
    <w:uiPriority w:val="99"/>
    <w:rPr>
      <w:rFonts w:ascii="宋体" w:hAnsi="Courier New"/>
      <w:kern w:val="0"/>
      <w:sz w:val="20"/>
      <w:szCs w:val="20"/>
    </w:rPr>
  </w:style>
  <w:style w:type="character" w:styleId="7">
    <w:name w:val="annotation reference"/>
    <w:qFormat/>
    <w:uiPriority w:val="99"/>
    <w:rPr>
      <w:sz w:val="21"/>
      <w:szCs w:val="21"/>
    </w:rPr>
  </w:style>
  <w:style w:type="paragraph" w:customStyle="1" w:styleId="8">
    <w:name w:val="111"/>
    <w:basedOn w:val="9"/>
    <w:qFormat/>
    <w:uiPriority w:val="0"/>
    <w:pPr>
      <w:widowControl/>
      <w:spacing w:beforeAutospacing="0" w:afterAutospacing="0"/>
      <w:jc w:val="left"/>
    </w:pPr>
    <w:rPr>
      <w:rFonts w:ascii="宋体" w:hAnsi="宋体" w:eastAsia="宋体" w:cs="宋体"/>
      <w:kern w:val="0"/>
      <w:sz w:val="24"/>
      <w:szCs w:val="24"/>
    </w:rPr>
  </w:style>
  <w:style w:type="paragraph" w:customStyle="1" w:styleId="9">
    <w:name w:val="题目"/>
    <w:basedOn w:val="1"/>
    <w:qFormat/>
    <w:uiPriority w:val="0"/>
    <w:pPr>
      <w:jc w:val="center"/>
      <w:outlineLvl w:val="0"/>
    </w:pPr>
    <w:rPr>
      <w:rFonts w:ascii="黑体" w:hAnsi="黑体" w:eastAsia="黑体"/>
      <w:sz w:val="32"/>
      <w:szCs w:val="32"/>
    </w:rPr>
  </w:style>
  <w:style w:type="paragraph" w:customStyle="1" w:styleId="10">
    <w:name w:val="Table Text"/>
    <w:basedOn w:val="1"/>
    <w:semiHidden/>
    <w:qFormat/>
    <w:uiPriority w:val="0"/>
    <w:rPr>
      <w:rFonts w:ascii="宋体" w:hAnsi="宋体" w:eastAsia="宋体" w:cs="宋体"/>
      <w:sz w:val="20"/>
      <w:szCs w:val="20"/>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13">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14">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15">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16">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17">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18">
    <w:name w:val="表内文字"/>
    <w:basedOn w:val="4"/>
    <w:qFormat/>
    <w:uiPriority w:val="0"/>
    <w:pPr>
      <w:spacing w:line="320" w:lineRule="exact"/>
      <w:jc w:val="center"/>
    </w:pPr>
    <w:rPr>
      <w:rFonts w:ascii="Times New Roman" w:hAnsi="Times New Roman"/>
      <w:kern w:val="2"/>
      <w:sz w:val="21"/>
      <w:szCs w:val="21"/>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4443</Words>
  <Characters>4695</Characters>
  <Lines>0</Lines>
  <Paragraphs>0</Paragraphs>
  <TotalTime>9</TotalTime>
  <ScaleCrop>false</ScaleCrop>
  <LinksUpToDate>false</LinksUpToDate>
  <CharactersWithSpaces>4711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孙虎</cp:lastModifiedBy>
  <dcterms:modified xsi:type="dcterms:W3CDTF">2026-07-26T08:17:21Z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158E41C4130D45F7BB2A42425FB8946B_11</vt:lpwstr>
  </property>
  <property fmtid="{D5CDD505-2E9C-101B-9397-08002B2CF9AE}" pid="4" name="KSOTemplateDocerSaveRecord">
    <vt:lpwstr>eyJoZGlkIjoiYTlhMTU5MjYzZjVmNGM5NzEyODNmNDZmYjBlYjY4YWIiLCJ1c2VySWQiOiIxNTA4ODg5MTM0In0=</vt:lpwstr>
  </property>
</Properties>
</file>