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2B9779">
      <w:pPr>
        <w:jc w:val="center"/>
        <w:rPr>
          <w:rFonts w:hint="eastAsia" w:ascii="黑体" w:hAnsi="黑体" w:eastAsia="黑体" w:cs="黑体"/>
          <w:sz w:val="28"/>
          <w:szCs w:val="28"/>
        </w:rPr>
      </w:pPr>
      <w:r>
        <w:rPr>
          <w:rFonts w:hint="eastAsia" w:ascii="黑体" w:hAnsi="黑体" w:eastAsia="黑体" w:cs="黑体"/>
          <w:sz w:val="28"/>
          <w:szCs w:val="28"/>
        </w:rPr>
        <w:t>安全评价项目信息表</w:t>
      </w:r>
    </w:p>
    <w:p w14:paraId="2E2E7E1F">
      <w:pPr>
        <w:rPr>
          <w:rFonts w:hint="eastAsia"/>
          <w:sz w:val="21"/>
          <w:szCs w:val="21"/>
          <w:lang w:val="en-US" w:eastAsia="zh-CN"/>
        </w:rPr>
      </w:pPr>
      <w:r>
        <w:rPr>
          <w:rFonts w:hint="eastAsia"/>
          <w:sz w:val="21"/>
          <w:szCs w:val="21"/>
          <w:lang w:val="en-US" w:eastAsia="zh-CN"/>
        </w:rPr>
        <w:t>项目编号：</w:t>
      </w:r>
    </w:p>
    <w:tbl>
      <w:tblPr>
        <w:tblStyle w:val="10"/>
        <w:tblW w:w="4999" w:type="pct"/>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Layout w:type="fixed"/>
        <w:tblCellMar>
          <w:top w:w="68" w:type="dxa"/>
          <w:left w:w="108" w:type="dxa"/>
          <w:bottom w:w="68" w:type="dxa"/>
          <w:right w:w="108" w:type="dxa"/>
        </w:tblCellMar>
      </w:tblPr>
      <w:tblGrid>
        <w:gridCol w:w="1854"/>
        <w:gridCol w:w="2214"/>
        <w:gridCol w:w="2378"/>
        <w:gridCol w:w="2953"/>
      </w:tblGrid>
      <w:tr w14:paraId="3322392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68" w:type="dxa"/>
            <w:left w:w="108" w:type="dxa"/>
            <w:bottom w:w="68" w:type="dxa"/>
            <w:right w:w="108" w:type="dxa"/>
          </w:tblCellMar>
        </w:tblPrEx>
        <w:trPr>
          <w:trHeight w:val="283" w:hRule="atLeast"/>
          <w:jc w:val="center"/>
        </w:trPr>
        <w:tc>
          <w:tcPr>
            <w:tcW w:w="1854" w:type="dxa"/>
            <w:tcBorders>
              <w:tl2br w:val="nil"/>
              <w:tr2bl w:val="nil"/>
            </w:tcBorders>
            <w:shd w:val="clear" w:color="auto" w:fill="auto"/>
            <w:vAlign w:val="center"/>
          </w:tcPr>
          <w:p w14:paraId="62F45E67">
            <w:pPr>
              <w:autoSpaceDE w:val="0"/>
              <w:autoSpaceDN w:val="0"/>
              <w:adjustRightInd w:val="0"/>
              <w:snapToGrid w:val="0"/>
              <w:spacing w:line="240" w:lineRule="auto"/>
              <w:ind w:firstLine="0" w:firstLineChars="0"/>
              <w:jc w:val="center"/>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项目名称</w:t>
            </w:r>
          </w:p>
        </w:tc>
        <w:tc>
          <w:tcPr>
            <w:tcW w:w="7545" w:type="dxa"/>
            <w:gridSpan w:val="3"/>
            <w:tcBorders>
              <w:tl2br w:val="nil"/>
              <w:tr2bl w:val="nil"/>
            </w:tcBorders>
            <w:shd w:val="clear" w:color="auto" w:fill="auto"/>
            <w:vAlign w:val="center"/>
          </w:tcPr>
          <w:p w14:paraId="5F0EE625">
            <w:pPr>
              <w:autoSpaceDE w:val="0"/>
              <w:autoSpaceDN w:val="0"/>
              <w:adjustRightInd w:val="0"/>
              <w:snapToGrid w:val="0"/>
              <w:spacing w:line="240" w:lineRule="auto"/>
              <w:ind w:firstLine="0" w:firstLineChars="0"/>
              <w:jc w:val="center"/>
              <w:rPr>
                <w:rFonts w:hint="default" w:ascii="宋体" w:hAnsi="宋体" w:eastAsia="宋体" w:cs="宋体"/>
                <w:b w:val="0"/>
                <w:bCs w:val="0"/>
                <w:color w:val="auto"/>
                <w:kern w:val="0"/>
                <w:sz w:val="21"/>
                <w:szCs w:val="21"/>
                <w:highlight w:val="none"/>
                <w:lang w:val="en-US"/>
              </w:rPr>
            </w:pPr>
            <w:r>
              <w:rPr>
                <w:rFonts w:hint="eastAsia"/>
                <w:color w:val="000000"/>
                <w:szCs w:val="21"/>
                <w:lang w:val="en-US" w:eastAsia="zh-CN"/>
              </w:rPr>
              <w:t>山东华阳迪尔化工股份有限公司年产20万吨熔盐储能（一期）技改项目安全设施竣工验收评价</w:t>
            </w:r>
          </w:p>
        </w:tc>
      </w:tr>
      <w:tr w14:paraId="1F3FA48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68" w:type="dxa"/>
            <w:left w:w="108" w:type="dxa"/>
            <w:bottom w:w="68" w:type="dxa"/>
            <w:right w:w="108" w:type="dxa"/>
          </w:tblCellMar>
        </w:tblPrEx>
        <w:trPr>
          <w:trHeight w:val="966" w:hRule="atLeast"/>
          <w:jc w:val="center"/>
        </w:trPr>
        <w:tc>
          <w:tcPr>
            <w:tcW w:w="1854" w:type="dxa"/>
            <w:tcBorders>
              <w:tl2br w:val="nil"/>
              <w:tr2bl w:val="nil"/>
            </w:tcBorders>
            <w:shd w:val="clear" w:color="auto" w:fill="auto"/>
            <w:vAlign w:val="center"/>
          </w:tcPr>
          <w:p w14:paraId="591D3CED">
            <w:pPr>
              <w:autoSpaceDE w:val="0"/>
              <w:autoSpaceDN w:val="0"/>
              <w:adjustRightInd w:val="0"/>
              <w:snapToGrid w:val="0"/>
              <w:spacing w:line="240" w:lineRule="auto"/>
              <w:ind w:firstLine="0" w:firstLineChars="0"/>
              <w:jc w:val="left"/>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项目简介</w:t>
            </w:r>
          </w:p>
        </w:tc>
        <w:tc>
          <w:tcPr>
            <w:tcW w:w="7545" w:type="dxa"/>
            <w:gridSpan w:val="3"/>
            <w:tcBorders>
              <w:tl2br w:val="nil"/>
              <w:tr2bl w:val="nil"/>
            </w:tcBorders>
            <w:shd w:val="clear" w:color="auto" w:fill="auto"/>
            <w:noWrap/>
            <w:vAlign w:val="center"/>
          </w:tcPr>
          <w:p w14:paraId="2072520D">
            <w:pPr>
              <w:pStyle w:val="25"/>
              <w:adjustRightInd w:val="0"/>
              <w:snapToGrid w:val="0"/>
              <w:jc w:val="left"/>
              <w:rPr>
                <w:rFonts w:hint="eastAsia" w:ascii="宋体" w:hAnsi="宋体" w:cs="宋体" w:eastAsiaTheme="minorEastAsia"/>
                <w:b w:val="0"/>
                <w:bCs w:val="0"/>
                <w:color w:val="auto"/>
                <w:kern w:val="0"/>
                <w:sz w:val="21"/>
                <w:szCs w:val="21"/>
                <w:highlight w:val="none"/>
                <w:lang w:eastAsia="zh-CN"/>
              </w:rPr>
            </w:pPr>
            <w:r>
              <w:rPr>
                <w:rFonts w:hint="eastAsia"/>
                <w:color w:val="auto"/>
                <w:lang w:val="en-US" w:eastAsia="zh-CN"/>
              </w:rPr>
              <w:t>对原年产20万吨熔盐储能项目（一期）进行技改，在保留原液碱法合成硝酸钠路线情况下新增纯碱法合成路线，改造后硝酸钠年产量不变。项目名称：年产20万吨熔盐储能（一期）技改项目，项目代码：2512-370921-07-02-532380。建设规模和内容为：项目位于宁阳县化工产业园，开拓大街以南、创业大道以东、华阳迪尔东厂区。项目为工业用地，在原址对项目一期进行技术改造，占地面积3206.83平方米，总投资3777万元，利用原硝酸钠生产车间及丁类厂房1，外购纯碱、液碱，新增自动投料、反应器等设备，将纯碱在丁类厂房溶解，液体泵入硝酸钠生产车间反应器，与稀硝酸反应并辅以液碱进行反应体系pH值的精确调控，生产硝酸钠溶液。硝酸钠生产车间增加一套挤压造粒设备生产颗粒状硝酸钠产品。项目建成后产能不变。</w:t>
            </w:r>
          </w:p>
        </w:tc>
      </w:tr>
      <w:tr w14:paraId="24236BD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68" w:type="dxa"/>
            <w:left w:w="108" w:type="dxa"/>
            <w:bottom w:w="68" w:type="dxa"/>
            <w:right w:w="108" w:type="dxa"/>
          </w:tblCellMar>
        </w:tblPrEx>
        <w:trPr>
          <w:trHeight w:val="283" w:hRule="atLeast"/>
          <w:jc w:val="center"/>
        </w:trPr>
        <w:tc>
          <w:tcPr>
            <w:tcW w:w="1854" w:type="dxa"/>
            <w:tcBorders>
              <w:tl2br w:val="nil"/>
              <w:tr2bl w:val="nil"/>
            </w:tcBorders>
            <w:shd w:val="clear" w:color="auto" w:fill="auto"/>
            <w:vAlign w:val="center"/>
          </w:tcPr>
          <w:p w14:paraId="3634F0C6">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评价人员</w:t>
            </w:r>
          </w:p>
        </w:tc>
        <w:tc>
          <w:tcPr>
            <w:tcW w:w="4592" w:type="dxa"/>
            <w:gridSpan w:val="2"/>
            <w:tcBorders>
              <w:tl2br w:val="nil"/>
              <w:tr2bl w:val="nil"/>
            </w:tcBorders>
            <w:shd w:val="clear" w:color="auto" w:fill="auto"/>
            <w:noWrap/>
            <w:vAlign w:val="center"/>
          </w:tcPr>
          <w:p w14:paraId="7AFCBB5F">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姓  名</w:t>
            </w:r>
          </w:p>
        </w:tc>
        <w:tc>
          <w:tcPr>
            <w:tcW w:w="2953" w:type="dxa"/>
            <w:tcBorders>
              <w:tl2br w:val="nil"/>
              <w:tr2bl w:val="nil"/>
            </w:tcBorders>
            <w:shd w:val="clear" w:color="auto" w:fill="auto"/>
            <w:noWrap/>
            <w:vAlign w:val="center"/>
          </w:tcPr>
          <w:p w14:paraId="4459B151">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备注</w:t>
            </w:r>
          </w:p>
        </w:tc>
      </w:tr>
      <w:tr w14:paraId="071273B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68" w:type="dxa"/>
            <w:left w:w="108" w:type="dxa"/>
            <w:bottom w:w="68" w:type="dxa"/>
            <w:right w:w="108" w:type="dxa"/>
          </w:tblCellMar>
        </w:tblPrEx>
        <w:trPr>
          <w:trHeight w:val="283" w:hRule="atLeast"/>
          <w:jc w:val="center"/>
        </w:trPr>
        <w:tc>
          <w:tcPr>
            <w:tcW w:w="1854" w:type="dxa"/>
            <w:tcBorders>
              <w:tl2br w:val="nil"/>
              <w:tr2bl w:val="nil"/>
            </w:tcBorders>
            <w:shd w:val="clear" w:color="auto" w:fill="auto"/>
            <w:vAlign w:val="center"/>
          </w:tcPr>
          <w:p w14:paraId="20029CA9">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项目负责人</w:t>
            </w:r>
          </w:p>
        </w:tc>
        <w:tc>
          <w:tcPr>
            <w:tcW w:w="4592" w:type="dxa"/>
            <w:gridSpan w:val="2"/>
            <w:tcBorders>
              <w:tl2br w:val="nil"/>
              <w:tr2bl w:val="nil"/>
            </w:tcBorders>
            <w:shd w:val="clear" w:color="auto" w:fill="auto"/>
            <w:noWrap/>
            <w:vAlign w:val="center"/>
          </w:tcPr>
          <w:p w14:paraId="054FFDF5">
            <w:pPr>
              <w:keepNext w:val="0"/>
              <w:keepLines w:val="0"/>
              <w:pageBreakBefore w:val="0"/>
              <w:kinsoku/>
              <w:wordWrap/>
              <w:overflowPunct/>
              <w:topLinePunct w:val="0"/>
              <w:autoSpaceDE/>
              <w:autoSpaceDN/>
              <w:bidi w:val="0"/>
              <w:snapToGrid w:val="0"/>
              <w:spacing w:line="240" w:lineRule="auto"/>
              <w:jc w:val="center"/>
              <w:textAlignment w:val="auto"/>
              <w:rPr>
                <w:rFonts w:hint="default" w:ascii="宋体" w:hAnsi="宋体" w:eastAsia="宋体" w:cs="宋体"/>
                <w:b w:val="0"/>
                <w:bCs w:val="0"/>
                <w:color w:val="auto"/>
                <w:kern w:val="0"/>
                <w:sz w:val="21"/>
                <w:szCs w:val="21"/>
                <w:highlight w:val="none"/>
                <w:lang w:val="en-US" w:eastAsia="zh-CN"/>
              </w:rPr>
            </w:pPr>
            <w:r>
              <w:rPr>
                <w:rFonts w:hint="eastAsia" w:ascii="Times New Roman" w:hAnsi="Times New Roman" w:eastAsia="宋体" w:cs="Times New Roman"/>
                <w:kern w:val="2"/>
                <w:sz w:val="21"/>
                <w:szCs w:val="21"/>
                <w:lang w:val="en-US" w:eastAsia="zh-CN" w:bidi="ar-SA"/>
              </w:rPr>
              <w:t>马琳琳</w:t>
            </w:r>
          </w:p>
        </w:tc>
        <w:tc>
          <w:tcPr>
            <w:tcW w:w="2953" w:type="dxa"/>
            <w:tcBorders>
              <w:tl2br w:val="nil"/>
              <w:tr2bl w:val="nil"/>
            </w:tcBorders>
            <w:shd w:val="clear" w:color="auto" w:fill="auto"/>
            <w:noWrap/>
            <w:vAlign w:val="center"/>
          </w:tcPr>
          <w:p w14:paraId="13B5539D">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r>
      <w:tr w14:paraId="3068DF6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68" w:type="dxa"/>
            <w:left w:w="108" w:type="dxa"/>
            <w:bottom w:w="68" w:type="dxa"/>
            <w:right w:w="108" w:type="dxa"/>
          </w:tblCellMar>
        </w:tblPrEx>
        <w:trPr>
          <w:trHeight w:val="283" w:hRule="atLeast"/>
          <w:jc w:val="center"/>
        </w:trPr>
        <w:tc>
          <w:tcPr>
            <w:tcW w:w="1854" w:type="dxa"/>
            <w:vMerge w:val="restart"/>
            <w:tcBorders>
              <w:tl2br w:val="nil"/>
              <w:tr2bl w:val="nil"/>
            </w:tcBorders>
            <w:shd w:val="clear" w:color="auto" w:fill="auto"/>
            <w:vAlign w:val="center"/>
          </w:tcPr>
          <w:p w14:paraId="5BB9D89F">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项目组成员</w:t>
            </w:r>
          </w:p>
        </w:tc>
        <w:tc>
          <w:tcPr>
            <w:tcW w:w="4592" w:type="dxa"/>
            <w:gridSpan w:val="2"/>
            <w:tcBorders>
              <w:tl2br w:val="nil"/>
              <w:tr2bl w:val="nil"/>
            </w:tcBorders>
            <w:shd w:val="clear" w:color="auto" w:fill="auto"/>
            <w:noWrap/>
            <w:vAlign w:val="center"/>
          </w:tcPr>
          <w:p w14:paraId="08442A67">
            <w:pPr>
              <w:keepNext w:val="0"/>
              <w:keepLines w:val="0"/>
              <w:pageBreakBefore w:val="0"/>
              <w:kinsoku/>
              <w:wordWrap/>
              <w:overflowPunct/>
              <w:topLinePunct w:val="0"/>
              <w:autoSpaceDE/>
              <w:autoSpaceDN/>
              <w:bidi w:val="0"/>
              <w:snapToGrid w:val="0"/>
              <w:spacing w:line="240" w:lineRule="auto"/>
              <w:jc w:val="center"/>
              <w:textAlignment w:val="auto"/>
              <w:rPr>
                <w:rFonts w:hint="eastAsia" w:ascii="宋体" w:hAnsi="宋体" w:eastAsia="宋体" w:cs="宋体"/>
                <w:b w:val="0"/>
                <w:bCs w:val="0"/>
                <w:color w:val="auto"/>
                <w:kern w:val="0"/>
                <w:sz w:val="21"/>
                <w:szCs w:val="21"/>
                <w:highlight w:val="none"/>
                <w:lang w:val="en-US" w:eastAsia="en-US"/>
              </w:rPr>
            </w:pPr>
            <w:r>
              <w:rPr>
                <w:rFonts w:hint="eastAsia" w:ascii="宋体" w:hAnsi="宋体" w:eastAsia="宋体" w:cs="宋体"/>
                <w:kern w:val="2"/>
                <w:sz w:val="21"/>
                <w:szCs w:val="21"/>
                <w:lang w:val="en-US" w:eastAsia="zh-CN" w:bidi="ar-SA"/>
              </w:rPr>
              <w:t>刘卫国</w:t>
            </w:r>
          </w:p>
        </w:tc>
        <w:tc>
          <w:tcPr>
            <w:tcW w:w="2953" w:type="dxa"/>
            <w:tcBorders>
              <w:tl2br w:val="nil"/>
              <w:tr2bl w:val="nil"/>
            </w:tcBorders>
            <w:shd w:val="clear" w:color="auto" w:fill="auto"/>
            <w:noWrap/>
            <w:vAlign w:val="center"/>
          </w:tcPr>
          <w:p w14:paraId="38A91610">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r>
      <w:tr w14:paraId="451D2D6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68" w:type="dxa"/>
            <w:left w:w="108" w:type="dxa"/>
            <w:bottom w:w="68" w:type="dxa"/>
            <w:right w:w="108" w:type="dxa"/>
          </w:tblCellMar>
        </w:tblPrEx>
        <w:trPr>
          <w:trHeight w:val="283" w:hRule="atLeast"/>
          <w:jc w:val="center"/>
        </w:trPr>
        <w:tc>
          <w:tcPr>
            <w:tcW w:w="1854" w:type="dxa"/>
            <w:vMerge w:val="continue"/>
            <w:tcBorders>
              <w:tl2br w:val="nil"/>
              <w:tr2bl w:val="nil"/>
            </w:tcBorders>
            <w:shd w:val="clear" w:color="auto" w:fill="auto"/>
            <w:vAlign w:val="center"/>
          </w:tcPr>
          <w:p w14:paraId="4BBF44E1">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c>
          <w:tcPr>
            <w:tcW w:w="4592" w:type="dxa"/>
            <w:gridSpan w:val="2"/>
            <w:tcBorders>
              <w:tl2br w:val="nil"/>
              <w:tr2bl w:val="nil"/>
            </w:tcBorders>
            <w:shd w:val="clear" w:color="auto" w:fill="auto"/>
            <w:noWrap/>
            <w:vAlign w:val="center"/>
          </w:tcPr>
          <w:p w14:paraId="0A5C369D">
            <w:pPr>
              <w:keepNext w:val="0"/>
              <w:keepLines w:val="0"/>
              <w:pageBreakBefore w:val="0"/>
              <w:widowControl/>
              <w:kinsoku/>
              <w:wordWrap/>
              <w:overflowPunct/>
              <w:topLinePunct w:val="0"/>
              <w:autoSpaceDE/>
              <w:autoSpaceDN/>
              <w:bidi w:val="0"/>
              <w:snapToGrid w:val="0"/>
              <w:spacing w:line="240" w:lineRule="auto"/>
              <w:jc w:val="center"/>
              <w:textAlignment w:val="auto"/>
              <w:rPr>
                <w:rFonts w:hint="eastAsia" w:ascii="宋体" w:hAnsi="宋体" w:eastAsia="宋体" w:cs="宋体"/>
                <w:b w:val="0"/>
                <w:bCs w:val="0"/>
                <w:color w:val="auto"/>
                <w:kern w:val="0"/>
                <w:sz w:val="21"/>
                <w:szCs w:val="21"/>
                <w:highlight w:val="none"/>
                <w:lang w:val="en-US" w:eastAsia="en-US"/>
              </w:rPr>
            </w:pPr>
            <w:r>
              <w:rPr>
                <w:rFonts w:hint="eastAsia" w:ascii="宋体" w:hAnsi="宋体" w:eastAsia="宋体" w:cs="宋体"/>
                <w:sz w:val="21"/>
                <w:szCs w:val="21"/>
              </w:rPr>
              <w:t>王</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静</w:t>
            </w:r>
          </w:p>
        </w:tc>
        <w:tc>
          <w:tcPr>
            <w:tcW w:w="2953" w:type="dxa"/>
            <w:tcBorders>
              <w:tl2br w:val="nil"/>
              <w:tr2bl w:val="nil"/>
            </w:tcBorders>
            <w:shd w:val="clear" w:color="auto" w:fill="auto"/>
            <w:noWrap/>
            <w:vAlign w:val="center"/>
          </w:tcPr>
          <w:p w14:paraId="252EC6FD">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r>
      <w:tr w14:paraId="52F8898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68" w:type="dxa"/>
            <w:left w:w="108" w:type="dxa"/>
            <w:bottom w:w="68" w:type="dxa"/>
            <w:right w:w="108" w:type="dxa"/>
          </w:tblCellMar>
        </w:tblPrEx>
        <w:trPr>
          <w:trHeight w:val="283" w:hRule="atLeast"/>
          <w:jc w:val="center"/>
        </w:trPr>
        <w:tc>
          <w:tcPr>
            <w:tcW w:w="1854" w:type="dxa"/>
            <w:vMerge w:val="continue"/>
            <w:tcBorders>
              <w:tl2br w:val="nil"/>
              <w:tr2bl w:val="nil"/>
            </w:tcBorders>
            <w:shd w:val="clear" w:color="auto" w:fill="auto"/>
            <w:vAlign w:val="center"/>
          </w:tcPr>
          <w:p w14:paraId="7D09BADA">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c>
          <w:tcPr>
            <w:tcW w:w="4592" w:type="dxa"/>
            <w:gridSpan w:val="2"/>
            <w:tcBorders>
              <w:tl2br w:val="nil"/>
              <w:tr2bl w:val="nil"/>
            </w:tcBorders>
            <w:shd w:val="clear" w:color="auto" w:fill="auto"/>
            <w:noWrap/>
            <w:vAlign w:val="center"/>
          </w:tcPr>
          <w:p w14:paraId="01431AE7">
            <w:pPr>
              <w:keepNext w:val="0"/>
              <w:keepLines w:val="0"/>
              <w:pageBreakBefore w:val="0"/>
              <w:kinsoku/>
              <w:wordWrap/>
              <w:overflowPunct/>
              <w:topLinePunct w:val="0"/>
              <w:autoSpaceDE/>
              <w:autoSpaceDN/>
              <w:bidi w:val="0"/>
              <w:snapToGrid w:val="0"/>
              <w:spacing w:line="240" w:lineRule="auto"/>
              <w:jc w:val="center"/>
              <w:textAlignment w:val="auto"/>
              <w:rPr>
                <w:rFonts w:hint="eastAsia" w:ascii="宋体" w:hAnsi="宋体" w:eastAsia="宋体" w:cs="宋体"/>
                <w:b w:val="0"/>
                <w:bCs w:val="0"/>
                <w:color w:val="auto"/>
                <w:kern w:val="0"/>
                <w:sz w:val="21"/>
                <w:szCs w:val="21"/>
                <w:highlight w:val="none"/>
                <w:lang w:val="en-US" w:eastAsia="en-US"/>
              </w:rPr>
            </w:pPr>
            <w:r>
              <w:rPr>
                <w:rFonts w:hint="eastAsia" w:ascii="宋体" w:hAnsi="宋体" w:eastAsia="宋体" w:cs="宋体"/>
                <w:sz w:val="21"/>
                <w:szCs w:val="21"/>
                <w:lang w:val="en-US" w:eastAsia="zh-CN"/>
              </w:rPr>
              <w:t>辛  磊</w:t>
            </w:r>
          </w:p>
        </w:tc>
        <w:tc>
          <w:tcPr>
            <w:tcW w:w="2953" w:type="dxa"/>
            <w:tcBorders>
              <w:tl2br w:val="nil"/>
              <w:tr2bl w:val="nil"/>
            </w:tcBorders>
            <w:shd w:val="clear" w:color="auto" w:fill="auto"/>
            <w:noWrap/>
            <w:vAlign w:val="center"/>
          </w:tcPr>
          <w:p w14:paraId="5892932F">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r>
      <w:tr w14:paraId="5C126F2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68" w:type="dxa"/>
            <w:left w:w="108" w:type="dxa"/>
            <w:bottom w:w="68" w:type="dxa"/>
            <w:right w:w="108" w:type="dxa"/>
          </w:tblCellMar>
        </w:tblPrEx>
        <w:trPr>
          <w:trHeight w:val="283" w:hRule="atLeast"/>
          <w:jc w:val="center"/>
        </w:trPr>
        <w:tc>
          <w:tcPr>
            <w:tcW w:w="1854" w:type="dxa"/>
            <w:vMerge w:val="continue"/>
            <w:tcBorders>
              <w:tl2br w:val="nil"/>
              <w:tr2bl w:val="nil"/>
            </w:tcBorders>
            <w:shd w:val="clear" w:color="auto" w:fill="auto"/>
            <w:vAlign w:val="center"/>
          </w:tcPr>
          <w:p w14:paraId="57244E74">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c>
          <w:tcPr>
            <w:tcW w:w="4592" w:type="dxa"/>
            <w:gridSpan w:val="2"/>
            <w:tcBorders>
              <w:tl2br w:val="nil"/>
              <w:tr2bl w:val="nil"/>
            </w:tcBorders>
            <w:shd w:val="clear" w:color="auto" w:fill="auto"/>
            <w:noWrap/>
            <w:vAlign w:val="center"/>
          </w:tcPr>
          <w:p w14:paraId="57E32863">
            <w:pPr>
              <w:keepNext w:val="0"/>
              <w:keepLines w:val="0"/>
              <w:pageBreakBefore w:val="0"/>
              <w:kinsoku/>
              <w:wordWrap/>
              <w:overflowPunct/>
              <w:topLinePunct w:val="0"/>
              <w:autoSpaceDE/>
              <w:autoSpaceDN/>
              <w:bidi w:val="0"/>
              <w:snapToGrid w:val="0"/>
              <w:spacing w:line="240" w:lineRule="auto"/>
              <w:jc w:val="center"/>
              <w:textAlignment w:val="auto"/>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sz w:val="21"/>
                <w:szCs w:val="21"/>
                <w:lang w:val="en-US" w:eastAsia="zh-CN"/>
              </w:rPr>
              <w:t>赵云峰</w:t>
            </w:r>
          </w:p>
        </w:tc>
        <w:tc>
          <w:tcPr>
            <w:tcW w:w="2953" w:type="dxa"/>
            <w:tcBorders>
              <w:tl2br w:val="nil"/>
              <w:tr2bl w:val="nil"/>
            </w:tcBorders>
            <w:shd w:val="clear" w:color="auto" w:fill="auto"/>
            <w:noWrap/>
            <w:vAlign w:val="center"/>
          </w:tcPr>
          <w:p w14:paraId="6DD091F2">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r>
      <w:tr w14:paraId="627B46D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68" w:type="dxa"/>
            <w:left w:w="108" w:type="dxa"/>
            <w:bottom w:w="68" w:type="dxa"/>
            <w:right w:w="108" w:type="dxa"/>
          </w:tblCellMar>
        </w:tblPrEx>
        <w:trPr>
          <w:trHeight w:val="283" w:hRule="atLeast"/>
          <w:jc w:val="center"/>
        </w:trPr>
        <w:tc>
          <w:tcPr>
            <w:tcW w:w="1854" w:type="dxa"/>
            <w:tcBorders>
              <w:tl2br w:val="nil"/>
              <w:tr2bl w:val="nil"/>
            </w:tcBorders>
            <w:shd w:val="clear" w:color="auto" w:fill="auto"/>
            <w:vAlign w:val="center"/>
          </w:tcPr>
          <w:p w14:paraId="6D776A54">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报告编制人</w:t>
            </w:r>
          </w:p>
        </w:tc>
        <w:tc>
          <w:tcPr>
            <w:tcW w:w="4592" w:type="dxa"/>
            <w:gridSpan w:val="2"/>
            <w:tcBorders>
              <w:tl2br w:val="nil"/>
              <w:tr2bl w:val="nil"/>
            </w:tcBorders>
            <w:shd w:val="clear" w:color="auto" w:fill="auto"/>
            <w:noWrap/>
            <w:vAlign w:val="center"/>
          </w:tcPr>
          <w:p w14:paraId="4C20FD21">
            <w:pPr>
              <w:autoSpaceDE w:val="0"/>
              <w:autoSpaceDN w:val="0"/>
              <w:adjustRightInd w:val="0"/>
              <w:snapToGrid w:val="0"/>
              <w:spacing w:line="240" w:lineRule="auto"/>
              <w:ind w:firstLine="0" w:firstLineChars="0"/>
              <w:jc w:val="center"/>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马琳琳</w:t>
            </w:r>
          </w:p>
        </w:tc>
        <w:tc>
          <w:tcPr>
            <w:tcW w:w="2953" w:type="dxa"/>
            <w:tcBorders>
              <w:tl2br w:val="nil"/>
              <w:tr2bl w:val="nil"/>
            </w:tcBorders>
            <w:shd w:val="clear" w:color="auto" w:fill="auto"/>
            <w:noWrap/>
            <w:vAlign w:val="center"/>
          </w:tcPr>
          <w:p w14:paraId="79A2C8F8">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r>
      <w:tr w14:paraId="3D33E96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68" w:type="dxa"/>
            <w:left w:w="108" w:type="dxa"/>
            <w:bottom w:w="68" w:type="dxa"/>
            <w:right w:w="108" w:type="dxa"/>
          </w:tblCellMar>
        </w:tblPrEx>
        <w:trPr>
          <w:trHeight w:val="283" w:hRule="atLeast"/>
          <w:jc w:val="center"/>
        </w:trPr>
        <w:tc>
          <w:tcPr>
            <w:tcW w:w="1854" w:type="dxa"/>
            <w:tcBorders>
              <w:tl2br w:val="nil"/>
              <w:tr2bl w:val="nil"/>
            </w:tcBorders>
            <w:shd w:val="clear" w:color="auto" w:fill="auto"/>
            <w:vAlign w:val="center"/>
          </w:tcPr>
          <w:p w14:paraId="6D943057">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报告审核人</w:t>
            </w:r>
          </w:p>
        </w:tc>
        <w:tc>
          <w:tcPr>
            <w:tcW w:w="4592" w:type="dxa"/>
            <w:gridSpan w:val="2"/>
            <w:tcBorders>
              <w:tl2br w:val="nil"/>
              <w:tr2bl w:val="nil"/>
            </w:tcBorders>
            <w:shd w:val="clear" w:color="auto" w:fill="auto"/>
            <w:noWrap/>
            <w:vAlign w:val="center"/>
          </w:tcPr>
          <w:p w14:paraId="32611B2D">
            <w:pPr>
              <w:autoSpaceDE w:val="0"/>
              <w:autoSpaceDN w:val="0"/>
              <w:adjustRightInd w:val="0"/>
              <w:snapToGrid w:val="0"/>
              <w:spacing w:line="240" w:lineRule="auto"/>
              <w:ind w:firstLine="0" w:firstLineChars="0"/>
              <w:jc w:val="center"/>
              <w:rPr>
                <w:rFonts w:hint="eastAsia" w:ascii="宋体" w:hAnsi="宋体" w:eastAsia="宋体" w:cs="宋体"/>
                <w:b w:val="0"/>
                <w:bCs w:val="0"/>
                <w:color w:val="auto"/>
                <w:kern w:val="0"/>
                <w:sz w:val="21"/>
                <w:szCs w:val="21"/>
                <w:highlight w:val="none"/>
                <w:lang w:val="en-US" w:eastAsia="en-US"/>
              </w:rPr>
            </w:pPr>
            <w:r>
              <w:rPr>
                <w:rFonts w:hint="eastAsia" w:ascii="宋体" w:hAnsi="宋体" w:eastAsia="宋体" w:cs="宋体"/>
                <w:b w:val="0"/>
                <w:bCs w:val="0"/>
                <w:color w:val="auto"/>
                <w:kern w:val="0"/>
                <w:sz w:val="21"/>
                <w:szCs w:val="21"/>
                <w:highlight w:val="none"/>
                <w:lang w:val="en-US" w:eastAsia="zh-CN"/>
              </w:rPr>
              <w:t>赵燕</w:t>
            </w:r>
          </w:p>
        </w:tc>
        <w:tc>
          <w:tcPr>
            <w:tcW w:w="2953" w:type="dxa"/>
            <w:tcBorders>
              <w:tl2br w:val="nil"/>
              <w:tr2bl w:val="nil"/>
            </w:tcBorders>
            <w:shd w:val="clear" w:color="auto" w:fill="auto"/>
            <w:noWrap/>
            <w:vAlign w:val="center"/>
          </w:tcPr>
          <w:p w14:paraId="5AA14393">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r>
      <w:tr w14:paraId="2BD6FC3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68" w:type="dxa"/>
            <w:left w:w="108" w:type="dxa"/>
            <w:bottom w:w="68" w:type="dxa"/>
            <w:right w:w="108" w:type="dxa"/>
          </w:tblCellMar>
        </w:tblPrEx>
        <w:trPr>
          <w:trHeight w:val="283" w:hRule="atLeast"/>
          <w:jc w:val="center"/>
        </w:trPr>
        <w:tc>
          <w:tcPr>
            <w:tcW w:w="1854" w:type="dxa"/>
            <w:tcBorders>
              <w:tl2br w:val="nil"/>
              <w:tr2bl w:val="nil"/>
            </w:tcBorders>
            <w:shd w:val="clear" w:color="auto" w:fill="auto"/>
            <w:vAlign w:val="center"/>
          </w:tcPr>
          <w:p w14:paraId="384A697D">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过程控制负责人</w:t>
            </w:r>
          </w:p>
        </w:tc>
        <w:tc>
          <w:tcPr>
            <w:tcW w:w="4592" w:type="dxa"/>
            <w:gridSpan w:val="2"/>
            <w:tcBorders>
              <w:tl2br w:val="nil"/>
              <w:tr2bl w:val="nil"/>
            </w:tcBorders>
            <w:shd w:val="clear" w:color="auto" w:fill="auto"/>
            <w:noWrap/>
            <w:vAlign w:val="center"/>
          </w:tcPr>
          <w:p w14:paraId="77C469F2">
            <w:pPr>
              <w:autoSpaceDE w:val="0"/>
              <w:autoSpaceDN w:val="0"/>
              <w:adjustRightInd w:val="0"/>
              <w:snapToGrid w:val="0"/>
              <w:spacing w:line="240" w:lineRule="auto"/>
              <w:ind w:firstLine="0" w:firstLineChars="0"/>
              <w:jc w:val="center"/>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刘云红</w:t>
            </w:r>
          </w:p>
        </w:tc>
        <w:tc>
          <w:tcPr>
            <w:tcW w:w="2953" w:type="dxa"/>
            <w:tcBorders>
              <w:tl2br w:val="nil"/>
              <w:tr2bl w:val="nil"/>
            </w:tcBorders>
            <w:shd w:val="clear" w:color="auto" w:fill="auto"/>
            <w:noWrap/>
            <w:vAlign w:val="center"/>
          </w:tcPr>
          <w:p w14:paraId="64257648">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r>
      <w:tr w14:paraId="765BAD2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68" w:type="dxa"/>
            <w:left w:w="108" w:type="dxa"/>
            <w:bottom w:w="68" w:type="dxa"/>
            <w:right w:w="108" w:type="dxa"/>
          </w:tblCellMar>
        </w:tblPrEx>
        <w:trPr>
          <w:trHeight w:val="283" w:hRule="atLeast"/>
          <w:jc w:val="center"/>
        </w:trPr>
        <w:tc>
          <w:tcPr>
            <w:tcW w:w="1854" w:type="dxa"/>
            <w:tcBorders>
              <w:tl2br w:val="nil"/>
              <w:tr2bl w:val="nil"/>
            </w:tcBorders>
            <w:shd w:val="clear" w:color="auto" w:fill="auto"/>
            <w:vAlign w:val="center"/>
          </w:tcPr>
          <w:p w14:paraId="6E511600">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技术负责人</w:t>
            </w:r>
          </w:p>
        </w:tc>
        <w:tc>
          <w:tcPr>
            <w:tcW w:w="4592" w:type="dxa"/>
            <w:gridSpan w:val="2"/>
            <w:tcBorders>
              <w:tl2br w:val="nil"/>
              <w:tr2bl w:val="nil"/>
            </w:tcBorders>
            <w:shd w:val="clear" w:color="auto" w:fill="auto"/>
            <w:noWrap/>
            <w:vAlign w:val="center"/>
          </w:tcPr>
          <w:p w14:paraId="412D6BDB">
            <w:pPr>
              <w:autoSpaceDE w:val="0"/>
              <w:autoSpaceDN w:val="0"/>
              <w:adjustRightInd w:val="0"/>
              <w:snapToGrid w:val="0"/>
              <w:spacing w:line="240" w:lineRule="auto"/>
              <w:ind w:firstLine="0" w:firstLineChars="0"/>
              <w:jc w:val="center"/>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孙虎</w:t>
            </w:r>
          </w:p>
        </w:tc>
        <w:tc>
          <w:tcPr>
            <w:tcW w:w="2953" w:type="dxa"/>
            <w:tcBorders>
              <w:tl2br w:val="nil"/>
              <w:tr2bl w:val="nil"/>
            </w:tcBorders>
            <w:shd w:val="clear" w:color="auto" w:fill="auto"/>
            <w:noWrap/>
            <w:vAlign w:val="center"/>
          </w:tcPr>
          <w:p w14:paraId="1A98D6A7">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r>
      <w:tr w14:paraId="1DE885F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68" w:type="dxa"/>
            <w:left w:w="108" w:type="dxa"/>
            <w:bottom w:w="68" w:type="dxa"/>
            <w:right w:w="108" w:type="dxa"/>
          </w:tblCellMar>
        </w:tblPrEx>
        <w:trPr>
          <w:trHeight w:val="294" w:hRule="atLeast"/>
          <w:jc w:val="center"/>
        </w:trPr>
        <w:tc>
          <w:tcPr>
            <w:tcW w:w="1854" w:type="dxa"/>
            <w:vMerge w:val="restart"/>
            <w:tcBorders>
              <w:tl2br w:val="nil"/>
              <w:tr2bl w:val="nil"/>
            </w:tcBorders>
            <w:shd w:val="clear" w:color="auto" w:fill="auto"/>
            <w:vAlign w:val="center"/>
          </w:tcPr>
          <w:p w14:paraId="0ED39F22">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技术专家</w:t>
            </w:r>
          </w:p>
          <w:p w14:paraId="54D3B77C">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或有关技术人员</w:t>
            </w:r>
          </w:p>
        </w:tc>
        <w:tc>
          <w:tcPr>
            <w:tcW w:w="4592" w:type="dxa"/>
            <w:gridSpan w:val="2"/>
            <w:tcBorders>
              <w:tl2br w:val="nil"/>
              <w:tr2bl w:val="nil"/>
            </w:tcBorders>
            <w:shd w:val="clear" w:color="auto" w:fill="auto"/>
            <w:noWrap/>
            <w:vAlign w:val="center"/>
          </w:tcPr>
          <w:p w14:paraId="285EDAC6">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c>
          <w:tcPr>
            <w:tcW w:w="2953" w:type="dxa"/>
            <w:tcBorders>
              <w:tl2br w:val="nil"/>
              <w:tr2bl w:val="nil"/>
            </w:tcBorders>
            <w:shd w:val="clear" w:color="auto" w:fill="auto"/>
            <w:noWrap/>
            <w:vAlign w:val="center"/>
          </w:tcPr>
          <w:p w14:paraId="01DE44E4">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r>
      <w:tr w14:paraId="6FBF8D6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68" w:type="dxa"/>
            <w:left w:w="108" w:type="dxa"/>
            <w:bottom w:w="68" w:type="dxa"/>
            <w:right w:w="108" w:type="dxa"/>
          </w:tblCellMar>
        </w:tblPrEx>
        <w:trPr>
          <w:trHeight w:val="283" w:hRule="atLeast"/>
          <w:jc w:val="center"/>
        </w:trPr>
        <w:tc>
          <w:tcPr>
            <w:tcW w:w="1854" w:type="dxa"/>
            <w:vMerge w:val="continue"/>
            <w:tcBorders>
              <w:tl2br w:val="nil"/>
              <w:tr2bl w:val="nil"/>
            </w:tcBorders>
            <w:shd w:val="clear" w:color="auto" w:fill="auto"/>
            <w:vAlign w:val="center"/>
          </w:tcPr>
          <w:p w14:paraId="725DAAAF">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c>
          <w:tcPr>
            <w:tcW w:w="4592" w:type="dxa"/>
            <w:gridSpan w:val="2"/>
            <w:tcBorders>
              <w:tl2br w:val="nil"/>
              <w:tr2bl w:val="nil"/>
            </w:tcBorders>
            <w:shd w:val="clear" w:color="auto" w:fill="auto"/>
            <w:noWrap/>
            <w:vAlign w:val="center"/>
          </w:tcPr>
          <w:p w14:paraId="506D4018">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c>
          <w:tcPr>
            <w:tcW w:w="2953" w:type="dxa"/>
            <w:tcBorders>
              <w:tl2br w:val="nil"/>
              <w:tr2bl w:val="nil"/>
            </w:tcBorders>
            <w:shd w:val="clear" w:color="auto" w:fill="auto"/>
            <w:noWrap/>
            <w:vAlign w:val="center"/>
          </w:tcPr>
          <w:p w14:paraId="66078CAF">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r>
      <w:tr w14:paraId="54590A9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68" w:type="dxa"/>
            <w:left w:w="108" w:type="dxa"/>
            <w:bottom w:w="68" w:type="dxa"/>
            <w:right w:w="108" w:type="dxa"/>
          </w:tblCellMar>
        </w:tblPrEx>
        <w:trPr>
          <w:trHeight w:val="283" w:hRule="atLeast"/>
          <w:jc w:val="center"/>
        </w:trPr>
        <w:tc>
          <w:tcPr>
            <w:tcW w:w="1854" w:type="dxa"/>
            <w:vMerge w:val="continue"/>
            <w:tcBorders>
              <w:tl2br w:val="nil"/>
              <w:tr2bl w:val="nil"/>
            </w:tcBorders>
            <w:shd w:val="clear" w:color="auto" w:fill="auto"/>
            <w:vAlign w:val="center"/>
          </w:tcPr>
          <w:p w14:paraId="5D612920">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c>
          <w:tcPr>
            <w:tcW w:w="4592" w:type="dxa"/>
            <w:gridSpan w:val="2"/>
            <w:tcBorders>
              <w:tl2br w:val="nil"/>
              <w:tr2bl w:val="nil"/>
            </w:tcBorders>
            <w:shd w:val="clear" w:color="auto" w:fill="auto"/>
            <w:noWrap/>
            <w:vAlign w:val="center"/>
          </w:tcPr>
          <w:p w14:paraId="5974AE2C">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c>
          <w:tcPr>
            <w:tcW w:w="2953" w:type="dxa"/>
            <w:tcBorders>
              <w:tl2br w:val="nil"/>
              <w:tr2bl w:val="nil"/>
            </w:tcBorders>
            <w:shd w:val="clear" w:color="auto" w:fill="auto"/>
            <w:noWrap/>
            <w:vAlign w:val="center"/>
          </w:tcPr>
          <w:p w14:paraId="5951DB7A">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r>
      <w:tr w14:paraId="4B8E137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68" w:type="dxa"/>
            <w:left w:w="108" w:type="dxa"/>
            <w:bottom w:w="68" w:type="dxa"/>
            <w:right w:w="108" w:type="dxa"/>
          </w:tblCellMar>
        </w:tblPrEx>
        <w:trPr>
          <w:trHeight w:val="283" w:hRule="atLeast"/>
          <w:jc w:val="center"/>
        </w:trPr>
        <w:tc>
          <w:tcPr>
            <w:tcW w:w="1854" w:type="dxa"/>
            <w:vMerge w:val="continue"/>
            <w:tcBorders>
              <w:tl2br w:val="nil"/>
              <w:tr2bl w:val="nil"/>
            </w:tcBorders>
            <w:shd w:val="clear" w:color="auto" w:fill="auto"/>
            <w:vAlign w:val="center"/>
          </w:tcPr>
          <w:p w14:paraId="24AA97A4">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c>
          <w:tcPr>
            <w:tcW w:w="4592" w:type="dxa"/>
            <w:gridSpan w:val="2"/>
            <w:tcBorders>
              <w:tl2br w:val="nil"/>
              <w:tr2bl w:val="nil"/>
            </w:tcBorders>
            <w:shd w:val="clear" w:color="auto" w:fill="auto"/>
            <w:noWrap/>
            <w:vAlign w:val="center"/>
          </w:tcPr>
          <w:p w14:paraId="0959ECEF">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c>
          <w:tcPr>
            <w:tcW w:w="2953" w:type="dxa"/>
            <w:tcBorders>
              <w:tl2br w:val="nil"/>
              <w:tr2bl w:val="nil"/>
            </w:tcBorders>
            <w:shd w:val="clear" w:color="auto" w:fill="auto"/>
            <w:noWrap/>
            <w:vAlign w:val="center"/>
          </w:tcPr>
          <w:p w14:paraId="5AB2ECF5">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r>
      <w:tr w14:paraId="4C3EFD7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68" w:type="dxa"/>
            <w:left w:w="108" w:type="dxa"/>
            <w:bottom w:w="68" w:type="dxa"/>
            <w:right w:w="108" w:type="dxa"/>
          </w:tblCellMar>
        </w:tblPrEx>
        <w:trPr>
          <w:trHeight w:val="283" w:hRule="atLeast"/>
          <w:jc w:val="center"/>
        </w:trPr>
        <w:tc>
          <w:tcPr>
            <w:tcW w:w="1854" w:type="dxa"/>
            <w:vMerge w:val="restart"/>
            <w:tcBorders>
              <w:tl2br w:val="nil"/>
              <w:tr2bl w:val="nil"/>
            </w:tcBorders>
            <w:shd w:val="clear" w:color="auto" w:fill="auto"/>
            <w:vAlign w:val="center"/>
          </w:tcPr>
          <w:p w14:paraId="373D0D51">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到现场开展安全</w:t>
            </w:r>
          </w:p>
          <w:p w14:paraId="2F4CEAB6">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评价工作情况</w:t>
            </w:r>
          </w:p>
        </w:tc>
        <w:tc>
          <w:tcPr>
            <w:tcW w:w="2214" w:type="dxa"/>
            <w:tcBorders>
              <w:tl2br w:val="nil"/>
              <w:tr2bl w:val="nil"/>
            </w:tcBorders>
            <w:shd w:val="clear" w:color="auto" w:fill="auto"/>
            <w:noWrap/>
            <w:vAlign w:val="center"/>
          </w:tcPr>
          <w:p w14:paraId="0DA27BCA">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时  间</w:t>
            </w:r>
          </w:p>
        </w:tc>
        <w:tc>
          <w:tcPr>
            <w:tcW w:w="2378" w:type="dxa"/>
            <w:tcBorders>
              <w:tl2br w:val="nil"/>
              <w:tr2bl w:val="nil"/>
            </w:tcBorders>
            <w:shd w:val="clear" w:color="auto" w:fill="auto"/>
            <w:noWrap/>
            <w:vAlign w:val="center"/>
          </w:tcPr>
          <w:p w14:paraId="1421A71D">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到现场主要人员</w:t>
            </w:r>
          </w:p>
        </w:tc>
        <w:tc>
          <w:tcPr>
            <w:tcW w:w="2953" w:type="dxa"/>
            <w:tcBorders>
              <w:tl2br w:val="nil"/>
              <w:tr2bl w:val="nil"/>
            </w:tcBorders>
            <w:shd w:val="clear" w:color="auto" w:fill="auto"/>
            <w:noWrap/>
            <w:vAlign w:val="center"/>
          </w:tcPr>
          <w:p w14:paraId="1C92C459">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主要任务</w:t>
            </w:r>
          </w:p>
        </w:tc>
      </w:tr>
      <w:tr w14:paraId="6F3AB45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68" w:type="dxa"/>
            <w:left w:w="108" w:type="dxa"/>
            <w:bottom w:w="68" w:type="dxa"/>
            <w:right w:w="108" w:type="dxa"/>
          </w:tblCellMar>
        </w:tblPrEx>
        <w:trPr>
          <w:trHeight w:val="283" w:hRule="atLeast"/>
          <w:jc w:val="center"/>
        </w:trPr>
        <w:tc>
          <w:tcPr>
            <w:tcW w:w="1854" w:type="dxa"/>
            <w:vMerge w:val="continue"/>
            <w:tcBorders>
              <w:tl2br w:val="nil"/>
              <w:tr2bl w:val="nil"/>
            </w:tcBorders>
            <w:shd w:val="clear" w:color="auto" w:fill="auto"/>
            <w:vAlign w:val="center"/>
          </w:tcPr>
          <w:p w14:paraId="7EE806A9">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c>
          <w:tcPr>
            <w:tcW w:w="2214" w:type="dxa"/>
            <w:tcBorders>
              <w:tl2br w:val="nil"/>
              <w:tr2bl w:val="nil"/>
            </w:tcBorders>
            <w:shd w:val="clear" w:color="auto" w:fill="auto"/>
            <w:noWrap/>
            <w:vAlign w:val="center"/>
          </w:tcPr>
          <w:p w14:paraId="7E41D27D">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2026.5.12</w:t>
            </w:r>
          </w:p>
        </w:tc>
        <w:tc>
          <w:tcPr>
            <w:tcW w:w="2378" w:type="dxa"/>
            <w:tcBorders>
              <w:tl2br w:val="nil"/>
              <w:tr2bl w:val="nil"/>
            </w:tcBorders>
            <w:shd w:val="clear" w:color="auto" w:fill="auto"/>
            <w:noWrap/>
            <w:vAlign w:val="center"/>
          </w:tcPr>
          <w:p w14:paraId="2EE280DF">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rPr>
            </w:pPr>
            <w:r>
              <w:rPr>
                <w:rFonts w:hint="eastAsia" w:ascii="宋体" w:hAnsi="宋体" w:eastAsia="宋体" w:cs="宋体"/>
                <w:sz w:val="24"/>
                <w:lang w:val="en-US" w:eastAsia="zh-CN"/>
              </w:rPr>
              <w:t>马琳琳、</w:t>
            </w:r>
            <w:r>
              <w:rPr>
                <w:rFonts w:hint="eastAsia" w:ascii="宋体" w:hAnsi="宋体" w:eastAsia="宋体" w:cs="宋体"/>
                <w:color w:val="auto"/>
                <w:kern w:val="0"/>
                <w:sz w:val="21"/>
                <w:szCs w:val="21"/>
                <w:highlight w:val="none"/>
                <w:lang w:val="en-US" w:eastAsia="zh-CN"/>
              </w:rPr>
              <w:t>辛磊</w:t>
            </w:r>
          </w:p>
        </w:tc>
        <w:tc>
          <w:tcPr>
            <w:tcW w:w="2953" w:type="dxa"/>
            <w:tcBorders>
              <w:tl2br w:val="nil"/>
              <w:tr2bl w:val="nil"/>
            </w:tcBorders>
            <w:shd w:val="clear" w:color="auto" w:fill="auto"/>
            <w:noWrap/>
            <w:vAlign w:val="center"/>
          </w:tcPr>
          <w:p w14:paraId="2E0A453D">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初访</w:t>
            </w:r>
          </w:p>
        </w:tc>
      </w:tr>
      <w:tr w14:paraId="0AA219B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68" w:type="dxa"/>
            <w:left w:w="108" w:type="dxa"/>
            <w:bottom w:w="68" w:type="dxa"/>
            <w:right w:w="108" w:type="dxa"/>
          </w:tblCellMar>
        </w:tblPrEx>
        <w:trPr>
          <w:trHeight w:val="283" w:hRule="atLeast"/>
          <w:jc w:val="center"/>
        </w:trPr>
        <w:tc>
          <w:tcPr>
            <w:tcW w:w="1854" w:type="dxa"/>
            <w:vMerge w:val="continue"/>
            <w:tcBorders>
              <w:tl2br w:val="nil"/>
              <w:tr2bl w:val="nil"/>
            </w:tcBorders>
            <w:shd w:val="clear" w:color="auto" w:fill="auto"/>
            <w:vAlign w:val="center"/>
          </w:tcPr>
          <w:p w14:paraId="56F5374D">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c>
          <w:tcPr>
            <w:tcW w:w="2214" w:type="dxa"/>
            <w:tcBorders>
              <w:tl2br w:val="nil"/>
              <w:tr2bl w:val="nil"/>
            </w:tcBorders>
            <w:shd w:val="clear" w:color="auto" w:fill="auto"/>
            <w:noWrap/>
            <w:vAlign w:val="center"/>
          </w:tcPr>
          <w:p w14:paraId="54ED758F">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2026.6.1</w:t>
            </w:r>
          </w:p>
        </w:tc>
        <w:tc>
          <w:tcPr>
            <w:tcW w:w="2378" w:type="dxa"/>
            <w:tcBorders>
              <w:tl2br w:val="nil"/>
              <w:tr2bl w:val="nil"/>
            </w:tcBorders>
            <w:shd w:val="clear" w:color="auto" w:fill="auto"/>
            <w:noWrap/>
            <w:vAlign w:val="center"/>
          </w:tcPr>
          <w:p w14:paraId="73B5032D">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r>
              <w:rPr>
                <w:rFonts w:hint="eastAsia" w:ascii="宋体" w:hAnsi="宋体" w:eastAsia="宋体" w:cs="宋体"/>
                <w:sz w:val="24"/>
                <w:lang w:val="en-US" w:eastAsia="zh-CN"/>
              </w:rPr>
              <w:t>马琳琳、</w:t>
            </w:r>
            <w:r>
              <w:rPr>
                <w:rFonts w:hint="eastAsia" w:ascii="宋体" w:hAnsi="宋体" w:eastAsia="宋体" w:cs="宋体"/>
                <w:color w:val="auto"/>
                <w:kern w:val="0"/>
                <w:sz w:val="21"/>
                <w:szCs w:val="21"/>
                <w:highlight w:val="none"/>
                <w:lang w:val="en-US" w:eastAsia="zh-CN"/>
              </w:rPr>
              <w:t>辛磊</w:t>
            </w:r>
          </w:p>
        </w:tc>
        <w:tc>
          <w:tcPr>
            <w:tcW w:w="2953" w:type="dxa"/>
            <w:tcBorders>
              <w:tl2br w:val="nil"/>
              <w:tr2bl w:val="nil"/>
            </w:tcBorders>
            <w:shd w:val="clear" w:color="auto" w:fill="auto"/>
            <w:noWrap/>
            <w:vAlign w:val="center"/>
          </w:tcPr>
          <w:p w14:paraId="5426880A">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现场考察</w:t>
            </w:r>
          </w:p>
        </w:tc>
      </w:tr>
      <w:tr w14:paraId="1741F1A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68" w:type="dxa"/>
            <w:left w:w="108" w:type="dxa"/>
            <w:bottom w:w="68" w:type="dxa"/>
            <w:right w:w="108" w:type="dxa"/>
          </w:tblCellMar>
        </w:tblPrEx>
        <w:trPr>
          <w:trHeight w:val="283" w:hRule="atLeast"/>
          <w:jc w:val="center"/>
        </w:trPr>
        <w:tc>
          <w:tcPr>
            <w:tcW w:w="1854" w:type="dxa"/>
            <w:vMerge w:val="continue"/>
            <w:tcBorders>
              <w:tl2br w:val="nil"/>
              <w:tr2bl w:val="nil"/>
            </w:tcBorders>
            <w:shd w:val="clear" w:color="auto" w:fill="auto"/>
            <w:vAlign w:val="center"/>
          </w:tcPr>
          <w:p w14:paraId="1432D140">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c>
          <w:tcPr>
            <w:tcW w:w="2214" w:type="dxa"/>
            <w:tcBorders>
              <w:tl2br w:val="nil"/>
              <w:tr2bl w:val="nil"/>
            </w:tcBorders>
            <w:shd w:val="clear" w:color="auto" w:fill="auto"/>
            <w:noWrap/>
            <w:vAlign w:val="center"/>
          </w:tcPr>
          <w:p w14:paraId="6F20C698">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2026.6.16</w:t>
            </w:r>
          </w:p>
        </w:tc>
        <w:tc>
          <w:tcPr>
            <w:tcW w:w="2378" w:type="dxa"/>
            <w:tcBorders>
              <w:tl2br w:val="nil"/>
              <w:tr2bl w:val="nil"/>
            </w:tcBorders>
            <w:shd w:val="clear" w:color="auto" w:fill="auto"/>
            <w:noWrap/>
            <w:vAlign w:val="center"/>
          </w:tcPr>
          <w:p w14:paraId="04E4ED31">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r>
              <w:rPr>
                <w:rFonts w:hint="eastAsia" w:ascii="宋体" w:hAnsi="宋体" w:eastAsia="宋体" w:cs="宋体"/>
                <w:sz w:val="24"/>
                <w:lang w:val="en-US" w:eastAsia="zh-CN"/>
              </w:rPr>
              <w:t>马琳琳、</w:t>
            </w:r>
            <w:r>
              <w:rPr>
                <w:rFonts w:hint="eastAsia" w:ascii="宋体" w:hAnsi="宋体" w:eastAsia="宋体" w:cs="宋体"/>
                <w:color w:val="auto"/>
                <w:kern w:val="0"/>
                <w:sz w:val="21"/>
                <w:szCs w:val="21"/>
                <w:highlight w:val="none"/>
                <w:lang w:val="en-US" w:eastAsia="zh-CN"/>
              </w:rPr>
              <w:t>辛磊</w:t>
            </w:r>
          </w:p>
        </w:tc>
        <w:tc>
          <w:tcPr>
            <w:tcW w:w="2953" w:type="dxa"/>
            <w:tcBorders>
              <w:tl2br w:val="nil"/>
              <w:tr2bl w:val="nil"/>
            </w:tcBorders>
            <w:shd w:val="clear" w:color="auto" w:fill="auto"/>
            <w:noWrap/>
            <w:vAlign w:val="center"/>
          </w:tcPr>
          <w:p w14:paraId="2FBD9281">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现场检查</w:t>
            </w:r>
          </w:p>
        </w:tc>
      </w:tr>
      <w:tr w14:paraId="4C41B55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68" w:type="dxa"/>
            <w:left w:w="108" w:type="dxa"/>
            <w:bottom w:w="68" w:type="dxa"/>
            <w:right w:w="108" w:type="dxa"/>
          </w:tblCellMar>
        </w:tblPrEx>
        <w:trPr>
          <w:trHeight w:val="283" w:hRule="atLeast"/>
          <w:jc w:val="center"/>
        </w:trPr>
        <w:tc>
          <w:tcPr>
            <w:tcW w:w="1854" w:type="dxa"/>
            <w:vMerge w:val="continue"/>
            <w:tcBorders>
              <w:tl2br w:val="nil"/>
              <w:tr2bl w:val="nil"/>
            </w:tcBorders>
            <w:shd w:val="clear" w:color="auto" w:fill="auto"/>
            <w:vAlign w:val="center"/>
          </w:tcPr>
          <w:p w14:paraId="7A100550">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c>
          <w:tcPr>
            <w:tcW w:w="2214" w:type="dxa"/>
            <w:tcBorders>
              <w:tl2br w:val="nil"/>
              <w:tr2bl w:val="nil"/>
            </w:tcBorders>
            <w:shd w:val="clear" w:color="auto" w:fill="auto"/>
            <w:noWrap/>
            <w:vAlign w:val="center"/>
          </w:tcPr>
          <w:p w14:paraId="0A09B080">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2026.6.20</w:t>
            </w:r>
          </w:p>
        </w:tc>
        <w:tc>
          <w:tcPr>
            <w:tcW w:w="2378" w:type="dxa"/>
            <w:tcBorders>
              <w:tl2br w:val="nil"/>
              <w:tr2bl w:val="nil"/>
            </w:tcBorders>
            <w:shd w:val="clear" w:color="auto" w:fill="auto"/>
            <w:noWrap/>
            <w:vAlign w:val="center"/>
          </w:tcPr>
          <w:p w14:paraId="4C632E30">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sz w:val="24"/>
                <w:lang w:val="en-US" w:eastAsia="zh-CN"/>
              </w:rPr>
              <w:t>马琳琳、</w:t>
            </w:r>
            <w:r>
              <w:rPr>
                <w:rFonts w:hint="eastAsia" w:ascii="宋体" w:hAnsi="宋体" w:eastAsia="宋体" w:cs="宋体"/>
                <w:color w:val="auto"/>
                <w:kern w:val="0"/>
                <w:sz w:val="21"/>
                <w:szCs w:val="21"/>
                <w:highlight w:val="none"/>
                <w:lang w:val="en-US" w:eastAsia="zh-CN"/>
              </w:rPr>
              <w:t>辛磊</w:t>
            </w:r>
          </w:p>
        </w:tc>
        <w:tc>
          <w:tcPr>
            <w:tcW w:w="2953" w:type="dxa"/>
            <w:tcBorders>
              <w:tl2br w:val="nil"/>
              <w:tr2bl w:val="nil"/>
            </w:tcBorders>
            <w:shd w:val="clear" w:color="auto" w:fill="auto"/>
            <w:noWrap/>
            <w:vAlign w:val="center"/>
          </w:tcPr>
          <w:p w14:paraId="69E636BA">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rPr>
              <w:t>现场核查</w:t>
            </w:r>
          </w:p>
        </w:tc>
      </w:tr>
      <w:tr w14:paraId="756B452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68" w:type="dxa"/>
            <w:left w:w="108" w:type="dxa"/>
            <w:bottom w:w="68" w:type="dxa"/>
            <w:right w:w="108" w:type="dxa"/>
          </w:tblCellMar>
        </w:tblPrEx>
        <w:trPr>
          <w:trHeight w:val="283" w:hRule="atLeast"/>
          <w:jc w:val="center"/>
        </w:trPr>
        <w:tc>
          <w:tcPr>
            <w:tcW w:w="9399" w:type="dxa"/>
            <w:gridSpan w:val="4"/>
            <w:tcBorders>
              <w:tl2br w:val="nil"/>
              <w:tr2bl w:val="nil"/>
            </w:tcBorders>
            <w:shd w:val="clear" w:color="auto" w:fill="auto"/>
            <w:vAlign w:val="center"/>
          </w:tcPr>
          <w:p w14:paraId="08E1CC7D">
            <w:pPr>
              <w:autoSpaceDE w:val="0"/>
              <w:autoSpaceDN w:val="0"/>
              <w:adjustRightInd w:val="0"/>
              <w:snapToGrid w:val="0"/>
              <w:spacing w:line="240" w:lineRule="auto"/>
              <w:ind w:firstLine="0" w:firstLineChars="0"/>
              <w:jc w:val="left"/>
              <w:rPr>
                <w:rFonts w:hint="default" w:ascii="宋体" w:hAnsi="宋体" w:eastAsia="宋体" w:cs="宋体"/>
                <w:color w:val="auto"/>
                <w:kern w:val="0"/>
                <w:sz w:val="21"/>
                <w:szCs w:val="21"/>
                <w:highlight w:val="none"/>
                <w:lang w:val="en-US"/>
              </w:rPr>
            </w:pPr>
            <w:r>
              <w:rPr>
                <w:rFonts w:hint="eastAsia" w:ascii="宋体" w:hAnsi="宋体" w:eastAsia="宋体" w:cs="宋体"/>
                <w:color w:val="auto"/>
                <w:kern w:val="0"/>
                <w:sz w:val="21"/>
                <w:szCs w:val="21"/>
                <w:highlight w:val="none"/>
                <w:lang w:val="en-US" w:eastAsia="zh-CN"/>
              </w:rPr>
              <w:t>安全评价报告提交时间：2026.7.10</w:t>
            </w:r>
          </w:p>
        </w:tc>
      </w:tr>
      <w:tr w14:paraId="1FFD004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68" w:type="dxa"/>
            <w:left w:w="108" w:type="dxa"/>
            <w:bottom w:w="68" w:type="dxa"/>
            <w:right w:w="108" w:type="dxa"/>
          </w:tblCellMar>
        </w:tblPrEx>
        <w:trPr>
          <w:trHeight w:val="283" w:hRule="atLeast"/>
          <w:jc w:val="center"/>
        </w:trPr>
        <w:tc>
          <w:tcPr>
            <w:tcW w:w="9399" w:type="dxa"/>
            <w:gridSpan w:val="4"/>
            <w:tcBorders>
              <w:tl2br w:val="nil"/>
              <w:tr2bl w:val="nil"/>
            </w:tcBorders>
            <w:shd w:val="clear" w:color="auto" w:fill="auto"/>
            <w:vAlign w:val="center"/>
          </w:tcPr>
          <w:p w14:paraId="3D278980">
            <w:pPr>
              <w:autoSpaceDE w:val="0"/>
              <w:autoSpaceDN w:val="0"/>
              <w:adjustRightInd w:val="0"/>
              <w:snapToGrid w:val="0"/>
              <w:spacing w:line="240" w:lineRule="auto"/>
              <w:ind w:firstLine="0" w:firstLineChars="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有必要公开的其它内容：</w:t>
            </w:r>
          </w:p>
        </w:tc>
      </w:tr>
    </w:tbl>
    <w:p w14:paraId="253F6D88">
      <w:pPr>
        <w:pageBreakBefore/>
        <w:widowControl w:val="0"/>
        <w:spacing w:before="312" w:beforeLines="100" w:after="312" w:afterLines="100" w:line="360" w:lineRule="auto"/>
        <w:jc w:val="center"/>
        <w:outlineLvl w:val="0"/>
        <w:rPr>
          <w:rFonts w:ascii="Times New Roman" w:hAnsi="Times New Roman" w:eastAsia="黑体" w:cs="Times New Roman"/>
          <w:color w:val="auto"/>
          <w:kern w:val="2"/>
          <w:sz w:val="32"/>
          <w:szCs w:val="21"/>
          <w:lang w:val="zh-CN" w:eastAsia="zh-CN" w:bidi="ar-SA"/>
        </w:rPr>
      </w:pPr>
      <w:bookmarkStart w:id="0" w:name="_Toc39158198"/>
      <w:bookmarkStart w:id="1" w:name="_Toc462405377"/>
      <w:bookmarkStart w:id="2" w:name="_Toc462405588"/>
      <w:bookmarkStart w:id="3" w:name="_Toc14928"/>
      <w:bookmarkStart w:id="4" w:name="_Toc492708655"/>
      <w:bookmarkStart w:id="5" w:name="_Toc483746065"/>
      <w:bookmarkStart w:id="6" w:name="_Toc462405313"/>
      <w:r>
        <w:rPr>
          <w:rFonts w:hint="eastAsia" w:ascii="Times New Roman" w:hAnsi="Times New Roman" w:eastAsia="黑体" w:cs="Times New Roman"/>
          <w:color w:val="auto"/>
          <w:kern w:val="2"/>
          <w:sz w:val="32"/>
          <w:szCs w:val="21"/>
          <w:lang w:val="zh-CN" w:eastAsia="zh-CN" w:bidi="ar-SA"/>
        </w:rPr>
        <w:t>第二章</w:t>
      </w:r>
      <w:r>
        <w:rPr>
          <w:rFonts w:hint="eastAsia" w:ascii="Times New Roman" w:hAnsi="Times New Roman" w:eastAsia="黑体" w:cs="Times New Roman"/>
          <w:color w:val="auto"/>
          <w:kern w:val="2"/>
          <w:sz w:val="32"/>
          <w:szCs w:val="21"/>
          <w:lang w:val="en-US" w:eastAsia="zh-CN" w:bidi="ar-SA"/>
        </w:rPr>
        <w:t xml:space="preserve"> </w:t>
      </w:r>
      <w:r>
        <w:rPr>
          <w:rFonts w:hint="eastAsia" w:ascii="Times New Roman" w:hAnsi="Times New Roman" w:eastAsia="黑体" w:cs="Times New Roman"/>
          <w:color w:val="auto"/>
          <w:kern w:val="2"/>
          <w:sz w:val="32"/>
          <w:szCs w:val="21"/>
          <w:lang w:val="zh-CN" w:eastAsia="zh-CN" w:bidi="ar-SA"/>
        </w:rPr>
        <w:t>概况</w:t>
      </w:r>
      <w:bookmarkEnd w:id="0"/>
      <w:bookmarkEnd w:id="1"/>
      <w:bookmarkEnd w:id="2"/>
      <w:bookmarkEnd w:id="3"/>
      <w:bookmarkEnd w:id="4"/>
      <w:bookmarkEnd w:id="5"/>
      <w:bookmarkEnd w:id="6"/>
    </w:p>
    <w:p w14:paraId="0D59C051">
      <w:pPr>
        <w:spacing w:before="156" w:beforeLines="50" w:after="156" w:afterLines="50" w:line="360" w:lineRule="auto"/>
        <w:jc w:val="center"/>
        <w:outlineLvl w:val="1"/>
        <w:rPr>
          <w:rFonts w:ascii="Times New Roman" w:hAnsi="Times New Roman" w:eastAsia="楷体_GB2312" w:cs="Times New Roman"/>
          <w:b/>
          <w:color w:val="auto"/>
          <w:kern w:val="2"/>
          <w:sz w:val="32"/>
          <w:szCs w:val="32"/>
          <w:lang w:val="en-US" w:eastAsia="zh-CN" w:bidi="ar-SA"/>
        </w:rPr>
      </w:pPr>
      <w:bookmarkStart w:id="7" w:name="_Toc462405314"/>
      <w:bookmarkStart w:id="8" w:name="_Toc492708656"/>
      <w:bookmarkStart w:id="9" w:name="_Toc462405378"/>
      <w:bookmarkStart w:id="10" w:name="_Toc39158199"/>
      <w:bookmarkStart w:id="11" w:name="_Toc483746066"/>
      <w:bookmarkStart w:id="12" w:name="_Toc462405589"/>
      <w:bookmarkStart w:id="13" w:name="_Toc11100"/>
      <w:r>
        <w:rPr>
          <w:rFonts w:hint="eastAsia" w:ascii="Times New Roman" w:hAnsi="Times New Roman" w:eastAsia="楷体_GB2312" w:cs="Times New Roman"/>
          <w:b/>
          <w:color w:val="auto"/>
          <w:kern w:val="2"/>
          <w:sz w:val="32"/>
          <w:szCs w:val="32"/>
          <w:lang w:val="zh-CN" w:eastAsia="zh-CN" w:bidi="ar-SA"/>
        </w:rPr>
        <w:t xml:space="preserve">第一节 </w:t>
      </w:r>
      <w:bookmarkEnd w:id="7"/>
      <w:bookmarkEnd w:id="8"/>
      <w:bookmarkEnd w:id="9"/>
      <w:bookmarkEnd w:id="10"/>
      <w:bookmarkEnd w:id="11"/>
      <w:bookmarkEnd w:id="12"/>
      <w:r>
        <w:rPr>
          <w:rFonts w:hint="eastAsia" w:ascii="Times New Roman" w:hAnsi="Times New Roman" w:eastAsia="楷体_GB2312" w:cs="Times New Roman"/>
          <w:b/>
          <w:color w:val="auto"/>
          <w:kern w:val="2"/>
          <w:sz w:val="32"/>
          <w:szCs w:val="32"/>
          <w:lang w:val="en-US" w:eastAsia="zh-CN" w:bidi="ar-SA"/>
        </w:rPr>
        <w:t>建设单位基本情况</w:t>
      </w:r>
      <w:bookmarkEnd w:id="13"/>
    </w:p>
    <w:p w14:paraId="4733A8F6">
      <w:pPr>
        <w:widowControl w:val="0"/>
        <w:adjustRightInd w:val="0"/>
        <w:snapToGrid w:val="0"/>
        <w:spacing w:line="360" w:lineRule="auto"/>
        <w:ind w:firstLine="560" w:firstLineChars="200"/>
        <w:jc w:val="both"/>
        <w:outlineLvl w:val="2"/>
        <w:rPr>
          <w:rFonts w:ascii="Times New Roman" w:hAnsi="Times New Roman" w:eastAsia="黑体" w:cs="Times New Roman"/>
          <w:color w:val="auto"/>
          <w:sz w:val="28"/>
          <w:u w:color="000000"/>
          <w:lang w:val="en-US" w:eastAsia="zh-CN" w:bidi="ar-SA"/>
        </w:rPr>
      </w:pPr>
      <w:bookmarkStart w:id="14" w:name="_Toc39158200"/>
      <w:r>
        <w:rPr>
          <w:rFonts w:hint="eastAsia" w:ascii="Times New Roman" w:hAnsi="Times New Roman" w:eastAsia="黑体" w:cs="Times New Roman"/>
          <w:color w:val="auto"/>
          <w:sz w:val="28"/>
          <w:u w:color="000000"/>
          <w:lang w:val="en-US" w:eastAsia="zh-CN" w:bidi="ar-SA"/>
        </w:rPr>
        <w:t>一、单位名称、性质及负责人</w:t>
      </w:r>
      <w:bookmarkEnd w:id="14"/>
    </w:p>
    <w:p w14:paraId="23E5AE6D">
      <w:pPr>
        <w:adjustRightInd w:val="0"/>
        <w:snapToGrid w:val="0"/>
        <w:spacing w:line="360" w:lineRule="auto"/>
        <w:ind w:firstLine="560" w:firstLineChars="200"/>
        <w:rPr>
          <w:rFonts w:ascii="宋体" w:hAnsi="宋体" w:eastAsia="宋体" w:cs="宋体"/>
          <w:color w:val="auto"/>
          <w:sz w:val="28"/>
          <w:szCs w:val="21"/>
        </w:rPr>
      </w:pPr>
      <w:r>
        <w:rPr>
          <w:rFonts w:hint="eastAsia" w:ascii="宋体" w:hAnsi="宋体" w:eastAsia="宋体" w:cs="宋体"/>
          <w:color w:val="auto"/>
          <w:sz w:val="28"/>
          <w:szCs w:val="21"/>
        </w:rPr>
        <w:t>建设单位：山东华阳迪尔化工股份有限公司</w:t>
      </w:r>
    </w:p>
    <w:p w14:paraId="3D6142E5">
      <w:pPr>
        <w:adjustRightInd w:val="0"/>
        <w:snapToGrid w:val="0"/>
        <w:spacing w:line="360" w:lineRule="auto"/>
        <w:ind w:firstLine="560" w:firstLineChars="200"/>
        <w:rPr>
          <w:rFonts w:ascii="宋体" w:hAnsi="宋体" w:eastAsia="宋体" w:cs="宋体"/>
          <w:color w:val="auto"/>
          <w:sz w:val="28"/>
          <w:szCs w:val="21"/>
        </w:rPr>
      </w:pPr>
      <w:r>
        <w:rPr>
          <w:rFonts w:hint="eastAsia" w:ascii="宋体" w:hAnsi="宋体" w:eastAsia="宋体" w:cs="宋体"/>
          <w:color w:val="auto"/>
          <w:sz w:val="28"/>
          <w:szCs w:val="21"/>
        </w:rPr>
        <w:t>注册地址：山东省泰安市宁阳县经济开发区葛石路06号</w:t>
      </w:r>
    </w:p>
    <w:p w14:paraId="575026FA">
      <w:pPr>
        <w:adjustRightInd w:val="0"/>
        <w:snapToGrid w:val="0"/>
        <w:spacing w:line="360" w:lineRule="auto"/>
        <w:ind w:firstLine="560" w:firstLineChars="200"/>
        <w:rPr>
          <w:rFonts w:ascii="宋体" w:hAnsi="宋体" w:eastAsia="宋体" w:cs="宋体"/>
          <w:color w:val="auto"/>
          <w:sz w:val="28"/>
          <w:szCs w:val="21"/>
        </w:rPr>
      </w:pPr>
      <w:r>
        <w:rPr>
          <w:rFonts w:hint="eastAsia" w:ascii="宋体" w:hAnsi="宋体" w:eastAsia="宋体" w:cs="宋体"/>
          <w:color w:val="auto"/>
          <w:sz w:val="28"/>
          <w:szCs w:val="21"/>
        </w:rPr>
        <w:t>法定代表人：高斌</w:t>
      </w:r>
    </w:p>
    <w:p w14:paraId="38F43237">
      <w:pPr>
        <w:adjustRightInd w:val="0"/>
        <w:snapToGrid w:val="0"/>
        <w:spacing w:line="360" w:lineRule="auto"/>
        <w:ind w:firstLine="560" w:firstLineChars="200"/>
        <w:rPr>
          <w:rFonts w:ascii="宋体" w:hAnsi="宋体" w:eastAsia="宋体" w:cs="宋体"/>
          <w:color w:val="auto"/>
          <w:sz w:val="28"/>
          <w:szCs w:val="21"/>
        </w:rPr>
      </w:pPr>
      <w:r>
        <w:rPr>
          <w:rFonts w:hint="eastAsia" w:ascii="宋体" w:hAnsi="宋体" w:eastAsia="宋体" w:cs="宋体"/>
          <w:color w:val="auto"/>
          <w:sz w:val="28"/>
          <w:szCs w:val="21"/>
        </w:rPr>
        <w:t>注册资本：壹亿陆仟贰佰贰拾捌万捌仟元整</w:t>
      </w:r>
    </w:p>
    <w:p w14:paraId="0B374951">
      <w:pPr>
        <w:adjustRightInd w:val="0"/>
        <w:snapToGrid w:val="0"/>
        <w:spacing w:line="360" w:lineRule="auto"/>
        <w:ind w:firstLine="560" w:firstLineChars="200"/>
        <w:rPr>
          <w:rFonts w:ascii="宋体" w:hAnsi="宋体" w:eastAsia="宋体" w:cs="宋体"/>
          <w:color w:val="auto"/>
          <w:sz w:val="28"/>
          <w:szCs w:val="21"/>
        </w:rPr>
      </w:pPr>
      <w:r>
        <w:rPr>
          <w:rFonts w:hint="eastAsia" w:ascii="宋体" w:hAnsi="宋体" w:eastAsia="宋体" w:cs="宋体"/>
          <w:color w:val="auto"/>
          <w:sz w:val="28"/>
          <w:szCs w:val="21"/>
        </w:rPr>
        <w:t>公司类型：股份有限公司</w:t>
      </w:r>
    </w:p>
    <w:p w14:paraId="63045A07">
      <w:pPr>
        <w:widowControl w:val="0"/>
        <w:adjustRightInd w:val="0"/>
        <w:snapToGrid w:val="0"/>
        <w:spacing w:line="360" w:lineRule="auto"/>
        <w:ind w:firstLine="560" w:firstLineChars="200"/>
        <w:jc w:val="both"/>
        <w:outlineLvl w:val="2"/>
        <w:rPr>
          <w:rFonts w:ascii="Times New Roman" w:hAnsi="Times New Roman" w:eastAsia="黑体" w:cs="Times New Roman"/>
          <w:color w:val="auto"/>
          <w:sz w:val="28"/>
          <w:u w:color="000000"/>
          <w:lang w:val="en-US" w:eastAsia="zh-CN" w:bidi="ar-SA"/>
        </w:rPr>
      </w:pPr>
      <w:r>
        <w:rPr>
          <w:rFonts w:hint="eastAsia" w:ascii="Times New Roman" w:hAnsi="Times New Roman" w:eastAsia="黑体" w:cs="Times New Roman"/>
          <w:color w:val="auto"/>
          <w:sz w:val="28"/>
          <w:u w:color="000000"/>
          <w:lang w:val="en-US" w:eastAsia="zh-CN" w:bidi="ar-SA"/>
        </w:rPr>
        <w:t>二、项目基本情况</w:t>
      </w:r>
    </w:p>
    <w:p w14:paraId="38FEA1D3">
      <w:pPr>
        <w:adjustRightInd w:val="0"/>
        <w:snapToGrid w:val="0"/>
        <w:spacing w:line="360" w:lineRule="auto"/>
        <w:ind w:firstLine="560" w:firstLineChars="200"/>
        <w:rPr>
          <w:rFonts w:ascii="宋体" w:hAnsi="宋体" w:eastAsia="宋体" w:cs="宋体"/>
          <w:color w:val="auto"/>
          <w:sz w:val="28"/>
          <w:szCs w:val="21"/>
        </w:rPr>
      </w:pPr>
      <w:bookmarkStart w:id="15" w:name="OLE_LINK1"/>
      <w:r>
        <w:rPr>
          <w:rFonts w:hint="eastAsia" w:ascii="宋体" w:hAnsi="宋体" w:eastAsia="宋体" w:cs="宋体"/>
          <w:color w:val="auto"/>
          <w:sz w:val="28"/>
          <w:szCs w:val="21"/>
        </w:rPr>
        <w:t xml:space="preserve">项目名称：年产20万吨熔盐储能（一期）技改项目 </w:t>
      </w:r>
    </w:p>
    <w:p w14:paraId="1B92E8FB">
      <w:pPr>
        <w:adjustRightInd w:val="0"/>
        <w:snapToGrid w:val="0"/>
        <w:spacing w:line="360" w:lineRule="auto"/>
        <w:ind w:firstLine="560" w:firstLineChars="200"/>
        <w:rPr>
          <w:rFonts w:ascii="宋体" w:hAnsi="宋体" w:eastAsia="宋体" w:cs="宋体"/>
          <w:color w:val="auto"/>
          <w:sz w:val="28"/>
          <w:szCs w:val="21"/>
        </w:rPr>
      </w:pPr>
      <w:r>
        <w:rPr>
          <w:rFonts w:hint="eastAsia" w:ascii="宋体" w:hAnsi="宋体" w:eastAsia="宋体" w:cs="宋体"/>
          <w:color w:val="auto"/>
          <w:sz w:val="28"/>
          <w:szCs w:val="21"/>
        </w:rPr>
        <w:t>建设单位：山东华阳迪尔化工股份有限公司</w:t>
      </w:r>
    </w:p>
    <w:bookmarkEnd w:id="15"/>
    <w:p w14:paraId="6E00AA0A">
      <w:pPr>
        <w:adjustRightInd w:val="0"/>
        <w:snapToGrid w:val="0"/>
        <w:spacing w:line="360" w:lineRule="auto"/>
        <w:ind w:firstLine="560" w:firstLineChars="200"/>
        <w:rPr>
          <w:rFonts w:ascii="宋体" w:hAnsi="宋体" w:eastAsia="宋体" w:cs="宋体"/>
          <w:color w:val="auto"/>
          <w:sz w:val="28"/>
          <w:szCs w:val="21"/>
        </w:rPr>
      </w:pPr>
      <w:r>
        <w:rPr>
          <w:rFonts w:hint="eastAsia" w:ascii="宋体" w:hAnsi="宋体" w:eastAsia="宋体" w:cs="宋体"/>
          <w:color w:val="auto"/>
          <w:sz w:val="28"/>
          <w:szCs w:val="21"/>
        </w:rPr>
        <w:t>项目性质：改建危险化学品</w:t>
      </w:r>
      <w:r>
        <w:rPr>
          <w:rFonts w:hint="eastAsia" w:ascii="宋体" w:hAnsi="宋体" w:eastAsia="宋体" w:cs="宋体"/>
          <w:color w:val="auto"/>
          <w:sz w:val="28"/>
          <w:szCs w:val="21"/>
          <w:lang w:val="en-US" w:eastAsia="zh-CN"/>
        </w:rPr>
        <w:t>生产</w:t>
      </w:r>
      <w:r>
        <w:rPr>
          <w:rFonts w:hint="eastAsia" w:ascii="宋体" w:hAnsi="宋体" w:eastAsia="宋体" w:cs="宋体"/>
          <w:color w:val="auto"/>
          <w:sz w:val="28"/>
          <w:szCs w:val="21"/>
        </w:rPr>
        <w:t>项目</w:t>
      </w:r>
    </w:p>
    <w:p w14:paraId="2A883F10">
      <w:pPr>
        <w:adjustRightInd w:val="0"/>
        <w:snapToGrid w:val="0"/>
        <w:spacing w:line="360" w:lineRule="auto"/>
        <w:ind w:firstLine="560" w:firstLineChars="200"/>
        <w:rPr>
          <w:rFonts w:ascii="宋体" w:hAnsi="宋体" w:eastAsia="宋体" w:cs="宋体"/>
          <w:color w:val="auto"/>
          <w:sz w:val="28"/>
          <w:szCs w:val="21"/>
        </w:rPr>
      </w:pPr>
      <w:r>
        <w:rPr>
          <w:rFonts w:hint="eastAsia" w:ascii="宋体" w:hAnsi="宋体" w:eastAsia="宋体" w:cs="宋体"/>
          <w:color w:val="auto"/>
          <w:sz w:val="28"/>
          <w:szCs w:val="21"/>
        </w:rPr>
        <w:t>建设地址：华阳迪尔东厂区北侧</w:t>
      </w:r>
    </w:p>
    <w:p w14:paraId="47E82559">
      <w:pPr>
        <w:adjustRightInd w:val="0"/>
        <w:snapToGrid w:val="0"/>
        <w:spacing w:line="360" w:lineRule="auto"/>
        <w:ind w:firstLine="560" w:firstLineChars="200"/>
        <w:rPr>
          <w:rFonts w:ascii="宋体" w:hAnsi="宋体" w:eastAsia="宋体" w:cs="宋体"/>
          <w:color w:val="auto"/>
          <w:sz w:val="28"/>
          <w:szCs w:val="21"/>
        </w:rPr>
      </w:pPr>
      <w:r>
        <w:rPr>
          <w:rFonts w:hint="eastAsia" w:ascii="宋体" w:hAnsi="宋体" w:eastAsia="宋体" w:cs="宋体"/>
          <w:color w:val="auto"/>
          <w:sz w:val="28"/>
          <w:szCs w:val="21"/>
        </w:rPr>
        <w:t>项目投资：总投资3777万元</w:t>
      </w:r>
    </w:p>
    <w:p w14:paraId="2FEDADAF">
      <w:pPr>
        <w:adjustRightInd w:val="0"/>
        <w:snapToGrid w:val="0"/>
        <w:spacing w:line="360" w:lineRule="auto"/>
        <w:ind w:firstLine="560" w:firstLineChars="200"/>
        <w:rPr>
          <w:rFonts w:ascii="宋体" w:hAnsi="宋体" w:eastAsia="宋体" w:cs="宋体"/>
          <w:color w:val="auto"/>
          <w:sz w:val="28"/>
          <w:szCs w:val="21"/>
        </w:rPr>
      </w:pPr>
      <w:r>
        <w:rPr>
          <w:rFonts w:hint="eastAsia" w:ascii="宋体" w:hAnsi="宋体" w:eastAsia="宋体" w:cs="宋体"/>
          <w:color w:val="auto"/>
          <w:sz w:val="28"/>
          <w:szCs w:val="21"/>
        </w:rPr>
        <w:t>建设内容：对原硝酸钠生产装置进行改造，依托原硝酸钠生产车间新增合成釜、造粒机等设备；依托原丁类仓库1改造为丁类厂房，布置正压动力机组、吨袋自动拆包机、纯碱料仓、化碱釜、缓存釜、压滤机、滤液罐等设备，并配套建设相关辅助设施。</w:t>
      </w:r>
    </w:p>
    <w:p w14:paraId="4C2CF10F">
      <w:pPr>
        <w:adjustRightInd w:val="0"/>
        <w:snapToGrid w:val="0"/>
        <w:spacing w:line="360" w:lineRule="auto"/>
        <w:ind w:firstLine="560" w:firstLineChars="200"/>
        <w:rPr>
          <w:rFonts w:ascii="宋体" w:hAnsi="宋体" w:eastAsia="宋体" w:cs="宋体"/>
          <w:color w:val="auto"/>
          <w:sz w:val="28"/>
          <w:szCs w:val="21"/>
        </w:rPr>
      </w:pPr>
      <w:r>
        <w:rPr>
          <w:rFonts w:hint="eastAsia" w:ascii="宋体" w:hAnsi="宋体" w:eastAsia="宋体" w:cs="宋体"/>
          <w:color w:val="auto"/>
          <w:sz w:val="28"/>
          <w:szCs w:val="21"/>
        </w:rPr>
        <w:t>劳动定员：技改项目定员32人，均依托原有，不新增劳动定员，操作人员实行四班三倒制，每班工作8小时。</w:t>
      </w:r>
    </w:p>
    <w:p w14:paraId="7328A829">
      <w:pPr>
        <w:adjustRightInd w:val="0"/>
        <w:snapToGrid w:val="0"/>
        <w:spacing w:line="360" w:lineRule="auto"/>
        <w:ind w:firstLine="560" w:firstLineChars="200"/>
        <w:rPr>
          <w:rFonts w:ascii="宋体" w:hAnsi="宋体" w:eastAsia="宋体" w:cs="宋体"/>
          <w:color w:val="auto"/>
          <w:sz w:val="28"/>
          <w:szCs w:val="21"/>
        </w:rPr>
      </w:pPr>
      <w:r>
        <w:rPr>
          <w:rFonts w:hint="eastAsia" w:ascii="宋体" w:hAnsi="宋体" w:eastAsia="宋体" w:cs="宋体"/>
          <w:color w:val="auto"/>
          <w:sz w:val="28"/>
          <w:szCs w:val="21"/>
        </w:rPr>
        <w:t>该项目全程为无机反应；硝酸钠具有强氧化性，与有机物、还原剂、易燃物和硫、磷等接触或混合时有引起燃烧爆炸的危险，但本身无爆炸性；建设项目所在厂区原有设施总平面布置依据《建筑设计防火规范》(GB50016-2014,2018 年版)进行设计。</w:t>
      </w:r>
    </w:p>
    <w:p w14:paraId="63FFFE3C">
      <w:pPr>
        <w:adjustRightInd w:val="0"/>
        <w:snapToGrid w:val="0"/>
        <w:spacing w:line="360" w:lineRule="auto"/>
        <w:ind w:firstLine="560" w:firstLineChars="200"/>
        <w:rPr>
          <w:rFonts w:hint="eastAsia" w:ascii="宋体" w:hAnsi="宋体" w:eastAsia="宋体" w:cs="宋体"/>
          <w:color w:val="auto"/>
          <w:sz w:val="28"/>
          <w:szCs w:val="21"/>
          <w:lang w:val="en-US" w:eastAsia="zh-CN"/>
        </w:rPr>
      </w:pPr>
      <w:r>
        <w:rPr>
          <w:rFonts w:hint="eastAsia" w:ascii="宋体" w:hAnsi="宋体" w:eastAsia="宋体" w:cs="宋体"/>
          <w:color w:val="auto"/>
          <w:sz w:val="28"/>
          <w:szCs w:val="21"/>
        </w:rPr>
        <w:t>根据《危险化学品目录（2015版）》原国家安全生产监督管理总局等十部门公告2015年第5号（2022年第8号公告</w:t>
      </w:r>
      <w:r>
        <w:rPr>
          <w:rFonts w:hint="eastAsia" w:ascii="宋体" w:hAnsi="宋体" w:eastAsia="宋体" w:cs="宋体"/>
          <w:color w:val="auto"/>
          <w:sz w:val="28"/>
          <w:szCs w:val="21"/>
          <w:lang w:eastAsia="zh-CN"/>
        </w:rPr>
        <w:t>、</w:t>
      </w:r>
      <w:r>
        <w:rPr>
          <w:rFonts w:hint="eastAsia" w:ascii="宋体" w:hAnsi="宋体" w:eastAsia="宋体" w:cs="宋体"/>
          <w:color w:val="auto"/>
          <w:sz w:val="28"/>
          <w:szCs w:val="21"/>
        </w:rPr>
        <w:t>2026年第3号公告修改）的规定，该建设项目在生产过程中涉及的危险化学品为稀硝酸（60%）、液碱（32%）、硝酸钠、氮氧化物（一氧化氮、二氧化氮，反应过程中产生），不涉及重点监管的危险化学品，不涉及重点监管危险化工工艺，未构成危险化学品重大危险源。</w:t>
      </w:r>
      <w:r>
        <w:rPr>
          <w:rFonts w:hint="eastAsia" w:ascii="宋体" w:hAnsi="宋体" w:eastAsia="宋体" w:cs="宋体"/>
          <w:color w:val="auto"/>
          <w:sz w:val="28"/>
          <w:szCs w:val="21"/>
          <w:lang w:val="en-US" w:eastAsia="zh-CN"/>
        </w:rPr>
        <w:br w:type="page"/>
      </w:r>
    </w:p>
    <w:p w14:paraId="2BA40DF4">
      <w:pPr>
        <w:pageBreakBefore/>
        <w:widowControl w:val="0"/>
        <w:spacing w:before="389" w:beforeLines="100" w:after="389" w:afterLines="100" w:line="360" w:lineRule="auto"/>
        <w:jc w:val="center"/>
        <w:outlineLvl w:val="0"/>
        <w:rPr>
          <w:rFonts w:ascii="黑体" w:hAnsi="Times New Roman" w:eastAsia="黑体" w:cs="黑体"/>
          <w:color w:val="auto"/>
          <w:kern w:val="2"/>
          <w:sz w:val="32"/>
          <w:szCs w:val="21"/>
          <w:lang w:val="en-US" w:eastAsia="zh-CN" w:bidi="ar-SA"/>
        </w:rPr>
      </w:pPr>
      <w:bookmarkStart w:id="16" w:name="_Toc22578"/>
      <w:bookmarkStart w:id="17" w:name="_Toc27485"/>
      <w:r>
        <w:rPr>
          <w:rFonts w:hint="eastAsia" w:ascii="Times New Roman" w:hAnsi="Times New Roman" w:eastAsia="黑体" w:cs="Times New Roman"/>
          <w:color w:val="auto"/>
          <w:kern w:val="2"/>
          <w:sz w:val="32"/>
          <w:szCs w:val="21"/>
          <w:lang w:val="zh-CN" w:eastAsia="zh-CN" w:bidi="ar-SA"/>
        </w:rPr>
        <w:t xml:space="preserve">第四章 </w:t>
      </w:r>
      <w:bookmarkEnd w:id="16"/>
      <w:r>
        <w:rPr>
          <w:rFonts w:hint="eastAsia" w:ascii="Times New Roman" w:hAnsi="Times New Roman" w:eastAsia="黑体" w:cs="Times New Roman"/>
          <w:color w:val="auto"/>
          <w:kern w:val="2"/>
          <w:sz w:val="32"/>
          <w:szCs w:val="21"/>
          <w:lang w:val="zh-CN" w:eastAsia="zh-CN" w:bidi="ar-SA"/>
        </w:rPr>
        <w:t>评价单元划分和评价方法选择</w:t>
      </w:r>
      <w:bookmarkEnd w:id="17"/>
    </w:p>
    <w:p w14:paraId="623E3BC3">
      <w:pPr>
        <w:spacing w:before="194" w:beforeLines="50" w:after="194" w:afterLines="50" w:line="360" w:lineRule="auto"/>
        <w:jc w:val="center"/>
        <w:outlineLvl w:val="1"/>
        <w:rPr>
          <w:rFonts w:ascii="Times New Roman" w:hAnsi="Times New Roman" w:eastAsia="楷体_GB2312" w:cs="Times New Roman"/>
          <w:b/>
          <w:color w:val="auto"/>
          <w:kern w:val="2"/>
          <w:sz w:val="32"/>
          <w:szCs w:val="32"/>
          <w:lang w:val="en-US" w:eastAsia="zh-CN" w:bidi="ar-SA"/>
        </w:rPr>
      </w:pPr>
      <w:bookmarkStart w:id="18" w:name="_Toc314037410"/>
      <w:bookmarkEnd w:id="18"/>
      <w:bookmarkStart w:id="19" w:name="_Toc10634"/>
      <w:bookmarkStart w:id="20" w:name="_Toc29785"/>
      <w:r>
        <w:rPr>
          <w:rFonts w:hint="eastAsia" w:ascii="Times New Roman" w:hAnsi="Times New Roman" w:eastAsia="楷体_GB2312" w:cs="Times New Roman"/>
          <w:b/>
          <w:color w:val="auto"/>
          <w:kern w:val="2"/>
          <w:sz w:val="32"/>
          <w:szCs w:val="32"/>
          <w:lang w:val="en-US" w:eastAsia="zh-CN" w:bidi="ar-SA"/>
        </w:rPr>
        <w:t xml:space="preserve">第一节 </w:t>
      </w:r>
      <w:bookmarkEnd w:id="19"/>
      <w:r>
        <w:rPr>
          <w:rFonts w:hint="eastAsia" w:ascii="Times New Roman" w:hAnsi="Times New Roman" w:eastAsia="楷体_GB2312" w:cs="Times New Roman"/>
          <w:b/>
          <w:color w:val="auto"/>
          <w:kern w:val="2"/>
          <w:sz w:val="32"/>
          <w:szCs w:val="32"/>
          <w:lang w:val="en-US" w:eastAsia="zh-CN" w:bidi="ar-SA"/>
        </w:rPr>
        <w:t>评价单元的划分</w:t>
      </w:r>
      <w:bookmarkEnd w:id="20"/>
    </w:p>
    <w:p w14:paraId="6E8414AA">
      <w:pPr>
        <w:widowControl w:val="0"/>
        <w:adjustRightInd w:val="0"/>
        <w:snapToGrid w:val="0"/>
        <w:spacing w:line="360" w:lineRule="auto"/>
        <w:ind w:firstLine="560" w:firstLineChars="200"/>
        <w:jc w:val="both"/>
        <w:outlineLvl w:val="2"/>
        <w:rPr>
          <w:rFonts w:ascii="Times New Roman" w:hAnsi="Times New Roman" w:eastAsia="黑体" w:cs="Times New Roman"/>
          <w:color w:val="auto"/>
          <w:sz w:val="28"/>
          <w:u w:color="000000"/>
          <w:lang w:val="en-US" w:eastAsia="zh-CN" w:bidi="ar-SA"/>
        </w:rPr>
      </w:pPr>
      <w:r>
        <w:rPr>
          <w:rFonts w:hint="eastAsia" w:ascii="Times New Roman" w:hAnsi="Times New Roman" w:eastAsia="黑体" w:cs="Times New Roman"/>
          <w:color w:val="auto"/>
          <w:sz w:val="28"/>
          <w:u w:color="000000"/>
          <w:lang w:val="en-US" w:eastAsia="zh-CN" w:bidi="ar-SA"/>
        </w:rPr>
        <w:t>一、评价单元的划分原则</w:t>
      </w:r>
    </w:p>
    <w:p w14:paraId="4B54136F">
      <w:pPr>
        <w:adjustRightInd w:val="0"/>
        <w:snapToGrid w:val="0"/>
        <w:spacing w:line="360" w:lineRule="auto"/>
        <w:ind w:firstLine="560" w:firstLineChars="200"/>
        <w:rPr>
          <w:rFonts w:ascii="宋体" w:hAnsi="宋体" w:eastAsia="宋体" w:cs="Times New Roman"/>
          <w:color w:val="auto"/>
          <w:sz w:val="28"/>
          <w:szCs w:val="21"/>
        </w:rPr>
      </w:pPr>
      <w:r>
        <w:rPr>
          <w:rFonts w:hint="eastAsia" w:ascii="宋体" w:hAnsi="宋体" w:eastAsia="宋体" w:cs="Times New Roman"/>
          <w:color w:val="auto"/>
          <w:sz w:val="28"/>
          <w:szCs w:val="21"/>
        </w:rPr>
        <w:t>划分评价单元是为评价目标和评价方法服务的，为便于评价工作的进行，提高评价工作的准确性，评价单元一般以生产工艺、工艺装置、物料的特点和特征与危险有害因素的类别、分布，有机结合起来进行划分，还可以按评价的要求将一个评价单元再划分为若干个子单元或更细致的单元。由于评价要求和目的不同，各类评价方法均有自身的特点，只要达到评价目的，评价单元的划分并不要求绝对一致。</w:t>
      </w:r>
    </w:p>
    <w:p w14:paraId="24CCB36A">
      <w:pPr>
        <w:adjustRightInd w:val="0"/>
        <w:snapToGrid w:val="0"/>
        <w:spacing w:line="360" w:lineRule="auto"/>
        <w:ind w:firstLine="560" w:firstLineChars="200"/>
        <w:rPr>
          <w:rFonts w:ascii="宋体" w:hAnsi="宋体" w:eastAsia="宋体" w:cs="Times New Roman"/>
          <w:color w:val="auto"/>
          <w:sz w:val="28"/>
          <w:szCs w:val="21"/>
        </w:rPr>
      </w:pPr>
      <w:r>
        <w:rPr>
          <w:rFonts w:hint="eastAsia" w:ascii="宋体" w:hAnsi="宋体" w:eastAsia="宋体" w:cs="Times New Roman"/>
          <w:color w:val="auto"/>
          <w:sz w:val="28"/>
          <w:szCs w:val="21"/>
        </w:rPr>
        <w:t>评价单元的划分应遵循以下原则：</w:t>
      </w:r>
    </w:p>
    <w:p w14:paraId="060E700B">
      <w:pPr>
        <w:adjustRightInd w:val="0"/>
        <w:snapToGrid w:val="0"/>
        <w:spacing w:line="360" w:lineRule="auto"/>
        <w:ind w:firstLine="560" w:firstLineChars="200"/>
        <w:rPr>
          <w:rFonts w:ascii="宋体" w:hAnsi="宋体" w:eastAsia="宋体" w:cs="Times New Roman"/>
          <w:color w:val="auto"/>
          <w:sz w:val="28"/>
          <w:szCs w:val="21"/>
        </w:rPr>
      </w:pPr>
      <w:r>
        <w:rPr>
          <w:rFonts w:hint="eastAsia" w:ascii="宋体" w:hAnsi="宋体" w:eastAsia="宋体" w:cs="Times New Roman"/>
          <w:color w:val="auto"/>
          <w:sz w:val="28"/>
          <w:szCs w:val="21"/>
        </w:rPr>
        <w:t>1、以危险有害因素的类别为主划分评价单元</w:t>
      </w:r>
    </w:p>
    <w:p w14:paraId="2025E196">
      <w:pPr>
        <w:adjustRightInd w:val="0"/>
        <w:snapToGrid w:val="0"/>
        <w:spacing w:line="360" w:lineRule="auto"/>
        <w:ind w:firstLine="560" w:firstLineChars="200"/>
        <w:rPr>
          <w:rFonts w:ascii="宋体" w:hAnsi="宋体" w:eastAsia="宋体" w:cs="Times New Roman"/>
          <w:color w:val="auto"/>
          <w:sz w:val="28"/>
          <w:szCs w:val="21"/>
        </w:rPr>
      </w:pPr>
      <w:r>
        <w:rPr>
          <w:rFonts w:hint="eastAsia" w:ascii="宋体" w:hAnsi="宋体" w:eastAsia="宋体" w:cs="Times New Roman"/>
          <w:color w:val="auto"/>
          <w:sz w:val="28"/>
          <w:szCs w:val="21"/>
        </w:rPr>
        <w:t>（1）对工艺方案、总体布置及自然条件、社会环境等影响系统的危险有害因素的分析和评价，宜将整个系统作为一个评价单元。</w:t>
      </w:r>
    </w:p>
    <w:p w14:paraId="46DA534A">
      <w:pPr>
        <w:adjustRightInd w:val="0"/>
        <w:snapToGrid w:val="0"/>
        <w:spacing w:line="360" w:lineRule="auto"/>
        <w:ind w:firstLine="560" w:firstLineChars="200"/>
        <w:rPr>
          <w:rFonts w:ascii="宋体" w:hAnsi="宋体" w:eastAsia="宋体" w:cs="Times New Roman"/>
          <w:color w:val="auto"/>
          <w:sz w:val="28"/>
          <w:szCs w:val="21"/>
        </w:rPr>
      </w:pPr>
      <w:r>
        <w:rPr>
          <w:rFonts w:hint="eastAsia" w:ascii="宋体" w:hAnsi="宋体" w:eastAsia="宋体" w:cs="Times New Roman"/>
          <w:color w:val="auto"/>
          <w:sz w:val="28"/>
          <w:szCs w:val="21"/>
        </w:rPr>
        <w:t>（2）将具有共性危险有害因素的场所和装置划分为一个评价单元。</w:t>
      </w:r>
    </w:p>
    <w:p w14:paraId="4E263BAF">
      <w:pPr>
        <w:adjustRightInd w:val="0"/>
        <w:snapToGrid w:val="0"/>
        <w:spacing w:line="360" w:lineRule="auto"/>
        <w:ind w:firstLine="560" w:firstLineChars="200"/>
        <w:rPr>
          <w:rFonts w:ascii="宋体" w:hAnsi="宋体" w:eastAsia="宋体" w:cs="Times New Roman"/>
          <w:color w:val="auto"/>
          <w:sz w:val="28"/>
          <w:szCs w:val="21"/>
        </w:rPr>
      </w:pPr>
      <w:r>
        <w:rPr>
          <w:rFonts w:hint="eastAsia" w:ascii="宋体" w:hAnsi="宋体" w:eastAsia="宋体" w:cs="Times New Roman"/>
          <w:color w:val="auto"/>
          <w:sz w:val="28"/>
          <w:szCs w:val="21"/>
        </w:rPr>
        <w:t>①按危险、有害因素的类别各划分一个单元，再按工艺、物料、作业特点（即其潜在危险、有害因素的不同）划分子单元分别评价；</w:t>
      </w:r>
    </w:p>
    <w:p w14:paraId="51C1743D">
      <w:pPr>
        <w:adjustRightInd w:val="0"/>
        <w:snapToGrid w:val="0"/>
        <w:spacing w:line="360" w:lineRule="auto"/>
        <w:ind w:firstLine="560" w:firstLineChars="200"/>
        <w:rPr>
          <w:rFonts w:ascii="宋体" w:hAnsi="宋体" w:eastAsia="宋体" w:cs="Times New Roman"/>
          <w:color w:val="auto"/>
          <w:sz w:val="28"/>
          <w:szCs w:val="21"/>
        </w:rPr>
      </w:pPr>
      <w:r>
        <w:rPr>
          <w:rFonts w:hint="eastAsia" w:ascii="宋体" w:hAnsi="宋体" w:eastAsia="宋体" w:cs="Times New Roman"/>
          <w:color w:val="auto"/>
          <w:sz w:val="28"/>
          <w:szCs w:val="21"/>
        </w:rPr>
        <w:t>②按有害因素（有害作业）的类别划分评价单元。</w:t>
      </w:r>
    </w:p>
    <w:p w14:paraId="1F8C864C">
      <w:pPr>
        <w:adjustRightInd w:val="0"/>
        <w:snapToGrid w:val="0"/>
        <w:spacing w:line="360" w:lineRule="auto"/>
        <w:ind w:firstLine="560" w:firstLineChars="200"/>
        <w:rPr>
          <w:rFonts w:ascii="宋体" w:hAnsi="宋体" w:eastAsia="宋体" w:cs="Times New Roman"/>
          <w:color w:val="auto"/>
          <w:sz w:val="28"/>
          <w:szCs w:val="21"/>
        </w:rPr>
      </w:pPr>
      <w:r>
        <w:rPr>
          <w:rFonts w:hint="eastAsia" w:ascii="宋体" w:hAnsi="宋体" w:eastAsia="宋体" w:cs="Times New Roman"/>
          <w:color w:val="auto"/>
          <w:sz w:val="28"/>
          <w:szCs w:val="21"/>
        </w:rPr>
        <w:t>2、以装置特征和物质特征划分评价单元</w:t>
      </w:r>
    </w:p>
    <w:p w14:paraId="1E03CC6B">
      <w:pPr>
        <w:adjustRightInd w:val="0"/>
        <w:snapToGrid w:val="0"/>
        <w:spacing w:line="360" w:lineRule="auto"/>
        <w:ind w:firstLine="560" w:firstLineChars="200"/>
        <w:rPr>
          <w:rFonts w:ascii="宋体" w:hAnsi="宋体" w:eastAsia="宋体" w:cs="Times New Roman"/>
          <w:color w:val="auto"/>
          <w:sz w:val="28"/>
          <w:szCs w:val="21"/>
        </w:rPr>
      </w:pPr>
      <w:r>
        <w:rPr>
          <w:rFonts w:hint="eastAsia" w:ascii="宋体" w:hAnsi="宋体" w:eastAsia="宋体" w:cs="Times New Roman"/>
          <w:color w:val="auto"/>
          <w:sz w:val="28"/>
          <w:szCs w:val="21"/>
        </w:rPr>
        <w:t>（1）按装置的工艺功能划分</w:t>
      </w:r>
    </w:p>
    <w:p w14:paraId="6E6BCBB6">
      <w:pPr>
        <w:adjustRightInd w:val="0"/>
        <w:snapToGrid w:val="0"/>
        <w:spacing w:line="360" w:lineRule="auto"/>
        <w:ind w:firstLine="560" w:firstLineChars="200"/>
        <w:rPr>
          <w:rFonts w:ascii="宋体" w:hAnsi="宋体" w:eastAsia="宋体" w:cs="Times New Roman"/>
          <w:color w:val="auto"/>
          <w:sz w:val="28"/>
          <w:szCs w:val="21"/>
        </w:rPr>
      </w:pPr>
      <w:r>
        <w:rPr>
          <w:rFonts w:hint="eastAsia" w:ascii="宋体" w:hAnsi="宋体" w:eastAsia="宋体" w:cs="Times New Roman"/>
          <w:color w:val="auto"/>
          <w:sz w:val="28"/>
          <w:szCs w:val="21"/>
        </w:rPr>
        <w:t>（2）按布置的相对独立性划分</w:t>
      </w:r>
    </w:p>
    <w:p w14:paraId="75994BEA">
      <w:pPr>
        <w:adjustRightInd w:val="0"/>
        <w:snapToGrid w:val="0"/>
        <w:spacing w:line="360" w:lineRule="auto"/>
        <w:ind w:firstLine="560" w:firstLineChars="200"/>
        <w:rPr>
          <w:rFonts w:ascii="宋体" w:hAnsi="宋体" w:eastAsia="宋体" w:cs="Times New Roman"/>
          <w:color w:val="auto"/>
          <w:sz w:val="28"/>
          <w:szCs w:val="21"/>
        </w:rPr>
      </w:pPr>
      <w:r>
        <w:rPr>
          <w:rFonts w:hint="eastAsia" w:ascii="宋体" w:hAnsi="宋体" w:eastAsia="宋体" w:cs="Times New Roman"/>
          <w:color w:val="auto"/>
          <w:sz w:val="28"/>
          <w:szCs w:val="21"/>
        </w:rPr>
        <w:t>①以安全距离、防火墙、防火堤、隔离带等与（其他）装置隔开的区域或装置部分作为一个评价单元；</w:t>
      </w:r>
    </w:p>
    <w:p w14:paraId="0DE92B51">
      <w:pPr>
        <w:adjustRightInd w:val="0"/>
        <w:snapToGrid w:val="0"/>
        <w:spacing w:line="360" w:lineRule="auto"/>
        <w:ind w:firstLine="560" w:firstLineChars="200"/>
        <w:rPr>
          <w:rFonts w:ascii="宋体" w:hAnsi="宋体" w:eastAsia="宋体" w:cs="Times New Roman"/>
          <w:color w:val="auto"/>
          <w:sz w:val="28"/>
          <w:szCs w:val="21"/>
        </w:rPr>
      </w:pPr>
      <w:r>
        <w:rPr>
          <w:rFonts w:hint="eastAsia" w:ascii="宋体" w:hAnsi="宋体" w:eastAsia="宋体" w:cs="Times New Roman"/>
          <w:color w:val="auto"/>
          <w:sz w:val="28"/>
          <w:szCs w:val="21"/>
        </w:rPr>
        <w:t>②贮存区域内通常以一个或共同防火堤（防火墙、防火建筑物）内的贮罐、贮存空间作为一个评价单元。</w:t>
      </w:r>
    </w:p>
    <w:p w14:paraId="40737923">
      <w:pPr>
        <w:adjustRightInd w:val="0"/>
        <w:snapToGrid w:val="0"/>
        <w:spacing w:line="360" w:lineRule="auto"/>
        <w:ind w:firstLine="560" w:firstLineChars="200"/>
        <w:rPr>
          <w:rFonts w:ascii="宋体" w:hAnsi="宋体" w:eastAsia="宋体" w:cs="Times New Roman"/>
          <w:color w:val="auto"/>
          <w:sz w:val="28"/>
          <w:szCs w:val="21"/>
        </w:rPr>
      </w:pPr>
      <w:r>
        <w:rPr>
          <w:rFonts w:hint="eastAsia" w:ascii="宋体" w:hAnsi="宋体" w:eastAsia="宋体" w:cs="Times New Roman"/>
          <w:color w:val="auto"/>
          <w:sz w:val="28"/>
          <w:szCs w:val="21"/>
        </w:rPr>
        <w:t>（3）按工艺条件划分</w:t>
      </w:r>
    </w:p>
    <w:p w14:paraId="22656DEC">
      <w:pPr>
        <w:adjustRightInd w:val="0"/>
        <w:snapToGrid w:val="0"/>
        <w:spacing w:line="360" w:lineRule="auto"/>
        <w:ind w:firstLine="560" w:firstLineChars="200"/>
        <w:rPr>
          <w:rFonts w:ascii="宋体" w:hAnsi="宋体" w:eastAsia="宋体" w:cs="Times New Roman"/>
          <w:color w:val="auto"/>
          <w:sz w:val="28"/>
          <w:szCs w:val="21"/>
        </w:rPr>
      </w:pPr>
      <w:r>
        <w:rPr>
          <w:rFonts w:hint="eastAsia" w:ascii="宋体" w:hAnsi="宋体" w:eastAsia="宋体" w:cs="Times New Roman"/>
          <w:color w:val="auto"/>
          <w:sz w:val="28"/>
          <w:szCs w:val="21"/>
        </w:rPr>
        <w:t>按操作温度、压力范围的不同，划分不同的评价单元；按开车、加料、卸车、正常运转、添加剂、检修等的不同作业条件划分评价单元。</w:t>
      </w:r>
    </w:p>
    <w:p w14:paraId="366F7EE7">
      <w:pPr>
        <w:adjustRightInd w:val="0"/>
        <w:snapToGrid w:val="0"/>
        <w:spacing w:line="360" w:lineRule="auto"/>
        <w:ind w:firstLine="560" w:firstLineChars="200"/>
        <w:rPr>
          <w:rFonts w:ascii="宋体" w:hAnsi="宋体" w:eastAsia="宋体" w:cs="Times New Roman"/>
          <w:color w:val="auto"/>
          <w:sz w:val="28"/>
          <w:szCs w:val="21"/>
        </w:rPr>
      </w:pPr>
      <w:r>
        <w:rPr>
          <w:rFonts w:hint="eastAsia" w:ascii="宋体" w:hAnsi="宋体" w:eastAsia="宋体" w:cs="Times New Roman"/>
          <w:color w:val="auto"/>
          <w:sz w:val="28"/>
          <w:szCs w:val="21"/>
        </w:rPr>
        <w:t>（4）按储存、处理危险物品的潜在化学能、毒性和危险物品的数量划分</w:t>
      </w:r>
    </w:p>
    <w:p w14:paraId="64026C71">
      <w:pPr>
        <w:adjustRightInd w:val="0"/>
        <w:snapToGrid w:val="0"/>
        <w:spacing w:line="360" w:lineRule="auto"/>
        <w:ind w:firstLine="560" w:firstLineChars="200"/>
        <w:rPr>
          <w:rFonts w:ascii="宋体" w:hAnsi="宋体" w:eastAsia="宋体" w:cs="Times New Roman"/>
          <w:color w:val="auto"/>
          <w:sz w:val="28"/>
          <w:szCs w:val="21"/>
        </w:rPr>
      </w:pPr>
      <w:r>
        <w:rPr>
          <w:rFonts w:hint="eastAsia" w:ascii="宋体" w:hAnsi="宋体" w:eastAsia="宋体" w:cs="Times New Roman"/>
          <w:color w:val="auto"/>
          <w:sz w:val="28"/>
          <w:szCs w:val="21"/>
        </w:rPr>
        <w:t>①一个贮存区域内（如危险品库）贮存不同的危险物质，为了能够正确识别其相对危险性，可作不同单元处理；</w:t>
      </w:r>
    </w:p>
    <w:p w14:paraId="1D5EBDF7">
      <w:pPr>
        <w:adjustRightInd w:val="0"/>
        <w:snapToGrid w:val="0"/>
        <w:spacing w:line="360" w:lineRule="auto"/>
        <w:ind w:firstLine="560" w:firstLineChars="200"/>
        <w:rPr>
          <w:rFonts w:ascii="宋体" w:hAnsi="宋体" w:eastAsia="宋体" w:cs="Times New Roman"/>
          <w:color w:val="auto"/>
          <w:sz w:val="28"/>
          <w:szCs w:val="21"/>
        </w:rPr>
      </w:pPr>
      <w:r>
        <w:rPr>
          <w:rFonts w:hint="eastAsia" w:ascii="宋体" w:hAnsi="宋体" w:eastAsia="宋体" w:cs="Times New Roman"/>
          <w:color w:val="auto"/>
          <w:sz w:val="28"/>
          <w:szCs w:val="21"/>
        </w:rPr>
        <w:t>②为避免夸大评价单元的危险性，评价单元的可燃、易燃、易爆等物质应有最低限量。</w:t>
      </w:r>
    </w:p>
    <w:p w14:paraId="0AE58992">
      <w:pPr>
        <w:adjustRightInd w:val="0"/>
        <w:snapToGrid w:val="0"/>
        <w:spacing w:line="360" w:lineRule="auto"/>
        <w:ind w:firstLine="560" w:firstLineChars="200"/>
        <w:rPr>
          <w:rFonts w:ascii="宋体" w:hAnsi="宋体" w:eastAsia="宋体" w:cs="Times New Roman"/>
          <w:color w:val="auto"/>
          <w:sz w:val="28"/>
          <w:szCs w:val="21"/>
        </w:rPr>
      </w:pPr>
      <w:r>
        <w:rPr>
          <w:rFonts w:hint="eastAsia" w:ascii="宋体" w:hAnsi="宋体" w:eastAsia="宋体" w:cs="Times New Roman"/>
          <w:color w:val="auto"/>
          <w:sz w:val="28"/>
          <w:szCs w:val="21"/>
        </w:rPr>
        <w:t>（5）按重点设备或区域危险划分</w:t>
      </w:r>
    </w:p>
    <w:p w14:paraId="458DF622">
      <w:pPr>
        <w:adjustRightInd w:val="0"/>
        <w:snapToGrid w:val="0"/>
        <w:spacing w:line="360" w:lineRule="auto"/>
        <w:ind w:firstLine="560" w:firstLineChars="200"/>
        <w:rPr>
          <w:rFonts w:ascii="宋体" w:hAnsi="宋体" w:eastAsia="宋体" w:cs="Times New Roman"/>
          <w:color w:val="auto"/>
          <w:sz w:val="28"/>
          <w:szCs w:val="21"/>
        </w:rPr>
      </w:pPr>
      <w:r>
        <w:rPr>
          <w:rFonts w:hint="eastAsia" w:ascii="宋体" w:hAnsi="宋体" w:eastAsia="宋体" w:cs="Times New Roman"/>
          <w:color w:val="auto"/>
          <w:sz w:val="28"/>
          <w:szCs w:val="21"/>
        </w:rPr>
        <w:t>根据以往事故资料，将发生事故能导致停产、波及范围大、造成巨大损失和伤害的关键设备作为一个评价单元，将危险、有害因素大且资金密度大的区域作为一个评价单元，将危险、有害因素特别大的区域、装置作为一个评价单元，将具有类似危险性潜能的单元合并为一个大评价单元。</w:t>
      </w:r>
    </w:p>
    <w:p w14:paraId="46AFDB5C">
      <w:pPr>
        <w:adjustRightInd w:val="0"/>
        <w:snapToGrid w:val="0"/>
        <w:spacing w:line="360" w:lineRule="auto"/>
        <w:ind w:firstLine="560" w:firstLineChars="200"/>
        <w:rPr>
          <w:rFonts w:ascii="宋体" w:hAnsi="宋体" w:eastAsia="宋体" w:cs="Times New Roman"/>
          <w:color w:val="auto"/>
          <w:sz w:val="28"/>
          <w:szCs w:val="21"/>
        </w:rPr>
      </w:pPr>
      <w:r>
        <w:rPr>
          <w:rFonts w:hint="eastAsia" w:ascii="宋体" w:hAnsi="宋体" w:eastAsia="宋体" w:cs="Times New Roman"/>
          <w:color w:val="auto"/>
          <w:sz w:val="28"/>
          <w:szCs w:val="21"/>
        </w:rPr>
        <w:t>3、依据评价方法的有关规定划分评价单元。</w:t>
      </w:r>
    </w:p>
    <w:p w14:paraId="48ABB76D">
      <w:pPr>
        <w:widowControl w:val="0"/>
        <w:adjustRightInd w:val="0"/>
        <w:snapToGrid w:val="0"/>
        <w:spacing w:line="360" w:lineRule="auto"/>
        <w:ind w:firstLine="560" w:firstLineChars="200"/>
        <w:jc w:val="both"/>
        <w:outlineLvl w:val="2"/>
        <w:rPr>
          <w:rFonts w:ascii="Times New Roman" w:hAnsi="Times New Roman" w:eastAsia="黑体" w:cs="Times New Roman"/>
          <w:color w:val="auto"/>
          <w:sz w:val="28"/>
          <w:u w:color="000000"/>
          <w:lang w:val="en-US" w:eastAsia="zh-CN" w:bidi="ar-SA"/>
        </w:rPr>
      </w:pPr>
      <w:r>
        <w:rPr>
          <w:rFonts w:hint="eastAsia" w:ascii="Times New Roman" w:hAnsi="Times New Roman" w:eastAsia="黑体" w:cs="Times New Roman"/>
          <w:color w:val="auto"/>
          <w:sz w:val="28"/>
          <w:u w:color="000000"/>
          <w:lang w:val="en-US" w:eastAsia="zh-CN" w:bidi="ar-SA"/>
        </w:rPr>
        <w:t>二、评价单元的分析过程</w:t>
      </w:r>
    </w:p>
    <w:p w14:paraId="0358E302">
      <w:pPr>
        <w:adjustRightInd w:val="0"/>
        <w:snapToGrid w:val="0"/>
        <w:spacing w:line="360" w:lineRule="auto"/>
        <w:ind w:firstLine="560" w:firstLineChars="200"/>
        <w:rPr>
          <w:rFonts w:ascii="宋体" w:hAnsi="宋体" w:eastAsia="宋体" w:cs="Times New Roman"/>
          <w:color w:val="auto"/>
          <w:sz w:val="28"/>
          <w:szCs w:val="21"/>
        </w:rPr>
      </w:pPr>
      <w:r>
        <w:rPr>
          <w:rFonts w:hint="eastAsia" w:ascii="宋体" w:hAnsi="宋体" w:eastAsia="宋体" w:cs="Times New Roman"/>
          <w:color w:val="auto"/>
          <w:sz w:val="28"/>
          <w:szCs w:val="21"/>
        </w:rPr>
        <w:t>由于项目的地理位置应考虑地质、地形地貌、水文、气象条件、周围环境、交通运输条件、自然灾害、消防等方面的危险有害因素；厂区总平面布置主要从功能分区、防火间距和安全间距、风向、建筑物朝向、危险化学品道路、贮运等方面识别危险有害因素；建筑物从厂房的生产火灾危险性分类、耐火等级、结构、占地面积、防火间距、安全疏散等方面识别危险有害因素。故以危险有害因素的类别为主划分评价单元的原则，将项目选址、总平面布置及建筑作为一个综合评价单元。</w:t>
      </w:r>
    </w:p>
    <w:p w14:paraId="4634550F">
      <w:pPr>
        <w:adjustRightInd w:val="0"/>
        <w:snapToGrid w:val="0"/>
        <w:spacing w:line="360" w:lineRule="auto"/>
        <w:ind w:firstLine="560" w:firstLineChars="200"/>
        <w:rPr>
          <w:rFonts w:ascii="宋体" w:hAnsi="宋体" w:eastAsia="宋体" w:cs="Times New Roman"/>
          <w:color w:val="auto"/>
          <w:sz w:val="28"/>
          <w:szCs w:val="21"/>
        </w:rPr>
      </w:pPr>
      <w:r>
        <w:rPr>
          <w:rFonts w:hint="eastAsia" w:ascii="宋体" w:hAnsi="宋体" w:eastAsia="宋体" w:cs="Times New Roman"/>
          <w:color w:val="auto"/>
          <w:sz w:val="28"/>
          <w:szCs w:val="21"/>
        </w:rPr>
        <w:t>由于装置区的设备、设施的危险、有害因素具有共性，根据具有共性危险有害因素的场所和装置宜划分为一个评价单元的原则，将主要工艺装置、设备、设施划分为一个单元。</w:t>
      </w:r>
    </w:p>
    <w:p w14:paraId="7F24EFD0">
      <w:pPr>
        <w:adjustRightInd w:val="0"/>
        <w:snapToGrid w:val="0"/>
        <w:spacing w:line="360" w:lineRule="auto"/>
        <w:ind w:firstLine="560" w:firstLineChars="200"/>
        <w:rPr>
          <w:rFonts w:ascii="宋体" w:hAnsi="宋体" w:eastAsia="宋体" w:cs="Times New Roman"/>
          <w:color w:val="auto"/>
          <w:sz w:val="28"/>
          <w:szCs w:val="21"/>
        </w:rPr>
      </w:pPr>
      <w:r>
        <w:rPr>
          <w:rFonts w:hint="eastAsia" w:ascii="宋体" w:hAnsi="宋体" w:eastAsia="宋体" w:cs="Times New Roman"/>
          <w:color w:val="auto"/>
          <w:sz w:val="28"/>
          <w:szCs w:val="21"/>
        </w:rPr>
        <w:t>由于各公用工程和辅助设施的功能不同，同时每一部分的布置具有相对独立性，故以装置特征和物质特征划分评价单元的原则，将公用工程和辅助设施划分为一个评价单元。</w:t>
      </w:r>
    </w:p>
    <w:p w14:paraId="7DB5E226">
      <w:pPr>
        <w:adjustRightInd w:val="0"/>
        <w:snapToGrid w:val="0"/>
        <w:spacing w:line="360" w:lineRule="auto"/>
        <w:ind w:firstLine="560" w:firstLineChars="200"/>
        <w:rPr>
          <w:rFonts w:ascii="宋体" w:hAnsi="宋体" w:eastAsia="宋体" w:cs="Times New Roman"/>
          <w:color w:val="auto"/>
          <w:sz w:val="28"/>
          <w:szCs w:val="21"/>
        </w:rPr>
      </w:pPr>
      <w:r>
        <w:rPr>
          <w:rFonts w:hint="eastAsia" w:ascii="宋体" w:hAnsi="宋体" w:eastAsia="宋体" w:cs="Times New Roman"/>
          <w:color w:val="auto"/>
          <w:sz w:val="28"/>
          <w:szCs w:val="21"/>
        </w:rPr>
        <w:t>安全管理是以保证该项目建成后生产过程安全为目的的现代化、科学化的管理。它包括：管理制度的制订、从业人员的资格及人员培训、安全管理组织的设置、事故应急救援预案的建立与演练等方面，它作为评价对象的一个相对独立部分，宜划分为一个评价单元进行评价。</w:t>
      </w:r>
    </w:p>
    <w:p w14:paraId="695FB132">
      <w:pPr>
        <w:widowControl w:val="0"/>
        <w:adjustRightInd w:val="0"/>
        <w:snapToGrid w:val="0"/>
        <w:spacing w:line="360" w:lineRule="auto"/>
        <w:ind w:firstLine="560" w:firstLineChars="200"/>
        <w:jc w:val="both"/>
        <w:outlineLvl w:val="2"/>
        <w:rPr>
          <w:rFonts w:ascii="Times New Roman" w:hAnsi="Times New Roman" w:eastAsia="黑体" w:cs="Times New Roman"/>
          <w:color w:val="auto"/>
          <w:sz w:val="28"/>
          <w:u w:color="000000"/>
          <w:lang w:val="en-US" w:eastAsia="zh-CN" w:bidi="ar-SA"/>
        </w:rPr>
      </w:pPr>
      <w:r>
        <w:rPr>
          <w:rFonts w:hint="eastAsia" w:ascii="Times New Roman" w:hAnsi="Times New Roman" w:eastAsia="黑体" w:cs="Times New Roman"/>
          <w:color w:val="auto"/>
          <w:sz w:val="28"/>
          <w:u w:color="000000"/>
          <w:lang w:val="en-US" w:eastAsia="zh-CN" w:bidi="ar-SA"/>
        </w:rPr>
        <w:t>三、评价单元的划分结果</w:t>
      </w:r>
    </w:p>
    <w:p w14:paraId="3CED0F75">
      <w:pPr>
        <w:adjustRightInd w:val="0"/>
        <w:snapToGrid w:val="0"/>
        <w:spacing w:line="360" w:lineRule="auto"/>
        <w:ind w:firstLine="560" w:firstLineChars="200"/>
        <w:rPr>
          <w:rFonts w:ascii="宋体" w:hAnsi="宋体" w:eastAsia="宋体" w:cs="Times New Roman"/>
          <w:color w:val="auto"/>
          <w:sz w:val="28"/>
          <w:szCs w:val="21"/>
        </w:rPr>
      </w:pPr>
      <w:r>
        <w:rPr>
          <w:rFonts w:hint="eastAsia" w:ascii="宋体" w:hAnsi="宋体" w:eastAsia="宋体" w:cs="Times New Roman"/>
          <w:color w:val="auto"/>
          <w:sz w:val="28"/>
          <w:szCs w:val="21"/>
        </w:rPr>
        <w:t>根据上述常用的评价单元划分原则和方法，按照《安全验收评价导则》（AQ8003-2007）的要求，结合该项目储存工艺特点和总图布置的实际情况，本次评价划分了以下四个评价单元：</w:t>
      </w:r>
    </w:p>
    <w:p w14:paraId="12F4B8D9">
      <w:pPr>
        <w:widowControl/>
        <w:adjustRightInd w:val="0"/>
        <w:snapToGrid w:val="0"/>
        <w:spacing w:line="360" w:lineRule="auto"/>
        <w:ind w:firstLine="0" w:firstLineChars="0"/>
        <w:jc w:val="center"/>
        <w:outlineLvl w:val="3"/>
        <w:rPr>
          <w:rFonts w:ascii="黑体" w:hAnsi="黑体" w:eastAsia="黑体" w:cs="黑体"/>
          <w:bCs/>
          <w:color w:val="auto"/>
          <w:kern w:val="0"/>
          <w:sz w:val="24"/>
          <w:szCs w:val="18"/>
          <w:lang w:val="en-GB" w:eastAsia="zh-CN" w:bidi="ar-SA"/>
        </w:rPr>
      </w:pPr>
      <w:r>
        <w:rPr>
          <w:rFonts w:hint="eastAsia" w:ascii="黑体" w:hAnsi="黑体" w:eastAsia="黑体" w:cs="黑体"/>
          <w:bCs/>
          <w:color w:val="auto"/>
          <w:kern w:val="0"/>
          <w:sz w:val="24"/>
          <w:szCs w:val="18"/>
          <w:lang w:val="en-GB" w:eastAsia="zh-CN" w:bidi="ar-SA"/>
        </w:rPr>
        <w:t>表4.1-1 评价单元划分表</w:t>
      </w:r>
    </w:p>
    <w:tbl>
      <w:tblPr>
        <w:tblStyle w:val="10"/>
        <w:tblW w:w="5000" w:type="pct"/>
        <w:tblInd w:w="0" w:type="dxa"/>
        <w:tblLayout w:type="autofit"/>
        <w:tblCellMar>
          <w:top w:w="57" w:type="dxa"/>
          <w:left w:w="108" w:type="dxa"/>
          <w:bottom w:w="57" w:type="dxa"/>
          <w:right w:w="108" w:type="dxa"/>
        </w:tblCellMar>
      </w:tblPr>
      <w:tblGrid>
        <w:gridCol w:w="818"/>
        <w:gridCol w:w="2267"/>
        <w:gridCol w:w="6315"/>
      </w:tblGrid>
      <w:tr w14:paraId="59CB7A5A">
        <w:tblPrEx>
          <w:tblCellMar>
            <w:top w:w="57" w:type="dxa"/>
            <w:left w:w="108" w:type="dxa"/>
            <w:bottom w:w="57" w:type="dxa"/>
            <w:right w:w="108" w:type="dxa"/>
          </w:tblCellMar>
        </w:tblPrEx>
        <w:trPr>
          <w:trHeight w:val="397" w:hRule="atLeast"/>
        </w:trPr>
        <w:tc>
          <w:tcPr>
            <w:tcW w:w="435" w:type="pct"/>
            <w:tcBorders>
              <w:top w:val="single" w:color="000000" w:sz="12" w:space="0"/>
              <w:left w:val="single" w:color="000000" w:sz="12" w:space="0"/>
              <w:bottom w:val="single" w:color="000000" w:sz="6" w:space="0"/>
              <w:right w:val="single" w:color="000000" w:sz="6" w:space="0"/>
            </w:tcBorders>
            <w:tcMar>
              <w:top w:w="0" w:type="dxa"/>
              <w:left w:w="108" w:type="dxa"/>
              <w:bottom w:w="0" w:type="dxa"/>
              <w:right w:w="108" w:type="dxa"/>
            </w:tcMar>
            <w:vAlign w:val="center"/>
          </w:tcPr>
          <w:p w14:paraId="5E50A08A">
            <w:pPr>
              <w:adjustRightInd w:val="0"/>
              <w:snapToGrid w:val="0"/>
              <w:spacing w:line="240" w:lineRule="auto"/>
              <w:ind w:firstLine="0" w:firstLineChars="0"/>
              <w:jc w:val="center"/>
              <w:rPr>
                <w:rFonts w:ascii="宋体" w:hAnsi="Times New Roman" w:eastAsia="宋体" w:cs="Times New Roman"/>
                <w:b/>
                <w:bCs/>
                <w:color w:val="auto"/>
                <w:sz w:val="21"/>
                <w:szCs w:val="21"/>
              </w:rPr>
            </w:pPr>
            <w:r>
              <w:rPr>
                <w:rFonts w:hint="eastAsia" w:ascii="宋体" w:hAnsi="Times New Roman" w:eastAsia="宋体" w:cs="Times New Roman"/>
                <w:b/>
                <w:bCs/>
                <w:color w:val="auto"/>
                <w:sz w:val="21"/>
                <w:szCs w:val="21"/>
              </w:rPr>
              <w:t>序号</w:t>
            </w:r>
          </w:p>
        </w:tc>
        <w:tc>
          <w:tcPr>
            <w:tcW w:w="1206" w:type="pct"/>
            <w:tcBorders>
              <w:top w:val="single" w:color="000000" w:sz="12"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0F920B11">
            <w:pPr>
              <w:adjustRightInd w:val="0"/>
              <w:snapToGrid w:val="0"/>
              <w:spacing w:line="240" w:lineRule="auto"/>
              <w:ind w:firstLine="0" w:firstLineChars="0"/>
              <w:jc w:val="center"/>
              <w:rPr>
                <w:rFonts w:ascii="宋体" w:hAnsi="Times New Roman" w:eastAsia="宋体" w:cs="Times New Roman"/>
                <w:b/>
                <w:bCs/>
                <w:color w:val="auto"/>
                <w:sz w:val="21"/>
                <w:szCs w:val="21"/>
              </w:rPr>
            </w:pPr>
            <w:r>
              <w:rPr>
                <w:rFonts w:hint="eastAsia" w:ascii="宋体" w:hAnsi="Times New Roman" w:eastAsia="宋体" w:cs="Times New Roman"/>
                <w:b/>
                <w:bCs/>
                <w:color w:val="auto"/>
                <w:sz w:val="21"/>
                <w:szCs w:val="21"/>
              </w:rPr>
              <w:t>单元</w:t>
            </w:r>
          </w:p>
        </w:tc>
        <w:tc>
          <w:tcPr>
            <w:tcW w:w="3359" w:type="pct"/>
            <w:tcBorders>
              <w:top w:val="single" w:color="000000" w:sz="12" w:space="0"/>
              <w:left w:val="single" w:color="000000" w:sz="6" w:space="0"/>
              <w:bottom w:val="single" w:color="000000" w:sz="6" w:space="0"/>
              <w:right w:val="single" w:color="000000" w:sz="12" w:space="0"/>
            </w:tcBorders>
            <w:tcMar>
              <w:top w:w="0" w:type="dxa"/>
              <w:left w:w="108" w:type="dxa"/>
              <w:bottom w:w="0" w:type="dxa"/>
              <w:right w:w="108" w:type="dxa"/>
            </w:tcMar>
            <w:vAlign w:val="center"/>
          </w:tcPr>
          <w:p w14:paraId="208E962D">
            <w:pPr>
              <w:adjustRightInd w:val="0"/>
              <w:snapToGrid w:val="0"/>
              <w:spacing w:line="240" w:lineRule="auto"/>
              <w:ind w:firstLine="0" w:firstLineChars="0"/>
              <w:jc w:val="center"/>
              <w:rPr>
                <w:rFonts w:ascii="宋体" w:hAnsi="Times New Roman" w:eastAsia="宋体" w:cs="Times New Roman"/>
                <w:b/>
                <w:bCs/>
                <w:color w:val="auto"/>
                <w:sz w:val="21"/>
                <w:szCs w:val="21"/>
              </w:rPr>
            </w:pPr>
            <w:r>
              <w:rPr>
                <w:rFonts w:hint="eastAsia" w:ascii="宋体" w:hAnsi="Times New Roman" w:eastAsia="宋体" w:cs="Times New Roman"/>
                <w:b/>
                <w:bCs/>
                <w:color w:val="auto"/>
                <w:sz w:val="21"/>
                <w:szCs w:val="21"/>
              </w:rPr>
              <w:t>主要内容</w:t>
            </w:r>
          </w:p>
        </w:tc>
      </w:tr>
      <w:tr w14:paraId="2055DBDD">
        <w:tblPrEx>
          <w:tblCellMar>
            <w:top w:w="57" w:type="dxa"/>
            <w:left w:w="108" w:type="dxa"/>
            <w:bottom w:w="57" w:type="dxa"/>
            <w:right w:w="108" w:type="dxa"/>
          </w:tblCellMar>
        </w:tblPrEx>
        <w:trPr>
          <w:trHeight w:val="397" w:hRule="atLeast"/>
        </w:trPr>
        <w:tc>
          <w:tcPr>
            <w:tcW w:w="435" w:type="pct"/>
            <w:tcBorders>
              <w:top w:val="single" w:color="000000" w:sz="6" w:space="0"/>
              <w:left w:val="single" w:color="000000" w:sz="12" w:space="0"/>
              <w:bottom w:val="single" w:color="000000" w:sz="6" w:space="0"/>
              <w:right w:val="single" w:color="000000" w:sz="6" w:space="0"/>
            </w:tcBorders>
            <w:tcMar>
              <w:top w:w="0" w:type="dxa"/>
              <w:left w:w="108" w:type="dxa"/>
              <w:bottom w:w="0" w:type="dxa"/>
              <w:right w:w="108" w:type="dxa"/>
            </w:tcMar>
            <w:vAlign w:val="center"/>
          </w:tcPr>
          <w:p w14:paraId="0403DAE4">
            <w:pPr>
              <w:adjustRightInd w:val="0"/>
              <w:snapToGrid w:val="0"/>
              <w:spacing w:line="240" w:lineRule="auto"/>
              <w:ind w:firstLine="0" w:firstLineChars="0"/>
              <w:jc w:val="center"/>
              <w:rPr>
                <w:rFonts w:ascii="宋体" w:hAnsi="Times New Roman" w:eastAsia="宋体" w:cs="Times New Roman"/>
                <w:color w:val="auto"/>
                <w:sz w:val="21"/>
                <w:szCs w:val="21"/>
              </w:rPr>
            </w:pPr>
            <w:r>
              <w:rPr>
                <w:rFonts w:hint="eastAsia" w:ascii="宋体" w:hAnsi="Times New Roman" w:eastAsia="宋体" w:cs="Times New Roman"/>
                <w:color w:val="auto"/>
                <w:sz w:val="21"/>
                <w:szCs w:val="21"/>
              </w:rPr>
              <w:t>1</w:t>
            </w:r>
          </w:p>
        </w:tc>
        <w:tc>
          <w:tcPr>
            <w:tcW w:w="1206" w:type="pct"/>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563877CC">
            <w:pPr>
              <w:adjustRightInd w:val="0"/>
              <w:snapToGrid w:val="0"/>
              <w:spacing w:line="240" w:lineRule="auto"/>
              <w:ind w:firstLine="0" w:firstLineChars="0"/>
              <w:jc w:val="center"/>
              <w:rPr>
                <w:rFonts w:ascii="宋体" w:hAnsi="Times New Roman" w:eastAsia="宋体" w:cs="Times New Roman"/>
                <w:color w:val="auto"/>
                <w:sz w:val="21"/>
                <w:szCs w:val="21"/>
              </w:rPr>
            </w:pPr>
            <w:r>
              <w:rPr>
                <w:rFonts w:hint="eastAsia" w:ascii="宋体" w:hAnsi="Times New Roman" w:eastAsia="宋体" w:cs="Times New Roman"/>
                <w:color w:val="auto"/>
                <w:sz w:val="21"/>
                <w:szCs w:val="21"/>
              </w:rPr>
              <w:t>选址、总图布置单元</w:t>
            </w:r>
          </w:p>
        </w:tc>
        <w:tc>
          <w:tcPr>
            <w:tcW w:w="3359" w:type="pct"/>
            <w:tcBorders>
              <w:top w:val="single" w:color="000000" w:sz="6" w:space="0"/>
              <w:left w:val="single" w:color="000000" w:sz="6" w:space="0"/>
              <w:bottom w:val="single" w:color="000000" w:sz="6" w:space="0"/>
              <w:right w:val="single" w:color="000000" w:sz="12" w:space="0"/>
            </w:tcBorders>
            <w:tcMar>
              <w:top w:w="0" w:type="dxa"/>
              <w:left w:w="108" w:type="dxa"/>
              <w:bottom w:w="0" w:type="dxa"/>
              <w:right w:w="108" w:type="dxa"/>
            </w:tcMar>
            <w:vAlign w:val="center"/>
          </w:tcPr>
          <w:p w14:paraId="19B3A8EA">
            <w:pPr>
              <w:adjustRightInd w:val="0"/>
              <w:snapToGrid w:val="0"/>
              <w:spacing w:line="240" w:lineRule="auto"/>
              <w:ind w:firstLine="0" w:firstLineChars="0"/>
              <w:jc w:val="center"/>
              <w:rPr>
                <w:rFonts w:ascii="宋体" w:hAnsi="Times New Roman" w:eastAsia="宋体" w:cs="Times New Roman"/>
                <w:color w:val="auto"/>
                <w:sz w:val="21"/>
                <w:szCs w:val="21"/>
              </w:rPr>
            </w:pPr>
            <w:r>
              <w:rPr>
                <w:rFonts w:hint="eastAsia" w:ascii="宋体" w:hAnsi="Times New Roman" w:eastAsia="宋体" w:cs="Times New Roman"/>
                <w:color w:val="auto"/>
                <w:sz w:val="21"/>
                <w:szCs w:val="21"/>
              </w:rPr>
              <w:t>选址、总图布置</w:t>
            </w:r>
          </w:p>
        </w:tc>
      </w:tr>
      <w:tr w14:paraId="4C58C062">
        <w:tblPrEx>
          <w:tblCellMar>
            <w:top w:w="57" w:type="dxa"/>
            <w:left w:w="108" w:type="dxa"/>
            <w:bottom w:w="57" w:type="dxa"/>
            <w:right w:w="108" w:type="dxa"/>
          </w:tblCellMar>
        </w:tblPrEx>
        <w:trPr>
          <w:trHeight w:val="397" w:hRule="atLeast"/>
        </w:trPr>
        <w:tc>
          <w:tcPr>
            <w:tcW w:w="435" w:type="pct"/>
            <w:tcBorders>
              <w:top w:val="single" w:color="000000" w:sz="6" w:space="0"/>
              <w:left w:val="single" w:color="000000" w:sz="12" w:space="0"/>
              <w:bottom w:val="single" w:color="000000" w:sz="6" w:space="0"/>
              <w:right w:val="single" w:color="000000" w:sz="6" w:space="0"/>
            </w:tcBorders>
            <w:tcMar>
              <w:top w:w="0" w:type="dxa"/>
              <w:left w:w="108" w:type="dxa"/>
              <w:bottom w:w="0" w:type="dxa"/>
              <w:right w:w="108" w:type="dxa"/>
            </w:tcMar>
            <w:vAlign w:val="center"/>
          </w:tcPr>
          <w:p w14:paraId="40A74E4A">
            <w:pPr>
              <w:adjustRightInd w:val="0"/>
              <w:snapToGrid w:val="0"/>
              <w:spacing w:line="240" w:lineRule="auto"/>
              <w:ind w:firstLine="0" w:firstLineChars="0"/>
              <w:jc w:val="center"/>
              <w:rPr>
                <w:rFonts w:ascii="宋体" w:hAnsi="Times New Roman" w:eastAsia="宋体" w:cs="Times New Roman"/>
                <w:color w:val="auto"/>
                <w:sz w:val="21"/>
                <w:szCs w:val="21"/>
              </w:rPr>
            </w:pPr>
            <w:r>
              <w:rPr>
                <w:rFonts w:hint="eastAsia" w:ascii="宋体" w:hAnsi="Times New Roman" w:eastAsia="宋体" w:cs="Times New Roman"/>
                <w:color w:val="auto"/>
                <w:sz w:val="21"/>
                <w:szCs w:val="21"/>
              </w:rPr>
              <w:t>2</w:t>
            </w:r>
          </w:p>
        </w:tc>
        <w:tc>
          <w:tcPr>
            <w:tcW w:w="1206" w:type="pct"/>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2220A456">
            <w:pPr>
              <w:adjustRightInd w:val="0"/>
              <w:snapToGrid w:val="0"/>
              <w:spacing w:line="240" w:lineRule="auto"/>
              <w:ind w:firstLine="0" w:firstLineChars="0"/>
              <w:jc w:val="center"/>
              <w:rPr>
                <w:rFonts w:ascii="宋体" w:hAnsi="Times New Roman" w:eastAsia="宋体" w:cs="Times New Roman"/>
                <w:color w:val="auto"/>
                <w:sz w:val="21"/>
                <w:szCs w:val="21"/>
              </w:rPr>
            </w:pPr>
            <w:r>
              <w:rPr>
                <w:rFonts w:hint="eastAsia" w:ascii="宋体" w:hAnsi="Times New Roman" w:eastAsia="宋体" w:cs="Times New Roman"/>
                <w:color w:val="auto"/>
                <w:sz w:val="21"/>
                <w:szCs w:val="21"/>
              </w:rPr>
              <w:t>设备、设施单元</w:t>
            </w:r>
          </w:p>
        </w:tc>
        <w:tc>
          <w:tcPr>
            <w:tcW w:w="3359" w:type="pct"/>
            <w:tcBorders>
              <w:top w:val="single" w:color="000000" w:sz="6" w:space="0"/>
              <w:left w:val="single" w:color="000000" w:sz="6" w:space="0"/>
              <w:bottom w:val="single" w:color="000000" w:sz="6" w:space="0"/>
              <w:right w:val="single" w:color="000000" w:sz="12" w:space="0"/>
            </w:tcBorders>
            <w:tcMar>
              <w:top w:w="0" w:type="dxa"/>
              <w:left w:w="108" w:type="dxa"/>
              <w:bottom w:w="0" w:type="dxa"/>
              <w:right w:w="108" w:type="dxa"/>
            </w:tcMar>
            <w:vAlign w:val="center"/>
          </w:tcPr>
          <w:p w14:paraId="33E4B3A6">
            <w:pPr>
              <w:adjustRightInd w:val="0"/>
              <w:snapToGrid w:val="0"/>
              <w:spacing w:line="240" w:lineRule="auto"/>
              <w:ind w:firstLine="0" w:firstLineChars="0"/>
              <w:jc w:val="center"/>
              <w:rPr>
                <w:rFonts w:ascii="宋体" w:hAnsi="Times New Roman" w:eastAsia="宋体" w:cs="Times New Roman"/>
                <w:color w:val="auto"/>
                <w:sz w:val="21"/>
                <w:szCs w:val="21"/>
              </w:rPr>
            </w:pPr>
            <w:r>
              <w:rPr>
                <w:rFonts w:hint="eastAsia" w:ascii="宋体" w:hAnsi="Times New Roman" w:eastAsia="宋体" w:cs="Times New Roman"/>
                <w:color w:val="auto"/>
                <w:sz w:val="21"/>
                <w:szCs w:val="21"/>
              </w:rPr>
              <w:t>储存设备和安全设施</w:t>
            </w:r>
          </w:p>
        </w:tc>
      </w:tr>
      <w:tr w14:paraId="4D6ACBCE">
        <w:tblPrEx>
          <w:tblCellMar>
            <w:top w:w="57" w:type="dxa"/>
            <w:left w:w="108" w:type="dxa"/>
            <w:bottom w:w="57" w:type="dxa"/>
            <w:right w:w="108" w:type="dxa"/>
          </w:tblCellMar>
        </w:tblPrEx>
        <w:trPr>
          <w:trHeight w:val="397" w:hRule="atLeast"/>
        </w:trPr>
        <w:tc>
          <w:tcPr>
            <w:tcW w:w="435" w:type="pct"/>
            <w:tcBorders>
              <w:top w:val="single" w:color="000000" w:sz="6" w:space="0"/>
              <w:left w:val="single" w:color="000000" w:sz="12" w:space="0"/>
              <w:bottom w:val="single" w:color="000000" w:sz="6" w:space="0"/>
              <w:right w:val="single" w:color="000000" w:sz="6" w:space="0"/>
            </w:tcBorders>
            <w:tcMar>
              <w:top w:w="0" w:type="dxa"/>
              <w:left w:w="108" w:type="dxa"/>
              <w:bottom w:w="0" w:type="dxa"/>
              <w:right w:w="108" w:type="dxa"/>
            </w:tcMar>
            <w:vAlign w:val="center"/>
          </w:tcPr>
          <w:p w14:paraId="65CBC8ED">
            <w:pPr>
              <w:adjustRightInd w:val="0"/>
              <w:snapToGrid w:val="0"/>
              <w:spacing w:line="240" w:lineRule="auto"/>
              <w:ind w:firstLine="0" w:firstLineChars="0"/>
              <w:jc w:val="center"/>
              <w:rPr>
                <w:rFonts w:ascii="宋体" w:hAnsi="Times New Roman" w:eastAsia="宋体" w:cs="Times New Roman"/>
                <w:color w:val="auto"/>
                <w:sz w:val="21"/>
                <w:szCs w:val="21"/>
              </w:rPr>
            </w:pPr>
            <w:r>
              <w:rPr>
                <w:rFonts w:hint="eastAsia" w:ascii="宋体" w:hAnsi="Times New Roman" w:eastAsia="宋体" w:cs="Times New Roman"/>
                <w:color w:val="auto"/>
                <w:sz w:val="21"/>
                <w:szCs w:val="21"/>
              </w:rPr>
              <w:t>3</w:t>
            </w:r>
          </w:p>
        </w:tc>
        <w:tc>
          <w:tcPr>
            <w:tcW w:w="1206" w:type="pct"/>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2CA4D643">
            <w:pPr>
              <w:adjustRightInd w:val="0"/>
              <w:snapToGrid w:val="0"/>
              <w:spacing w:line="240" w:lineRule="auto"/>
              <w:ind w:firstLine="0" w:firstLineChars="0"/>
              <w:jc w:val="center"/>
              <w:rPr>
                <w:rFonts w:ascii="宋体" w:hAnsi="Times New Roman" w:eastAsia="宋体" w:cs="Times New Roman"/>
                <w:color w:val="auto"/>
                <w:sz w:val="21"/>
                <w:szCs w:val="21"/>
              </w:rPr>
            </w:pPr>
            <w:r>
              <w:rPr>
                <w:rFonts w:hint="eastAsia" w:ascii="宋体" w:hAnsi="Times New Roman" w:eastAsia="宋体" w:cs="Times New Roman"/>
                <w:color w:val="auto"/>
                <w:sz w:val="21"/>
                <w:szCs w:val="21"/>
              </w:rPr>
              <w:t>公用辅助工程单元</w:t>
            </w:r>
          </w:p>
        </w:tc>
        <w:tc>
          <w:tcPr>
            <w:tcW w:w="3359" w:type="pct"/>
            <w:tcBorders>
              <w:top w:val="single" w:color="000000" w:sz="6" w:space="0"/>
              <w:left w:val="single" w:color="000000" w:sz="6" w:space="0"/>
              <w:bottom w:val="single" w:color="000000" w:sz="6" w:space="0"/>
              <w:right w:val="single" w:color="000000" w:sz="12" w:space="0"/>
            </w:tcBorders>
            <w:tcMar>
              <w:top w:w="0" w:type="dxa"/>
              <w:left w:w="108" w:type="dxa"/>
              <w:bottom w:w="0" w:type="dxa"/>
              <w:right w:w="108" w:type="dxa"/>
            </w:tcMar>
            <w:vAlign w:val="center"/>
          </w:tcPr>
          <w:p w14:paraId="7CE438B3">
            <w:pPr>
              <w:adjustRightInd w:val="0"/>
              <w:snapToGrid w:val="0"/>
              <w:spacing w:line="240" w:lineRule="auto"/>
              <w:ind w:firstLine="0" w:firstLineChars="0"/>
              <w:jc w:val="center"/>
              <w:rPr>
                <w:rFonts w:ascii="宋体" w:hAnsi="Times New Roman" w:eastAsia="宋体" w:cs="Times New Roman"/>
                <w:color w:val="auto"/>
                <w:sz w:val="21"/>
                <w:szCs w:val="21"/>
              </w:rPr>
            </w:pPr>
            <w:r>
              <w:rPr>
                <w:rFonts w:hint="eastAsia" w:ascii="宋体" w:hAnsi="Times New Roman" w:eastAsia="宋体" w:cs="Times New Roman"/>
                <w:color w:val="auto"/>
                <w:sz w:val="21"/>
                <w:szCs w:val="21"/>
              </w:rPr>
              <w:t>供配电、给排水、自控、消防、防雷防静电、通风、电讯、供热、供气等</w:t>
            </w:r>
          </w:p>
        </w:tc>
      </w:tr>
      <w:tr w14:paraId="5F51C32A">
        <w:tblPrEx>
          <w:tblCellMar>
            <w:top w:w="57" w:type="dxa"/>
            <w:left w:w="108" w:type="dxa"/>
            <w:bottom w:w="57" w:type="dxa"/>
            <w:right w:w="108" w:type="dxa"/>
          </w:tblCellMar>
        </w:tblPrEx>
        <w:trPr>
          <w:trHeight w:val="397" w:hRule="atLeast"/>
        </w:trPr>
        <w:tc>
          <w:tcPr>
            <w:tcW w:w="435" w:type="pct"/>
            <w:tcBorders>
              <w:top w:val="single" w:color="000000" w:sz="6" w:space="0"/>
              <w:left w:val="single" w:color="000000" w:sz="12" w:space="0"/>
              <w:bottom w:val="single" w:color="000000" w:sz="12" w:space="0"/>
              <w:right w:val="single" w:color="000000" w:sz="6" w:space="0"/>
            </w:tcBorders>
            <w:tcMar>
              <w:top w:w="0" w:type="dxa"/>
              <w:left w:w="108" w:type="dxa"/>
              <w:bottom w:w="0" w:type="dxa"/>
              <w:right w:w="108" w:type="dxa"/>
            </w:tcMar>
            <w:vAlign w:val="center"/>
          </w:tcPr>
          <w:p w14:paraId="31EDB6DD">
            <w:pPr>
              <w:adjustRightInd w:val="0"/>
              <w:snapToGrid w:val="0"/>
              <w:spacing w:line="240" w:lineRule="auto"/>
              <w:ind w:firstLine="0" w:firstLineChars="0"/>
              <w:jc w:val="center"/>
              <w:rPr>
                <w:rFonts w:ascii="宋体" w:hAnsi="Times New Roman" w:eastAsia="宋体" w:cs="Times New Roman"/>
                <w:color w:val="auto"/>
                <w:sz w:val="21"/>
                <w:szCs w:val="21"/>
              </w:rPr>
            </w:pPr>
            <w:r>
              <w:rPr>
                <w:rFonts w:hint="eastAsia" w:ascii="宋体" w:hAnsi="Times New Roman" w:eastAsia="宋体" w:cs="Times New Roman"/>
                <w:color w:val="auto"/>
                <w:sz w:val="21"/>
                <w:szCs w:val="21"/>
              </w:rPr>
              <w:t>4</w:t>
            </w:r>
          </w:p>
        </w:tc>
        <w:tc>
          <w:tcPr>
            <w:tcW w:w="1206" w:type="pct"/>
            <w:tcBorders>
              <w:top w:val="single" w:color="000000" w:sz="6" w:space="0"/>
              <w:left w:val="single" w:color="000000" w:sz="6" w:space="0"/>
              <w:bottom w:val="single" w:color="000000" w:sz="12" w:space="0"/>
              <w:right w:val="single" w:color="000000" w:sz="6" w:space="0"/>
            </w:tcBorders>
            <w:tcMar>
              <w:top w:w="0" w:type="dxa"/>
              <w:left w:w="108" w:type="dxa"/>
              <w:bottom w:w="0" w:type="dxa"/>
              <w:right w:w="108" w:type="dxa"/>
            </w:tcMar>
            <w:vAlign w:val="center"/>
          </w:tcPr>
          <w:p w14:paraId="32B82C42">
            <w:pPr>
              <w:adjustRightInd w:val="0"/>
              <w:snapToGrid w:val="0"/>
              <w:spacing w:line="240" w:lineRule="auto"/>
              <w:ind w:firstLine="0" w:firstLineChars="0"/>
              <w:jc w:val="center"/>
              <w:rPr>
                <w:rFonts w:ascii="宋体" w:hAnsi="Times New Roman" w:eastAsia="宋体" w:cs="Times New Roman"/>
                <w:color w:val="auto"/>
                <w:sz w:val="21"/>
                <w:szCs w:val="21"/>
              </w:rPr>
            </w:pPr>
            <w:r>
              <w:rPr>
                <w:rFonts w:hint="eastAsia" w:ascii="宋体" w:hAnsi="Times New Roman" w:eastAsia="宋体" w:cs="Times New Roman"/>
                <w:color w:val="auto"/>
                <w:sz w:val="21"/>
                <w:szCs w:val="21"/>
              </w:rPr>
              <w:t>安全管理单元</w:t>
            </w:r>
          </w:p>
        </w:tc>
        <w:tc>
          <w:tcPr>
            <w:tcW w:w="3359" w:type="pct"/>
            <w:tcBorders>
              <w:top w:val="single" w:color="000000" w:sz="6" w:space="0"/>
              <w:left w:val="single" w:color="000000" w:sz="6" w:space="0"/>
              <w:bottom w:val="single" w:color="000000" w:sz="12" w:space="0"/>
              <w:right w:val="single" w:color="000000" w:sz="12" w:space="0"/>
            </w:tcBorders>
            <w:tcMar>
              <w:top w:w="0" w:type="dxa"/>
              <w:left w:w="108" w:type="dxa"/>
              <w:bottom w:w="0" w:type="dxa"/>
              <w:right w:w="108" w:type="dxa"/>
            </w:tcMar>
            <w:vAlign w:val="center"/>
          </w:tcPr>
          <w:p w14:paraId="6C7DBBDC">
            <w:pPr>
              <w:adjustRightInd w:val="0"/>
              <w:snapToGrid w:val="0"/>
              <w:spacing w:line="240" w:lineRule="auto"/>
              <w:ind w:firstLine="0" w:firstLineChars="0"/>
              <w:jc w:val="center"/>
              <w:rPr>
                <w:rFonts w:ascii="宋体" w:hAnsi="Times New Roman" w:eastAsia="宋体" w:cs="Times New Roman"/>
                <w:color w:val="auto"/>
                <w:sz w:val="21"/>
                <w:szCs w:val="21"/>
              </w:rPr>
            </w:pPr>
            <w:r>
              <w:rPr>
                <w:rFonts w:hint="eastAsia" w:ascii="宋体" w:hAnsi="Times New Roman" w:eastAsia="宋体" w:cs="Times New Roman"/>
                <w:color w:val="auto"/>
                <w:sz w:val="21"/>
                <w:szCs w:val="21"/>
              </w:rPr>
              <w:t>安全生产管理组织机构、管理制度、操作规程、应急救援、信息化建设、人员培训和日常管理</w:t>
            </w:r>
          </w:p>
        </w:tc>
      </w:tr>
    </w:tbl>
    <w:p w14:paraId="2D457E24">
      <w:pPr>
        <w:spacing w:before="194" w:beforeLines="50" w:after="194" w:afterLines="50" w:line="360" w:lineRule="auto"/>
        <w:jc w:val="center"/>
        <w:outlineLvl w:val="1"/>
        <w:rPr>
          <w:rFonts w:ascii="Times New Roman" w:hAnsi="Times New Roman" w:eastAsia="楷体_GB2312" w:cs="Times New Roman"/>
          <w:b/>
          <w:color w:val="auto"/>
          <w:kern w:val="2"/>
          <w:sz w:val="32"/>
          <w:szCs w:val="32"/>
          <w:lang w:val="zh-CN" w:eastAsia="zh-CN" w:bidi="ar-SA"/>
        </w:rPr>
      </w:pPr>
      <w:bookmarkStart w:id="21" w:name="_Toc49"/>
      <w:r>
        <w:rPr>
          <w:rFonts w:hint="eastAsia" w:ascii="Times New Roman" w:hAnsi="Times New Roman" w:eastAsia="楷体_GB2312" w:cs="Times New Roman"/>
          <w:b/>
          <w:color w:val="auto"/>
          <w:kern w:val="2"/>
          <w:sz w:val="32"/>
          <w:szCs w:val="32"/>
          <w:lang w:val="zh-CN" w:eastAsia="zh-CN" w:bidi="ar-SA"/>
        </w:rPr>
        <w:t>第</w:t>
      </w:r>
      <w:r>
        <w:rPr>
          <w:rFonts w:hint="eastAsia" w:ascii="Times New Roman" w:hAnsi="Times New Roman" w:eastAsia="楷体_GB2312" w:cs="Times New Roman"/>
          <w:b/>
          <w:color w:val="auto"/>
          <w:kern w:val="2"/>
          <w:sz w:val="32"/>
          <w:szCs w:val="32"/>
          <w:lang w:val="en-US" w:eastAsia="zh-CN" w:bidi="ar-SA"/>
        </w:rPr>
        <w:t>二</w:t>
      </w:r>
      <w:r>
        <w:rPr>
          <w:rFonts w:hint="eastAsia" w:ascii="Times New Roman" w:hAnsi="Times New Roman" w:eastAsia="楷体_GB2312" w:cs="Times New Roman"/>
          <w:b/>
          <w:color w:val="auto"/>
          <w:kern w:val="2"/>
          <w:sz w:val="32"/>
          <w:szCs w:val="32"/>
          <w:lang w:val="zh-CN" w:eastAsia="zh-CN" w:bidi="ar-SA"/>
        </w:rPr>
        <w:t>节</w:t>
      </w:r>
      <w:r>
        <w:rPr>
          <w:rFonts w:hint="eastAsia" w:ascii="Times New Roman" w:hAnsi="Times New Roman" w:eastAsia="楷体_GB2312" w:cs="Times New Roman"/>
          <w:b/>
          <w:color w:val="auto"/>
          <w:kern w:val="2"/>
          <w:sz w:val="32"/>
          <w:szCs w:val="32"/>
          <w:lang w:val="en-US" w:eastAsia="zh-CN" w:bidi="ar-SA"/>
        </w:rPr>
        <w:t xml:space="preserve"> 评价方法的选择</w:t>
      </w:r>
      <w:bookmarkEnd w:id="21"/>
    </w:p>
    <w:p w14:paraId="4A3DFFFE">
      <w:pPr>
        <w:widowControl w:val="0"/>
        <w:adjustRightInd w:val="0"/>
        <w:snapToGrid w:val="0"/>
        <w:spacing w:line="360" w:lineRule="auto"/>
        <w:ind w:firstLine="560" w:firstLineChars="200"/>
        <w:jc w:val="both"/>
        <w:outlineLvl w:val="2"/>
        <w:rPr>
          <w:rFonts w:ascii="Times New Roman" w:hAnsi="Times New Roman" w:eastAsia="黑体" w:cs="Times New Roman"/>
          <w:color w:val="auto"/>
          <w:sz w:val="28"/>
          <w:u w:color="000000"/>
          <w:lang w:val="en-US" w:eastAsia="zh-CN" w:bidi="ar-SA"/>
        </w:rPr>
      </w:pPr>
      <w:r>
        <w:rPr>
          <w:rFonts w:hint="eastAsia" w:ascii="Times New Roman" w:hAnsi="Times New Roman" w:eastAsia="黑体" w:cs="Times New Roman"/>
          <w:color w:val="auto"/>
          <w:sz w:val="28"/>
          <w:u w:color="000000"/>
          <w:lang w:val="en-US" w:eastAsia="zh-CN" w:bidi="ar-SA"/>
        </w:rPr>
        <w:t>一、评价方法的介绍</w:t>
      </w:r>
    </w:p>
    <w:p w14:paraId="0A08A85A">
      <w:pPr>
        <w:adjustRightInd w:val="0"/>
        <w:snapToGrid w:val="0"/>
        <w:spacing w:line="360" w:lineRule="auto"/>
        <w:ind w:firstLine="560" w:firstLineChars="200"/>
        <w:rPr>
          <w:rFonts w:ascii="宋体" w:hAnsi="宋体" w:eastAsia="宋体" w:cs="Times New Roman"/>
          <w:color w:val="auto"/>
          <w:sz w:val="28"/>
          <w:szCs w:val="21"/>
        </w:rPr>
      </w:pPr>
      <w:r>
        <w:rPr>
          <w:rFonts w:hint="eastAsia" w:ascii="宋体" w:hAnsi="宋体" w:eastAsia="宋体" w:cs="Times New Roman"/>
          <w:color w:val="auto"/>
          <w:sz w:val="28"/>
          <w:szCs w:val="21"/>
        </w:rPr>
        <w:t>安全评价方法是进行定性、定量安全评价的工具。目前，安全评价方法有很多种，每种评价方法都有其适用范围和应用条件，选择安全评价方法时应根据安全评价的特点、具体条件和需要，针对被评价系统的实际情况、特点和和评价目标，经过认真地分析、比较来选择；必要时，应根据评价目标的要求，选择几种安全评价方法进行安全评价，互相补充、分析综合和相互验证，以提高评价结果的可靠性。</w:t>
      </w:r>
    </w:p>
    <w:p w14:paraId="6F8F4031">
      <w:pPr>
        <w:adjustRightInd w:val="0"/>
        <w:snapToGrid w:val="0"/>
        <w:spacing w:line="360" w:lineRule="auto"/>
        <w:ind w:firstLine="560" w:firstLineChars="200"/>
        <w:rPr>
          <w:rFonts w:ascii="宋体" w:hAnsi="宋体" w:eastAsia="宋体" w:cs="Times New Roman"/>
          <w:color w:val="auto"/>
          <w:sz w:val="28"/>
          <w:szCs w:val="21"/>
        </w:rPr>
      </w:pPr>
      <w:r>
        <w:rPr>
          <w:rFonts w:hint="eastAsia" w:ascii="宋体" w:hAnsi="宋体" w:eastAsia="宋体" w:cs="Times New Roman"/>
          <w:color w:val="auto"/>
          <w:sz w:val="28"/>
          <w:szCs w:val="21"/>
        </w:rPr>
        <w:t>1、安全检查表分析法</w:t>
      </w:r>
    </w:p>
    <w:p w14:paraId="033C95A6">
      <w:pPr>
        <w:adjustRightInd w:val="0"/>
        <w:snapToGrid w:val="0"/>
        <w:spacing w:line="360" w:lineRule="auto"/>
        <w:ind w:firstLine="560" w:firstLineChars="200"/>
        <w:rPr>
          <w:rFonts w:ascii="宋体" w:hAnsi="宋体" w:eastAsia="宋体" w:cs="Times New Roman"/>
          <w:color w:val="auto"/>
          <w:sz w:val="28"/>
          <w:szCs w:val="21"/>
        </w:rPr>
      </w:pPr>
      <w:r>
        <w:rPr>
          <w:rFonts w:hint="eastAsia" w:ascii="宋体" w:hAnsi="宋体" w:eastAsia="宋体" w:cs="Times New Roman"/>
          <w:color w:val="auto"/>
          <w:sz w:val="28"/>
          <w:szCs w:val="21"/>
        </w:rPr>
        <w:t>根据有关安全规范、标准、制度及其他系统分析方法分析的结果，系统地对一个生产系统或设备进行科学的分析，找出各种不安全因素，依据检查项目把找出的不安全因素以问题清单的形式制成表，以便于实施检查和安全管理，这种表称为安全检查表。安全检查表分析法就是制订安全检查表，并依据此表实施安全检查和诊断的系统安全分析方法。</w:t>
      </w:r>
    </w:p>
    <w:p w14:paraId="47F97EF7">
      <w:pPr>
        <w:adjustRightInd w:val="0"/>
        <w:snapToGrid w:val="0"/>
        <w:spacing w:line="360" w:lineRule="auto"/>
        <w:ind w:firstLine="560" w:firstLineChars="200"/>
        <w:rPr>
          <w:rFonts w:ascii="宋体" w:hAnsi="宋体" w:eastAsia="宋体" w:cs="Times New Roman"/>
          <w:color w:val="auto"/>
          <w:sz w:val="28"/>
          <w:szCs w:val="21"/>
        </w:rPr>
      </w:pPr>
      <w:r>
        <w:rPr>
          <w:rFonts w:hint="eastAsia" w:ascii="宋体" w:hAnsi="宋体" w:eastAsia="宋体" w:cs="Times New Roman"/>
          <w:color w:val="auto"/>
          <w:sz w:val="28"/>
          <w:szCs w:val="21"/>
        </w:rPr>
        <w:t>安全检查表分析法的核心是安全检查表的编制和实施。安全检查表必须包括系统或子系统的全部主要检查点，不能忽略那些主要的、潜在的危险因素，而且还应从检查点中发现与之有关的其他因素。</w:t>
      </w:r>
    </w:p>
    <w:p w14:paraId="79FB5E23">
      <w:pPr>
        <w:adjustRightInd w:val="0"/>
        <w:snapToGrid w:val="0"/>
        <w:spacing w:line="360" w:lineRule="auto"/>
        <w:ind w:firstLine="560" w:firstLineChars="200"/>
        <w:rPr>
          <w:rFonts w:ascii="宋体" w:hAnsi="宋体" w:eastAsia="宋体" w:cs="Times New Roman"/>
          <w:color w:val="auto"/>
          <w:sz w:val="28"/>
          <w:szCs w:val="21"/>
        </w:rPr>
      </w:pPr>
      <w:r>
        <w:rPr>
          <w:rFonts w:hint="eastAsia" w:ascii="宋体" w:hAnsi="宋体" w:eastAsia="宋体" w:cs="Times New Roman"/>
          <w:color w:val="auto"/>
          <w:sz w:val="28"/>
          <w:szCs w:val="21"/>
        </w:rPr>
        <w:t>安全检查表分析利用检查条款按照相关的标准、规范等对已知的危险类别、设计缺陷以及与一般工艺设备、操作、管理有关的潜在危险性和有害特性进行判别检查。</w:t>
      </w:r>
    </w:p>
    <w:p w14:paraId="60B6F9A0">
      <w:pPr>
        <w:adjustRightInd w:val="0"/>
        <w:snapToGrid w:val="0"/>
        <w:spacing w:line="360" w:lineRule="auto"/>
        <w:ind w:firstLine="560" w:firstLineChars="200"/>
        <w:rPr>
          <w:rFonts w:ascii="宋体" w:hAnsi="宋体" w:eastAsia="宋体" w:cs="Times New Roman"/>
          <w:color w:val="auto"/>
          <w:sz w:val="28"/>
          <w:szCs w:val="21"/>
        </w:rPr>
      </w:pPr>
      <w:r>
        <w:rPr>
          <w:rFonts w:hint="eastAsia" w:ascii="宋体" w:hAnsi="宋体" w:eastAsia="宋体" w:cs="Times New Roman"/>
          <w:color w:val="auto"/>
          <w:sz w:val="28"/>
          <w:szCs w:val="21"/>
        </w:rPr>
        <w:t>安全检查表分析可适用于工程、系统的各个阶段。安全检查表可以评价物质、设备和工艺，常用于专门设计的评价，检查表也能用于在新工艺（装置）的早期开发阶段，判定和估测危险，还可以对已经运行多年的装置的危险进行评价。</w:t>
      </w:r>
    </w:p>
    <w:p w14:paraId="285C2482">
      <w:pPr>
        <w:adjustRightInd w:val="0"/>
        <w:snapToGrid w:val="0"/>
        <w:spacing w:line="360" w:lineRule="auto"/>
        <w:ind w:firstLine="560" w:firstLineChars="200"/>
        <w:rPr>
          <w:rFonts w:ascii="宋体" w:hAnsi="宋体" w:eastAsia="宋体" w:cs="Times New Roman"/>
          <w:color w:val="auto"/>
          <w:sz w:val="28"/>
          <w:szCs w:val="21"/>
        </w:rPr>
      </w:pPr>
      <w:r>
        <w:rPr>
          <w:rFonts w:hint="eastAsia" w:ascii="宋体" w:hAnsi="宋体" w:eastAsia="宋体" w:cs="Times New Roman"/>
          <w:color w:val="auto"/>
          <w:sz w:val="28"/>
          <w:szCs w:val="21"/>
        </w:rPr>
        <w:t>2、危险度评价法</w:t>
      </w:r>
    </w:p>
    <w:p w14:paraId="7CB4D8BA">
      <w:pPr>
        <w:adjustRightInd w:val="0"/>
        <w:snapToGrid w:val="0"/>
        <w:spacing w:line="360" w:lineRule="auto"/>
        <w:ind w:firstLine="560" w:firstLineChars="200"/>
        <w:rPr>
          <w:rFonts w:ascii="宋体" w:hAnsi="宋体" w:eastAsia="宋体" w:cs="Times New Roman"/>
          <w:color w:val="auto"/>
          <w:sz w:val="28"/>
          <w:szCs w:val="21"/>
        </w:rPr>
      </w:pPr>
      <w:r>
        <w:rPr>
          <w:rFonts w:hint="eastAsia" w:ascii="宋体" w:hAnsi="宋体" w:eastAsia="宋体" w:cs="Times New Roman"/>
          <w:color w:val="auto"/>
          <w:sz w:val="28"/>
          <w:szCs w:val="21"/>
        </w:rPr>
        <w:t>危险度评价法是一种危险指数评价法，通过从物质、容量、温度、压力和操作五个方面，对单元内潜在危险因素进行量化分析，然后累计分值，从而确定单元的危险等级。危险等级分为三个等级：高度危险（Ⅰ级）、中度危险（Ⅱ级）与低度危险（Ⅲ级）。</w:t>
      </w:r>
    </w:p>
    <w:p w14:paraId="3B37CBFA">
      <w:pPr>
        <w:adjustRightInd w:val="0"/>
        <w:snapToGrid w:val="0"/>
        <w:spacing w:line="360" w:lineRule="auto"/>
        <w:ind w:firstLine="560" w:firstLineChars="200"/>
        <w:rPr>
          <w:rFonts w:ascii="宋体" w:hAnsi="宋体" w:eastAsia="宋体" w:cs="Times New Roman"/>
          <w:color w:val="auto"/>
          <w:sz w:val="28"/>
          <w:szCs w:val="21"/>
        </w:rPr>
      </w:pPr>
      <w:r>
        <w:rPr>
          <w:rFonts w:hint="eastAsia" w:ascii="宋体" w:hAnsi="宋体" w:eastAsia="宋体" w:cs="Times New Roman"/>
          <w:color w:val="auto"/>
          <w:sz w:val="28"/>
          <w:szCs w:val="21"/>
        </w:rPr>
        <w:t>3、预先危险性分析</w:t>
      </w:r>
    </w:p>
    <w:p w14:paraId="19D55864">
      <w:pPr>
        <w:adjustRightInd w:val="0"/>
        <w:snapToGrid w:val="0"/>
        <w:spacing w:line="360" w:lineRule="auto"/>
        <w:ind w:firstLine="560" w:firstLineChars="200"/>
        <w:rPr>
          <w:rFonts w:ascii="宋体" w:hAnsi="宋体" w:eastAsia="宋体" w:cs="Times New Roman"/>
          <w:color w:val="auto"/>
          <w:sz w:val="28"/>
          <w:szCs w:val="21"/>
        </w:rPr>
      </w:pPr>
      <w:r>
        <w:rPr>
          <w:rFonts w:hint="eastAsia" w:ascii="宋体" w:hAnsi="宋体" w:eastAsia="宋体" w:cs="Times New Roman"/>
          <w:color w:val="auto"/>
          <w:sz w:val="28"/>
          <w:szCs w:val="21"/>
        </w:rPr>
        <w:t>预先危险分析（PHA）也可称为危险性预先分析，对系统存在的危险因素类型、来源、出现的条件，导致事故的结果以及有关防范措施等作一概略分析方法。</w:t>
      </w:r>
    </w:p>
    <w:p w14:paraId="320C1FE9">
      <w:pPr>
        <w:adjustRightInd w:val="0"/>
        <w:snapToGrid w:val="0"/>
        <w:spacing w:line="360" w:lineRule="auto"/>
        <w:ind w:firstLine="560" w:firstLineChars="200"/>
        <w:rPr>
          <w:rFonts w:hint="eastAsia" w:ascii="宋体" w:hAnsi="宋体" w:eastAsia="宋体" w:cs="Times New Roman"/>
          <w:color w:val="auto"/>
          <w:sz w:val="28"/>
          <w:szCs w:val="21"/>
        </w:rPr>
      </w:pPr>
      <w:r>
        <w:rPr>
          <w:rFonts w:hint="eastAsia" w:ascii="宋体" w:hAnsi="宋体" w:eastAsia="宋体" w:cs="Times New Roman"/>
          <w:color w:val="auto"/>
          <w:sz w:val="28"/>
          <w:szCs w:val="21"/>
        </w:rPr>
        <w:t>4、外部安全防护距离计算</w:t>
      </w:r>
    </w:p>
    <w:p w14:paraId="76D45A14">
      <w:pPr>
        <w:adjustRightInd w:val="0"/>
        <w:snapToGrid w:val="0"/>
        <w:spacing w:line="360" w:lineRule="auto"/>
        <w:ind w:firstLine="560" w:firstLineChars="200"/>
        <w:rPr>
          <w:rFonts w:hint="eastAsia" w:ascii="宋体" w:hAnsi="宋体" w:eastAsia="宋体" w:cs="Times New Roman"/>
          <w:color w:val="auto"/>
          <w:sz w:val="28"/>
          <w:szCs w:val="21"/>
        </w:rPr>
      </w:pPr>
      <w:r>
        <w:rPr>
          <w:rFonts w:hint="eastAsia" w:ascii="宋体" w:hAnsi="宋体" w:eastAsia="宋体" w:cs="Times New Roman"/>
          <w:color w:val="auto"/>
          <w:sz w:val="28"/>
          <w:szCs w:val="21"/>
        </w:rPr>
        <w:t>根据《危险化学品生产装置和储存设施风险基准》（GB36894-2018）</w:t>
      </w:r>
      <w:r>
        <w:rPr>
          <w:rFonts w:hint="eastAsia" w:ascii="宋体" w:hAnsi="宋体" w:eastAsia="宋体" w:cs="Times New Roman"/>
          <w:color w:val="auto"/>
          <w:sz w:val="28"/>
          <w:szCs w:val="21"/>
          <w:lang w:eastAsia="zh-CN"/>
        </w:rPr>
        <w:t>、</w:t>
      </w:r>
      <w:r>
        <w:rPr>
          <w:rFonts w:hint="eastAsia" w:ascii="宋体" w:hAnsi="宋体" w:eastAsia="宋体" w:cs="Times New Roman"/>
          <w:color w:val="auto"/>
          <w:sz w:val="28"/>
          <w:szCs w:val="21"/>
        </w:rPr>
        <w:t>《危险化学品生产装置和储存设施外部安全防护距离确定方法》（GB/T37243-2019）要求，采用中国安全生产科学研究院</w:t>
      </w:r>
      <w:r>
        <w:rPr>
          <w:rFonts w:hint="eastAsia" w:ascii="宋体" w:hAnsi="宋体" w:eastAsia="宋体" w:cs="Times New Roman"/>
          <w:color w:val="auto"/>
          <w:sz w:val="28"/>
          <w:szCs w:val="21"/>
          <w:lang w:val="en-US" w:eastAsia="zh-CN"/>
        </w:rPr>
        <w:t>研发的</w:t>
      </w:r>
      <w:r>
        <w:rPr>
          <w:rFonts w:hint="eastAsia" w:ascii="宋体" w:hAnsi="宋体" w:eastAsia="宋体" w:cs="Times New Roman"/>
          <w:color w:val="auto"/>
          <w:sz w:val="28"/>
          <w:szCs w:val="21"/>
        </w:rPr>
        <w:t>《重大危险源区域定量风险评价软件》2.1版进行定量风险评价，使用定量分析法计算个人风险及社会风险值，确定外部安全防护距离。</w:t>
      </w:r>
    </w:p>
    <w:p w14:paraId="67C0A545">
      <w:pPr>
        <w:widowControl w:val="0"/>
        <w:adjustRightInd w:val="0"/>
        <w:snapToGrid w:val="0"/>
        <w:spacing w:line="360" w:lineRule="auto"/>
        <w:ind w:firstLine="560" w:firstLineChars="200"/>
        <w:jc w:val="both"/>
        <w:outlineLvl w:val="2"/>
        <w:rPr>
          <w:rFonts w:ascii="Times New Roman" w:hAnsi="Times New Roman" w:eastAsia="黑体" w:cs="Times New Roman"/>
          <w:color w:val="auto"/>
          <w:sz w:val="28"/>
          <w:u w:color="000000"/>
          <w:lang w:val="en-US" w:eastAsia="zh-CN" w:bidi="ar-SA"/>
        </w:rPr>
      </w:pPr>
      <w:r>
        <w:rPr>
          <w:rFonts w:hint="eastAsia" w:ascii="Times New Roman" w:hAnsi="Times New Roman" w:eastAsia="黑体" w:cs="Times New Roman"/>
          <w:color w:val="auto"/>
          <w:sz w:val="28"/>
          <w:u w:color="000000"/>
          <w:lang w:val="en-US" w:eastAsia="zh-CN" w:bidi="ar-SA"/>
        </w:rPr>
        <w:t>二、安全评价方法的选择</w:t>
      </w:r>
    </w:p>
    <w:p w14:paraId="74C3FFCC">
      <w:pPr>
        <w:adjustRightInd w:val="0"/>
        <w:snapToGrid w:val="0"/>
        <w:spacing w:line="360" w:lineRule="auto"/>
        <w:ind w:firstLine="560" w:firstLineChars="200"/>
        <w:rPr>
          <w:rFonts w:ascii="宋体" w:hAnsi="宋体" w:eastAsia="宋体" w:cs="Times New Roman"/>
          <w:color w:val="auto"/>
          <w:sz w:val="28"/>
          <w:szCs w:val="21"/>
        </w:rPr>
      </w:pPr>
      <w:r>
        <w:rPr>
          <w:rFonts w:hint="eastAsia" w:ascii="宋体" w:hAnsi="宋体" w:eastAsia="宋体" w:cs="Times New Roman"/>
          <w:color w:val="auto"/>
          <w:sz w:val="28"/>
          <w:szCs w:val="21"/>
        </w:rPr>
        <w:t>依据原国家安全生产监督管理总局《危险化学品建设项目安全评价细则（试行）》（安监总危化[2007]255号）及《安全验收评价导则》（AQ8003-2007）的要求，对该项目安全设施竣工验收的安全评价，安全评价方法的选择应以安全检查表的方法为主，其他方面的安全评价为辅的原则，选择国际、国内通行的安全评价方法。故本次验收评价选用安全检查表法、预先危险性分析、危险度、外部安全防护距离确定对各个评价单元进行评价。对关键装置和重点部位采用危险度评价法。不同单元评价方法选择的具体情况如下：</w:t>
      </w:r>
    </w:p>
    <w:p w14:paraId="7D0BEA76">
      <w:pPr>
        <w:widowControl/>
        <w:adjustRightInd w:val="0"/>
        <w:snapToGrid w:val="0"/>
        <w:spacing w:line="360" w:lineRule="auto"/>
        <w:ind w:firstLine="0" w:firstLineChars="0"/>
        <w:jc w:val="center"/>
        <w:outlineLvl w:val="3"/>
        <w:rPr>
          <w:rFonts w:ascii="黑体" w:hAnsi="黑体" w:eastAsia="黑体" w:cs="黑体"/>
          <w:bCs/>
          <w:color w:val="auto"/>
          <w:kern w:val="0"/>
          <w:sz w:val="24"/>
          <w:szCs w:val="18"/>
          <w:lang w:val="en-GB" w:eastAsia="zh-CN" w:bidi="ar-SA"/>
        </w:rPr>
      </w:pPr>
      <w:r>
        <w:rPr>
          <w:rFonts w:hint="eastAsia" w:ascii="黑体" w:hAnsi="黑体" w:eastAsia="黑体" w:cs="黑体"/>
          <w:bCs/>
          <w:color w:val="auto"/>
          <w:kern w:val="0"/>
          <w:sz w:val="24"/>
          <w:szCs w:val="18"/>
          <w:lang w:val="en-GB" w:eastAsia="zh-CN" w:bidi="ar-SA"/>
        </w:rPr>
        <w:t>表4.2-1 选用的安全评价方法</w:t>
      </w:r>
    </w:p>
    <w:tbl>
      <w:tblPr>
        <w:tblStyle w:val="10"/>
        <w:tblW w:w="5089"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57" w:type="dxa"/>
          <w:left w:w="57" w:type="dxa"/>
          <w:bottom w:w="57" w:type="dxa"/>
          <w:right w:w="57" w:type="dxa"/>
        </w:tblCellMar>
      </w:tblPr>
      <w:tblGrid>
        <w:gridCol w:w="2522"/>
        <w:gridCol w:w="1411"/>
        <w:gridCol w:w="1613"/>
        <w:gridCol w:w="1619"/>
        <w:gridCol w:w="2299"/>
      </w:tblGrid>
      <w:tr w14:paraId="179ABAA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340" w:hRule="atLeast"/>
          <w:jc w:val="center"/>
        </w:trPr>
        <w:tc>
          <w:tcPr>
            <w:tcW w:w="1332" w:type="pct"/>
            <w:tcBorders>
              <w:tl2br w:val="single" w:color="000000" w:sz="4" w:space="0"/>
            </w:tcBorders>
            <w:vAlign w:val="center"/>
          </w:tcPr>
          <w:p w14:paraId="1B1F34CC">
            <w:pPr>
              <w:adjustRightInd w:val="0"/>
              <w:snapToGrid w:val="0"/>
              <w:spacing w:line="240" w:lineRule="auto"/>
              <w:ind w:firstLine="0" w:firstLineChars="0"/>
              <w:jc w:val="right"/>
              <w:rPr>
                <w:rFonts w:ascii="宋体" w:hAnsi="Times New Roman" w:eastAsia="宋体" w:cs="Times New Roman"/>
                <w:b/>
                <w:bCs/>
                <w:color w:val="auto"/>
                <w:sz w:val="21"/>
                <w:szCs w:val="21"/>
              </w:rPr>
            </w:pPr>
            <w:r>
              <w:rPr>
                <w:rFonts w:hint="eastAsia" w:ascii="宋体" w:hAnsi="Times New Roman" w:eastAsia="宋体" w:cs="Times New Roman"/>
                <w:b/>
                <w:bCs/>
                <w:color w:val="auto"/>
                <w:sz w:val="21"/>
                <w:szCs w:val="21"/>
              </w:rPr>
              <w:t>方法</w:t>
            </w:r>
          </w:p>
          <w:p w14:paraId="205D126A">
            <w:pPr>
              <w:adjustRightInd w:val="0"/>
              <w:snapToGrid w:val="0"/>
              <w:spacing w:line="240" w:lineRule="auto"/>
              <w:ind w:firstLine="0" w:firstLineChars="0"/>
              <w:jc w:val="left"/>
              <w:rPr>
                <w:rFonts w:ascii="宋体" w:hAnsi="Times New Roman" w:eastAsia="宋体" w:cs="Times New Roman"/>
                <w:b/>
                <w:bCs/>
                <w:color w:val="auto"/>
                <w:sz w:val="21"/>
                <w:szCs w:val="21"/>
              </w:rPr>
            </w:pPr>
            <w:r>
              <w:rPr>
                <w:rFonts w:hint="eastAsia" w:ascii="宋体" w:hAnsi="Times New Roman" w:eastAsia="宋体" w:cs="Times New Roman"/>
                <w:b/>
                <w:bCs/>
                <w:color w:val="auto"/>
                <w:sz w:val="21"/>
                <w:szCs w:val="21"/>
              </w:rPr>
              <w:t>单元</w:t>
            </w:r>
          </w:p>
        </w:tc>
        <w:tc>
          <w:tcPr>
            <w:tcW w:w="745" w:type="pct"/>
            <w:tcBorders>
              <w:tl2br w:val="nil"/>
              <w:tr2bl w:val="nil"/>
            </w:tcBorders>
            <w:vAlign w:val="center"/>
          </w:tcPr>
          <w:p w14:paraId="69250668">
            <w:pPr>
              <w:adjustRightInd w:val="0"/>
              <w:snapToGrid w:val="0"/>
              <w:spacing w:line="240" w:lineRule="auto"/>
              <w:ind w:firstLine="0" w:firstLineChars="0"/>
              <w:jc w:val="center"/>
              <w:rPr>
                <w:rFonts w:ascii="宋体" w:hAnsi="Times New Roman" w:eastAsia="宋体" w:cs="Times New Roman"/>
                <w:b/>
                <w:bCs/>
                <w:color w:val="auto"/>
                <w:sz w:val="21"/>
                <w:szCs w:val="21"/>
              </w:rPr>
            </w:pPr>
            <w:r>
              <w:rPr>
                <w:rFonts w:hint="eastAsia" w:ascii="宋体" w:hAnsi="Times New Roman" w:eastAsia="宋体" w:cs="Times New Roman"/>
                <w:b/>
                <w:bCs/>
                <w:color w:val="auto"/>
                <w:sz w:val="21"/>
                <w:szCs w:val="21"/>
              </w:rPr>
              <w:t>安全检查表</w:t>
            </w:r>
          </w:p>
        </w:tc>
        <w:tc>
          <w:tcPr>
            <w:tcW w:w="852" w:type="pct"/>
            <w:tcBorders>
              <w:tl2br w:val="nil"/>
              <w:tr2bl w:val="nil"/>
            </w:tcBorders>
            <w:vAlign w:val="center"/>
          </w:tcPr>
          <w:p w14:paraId="1DAA1473">
            <w:pPr>
              <w:adjustRightInd w:val="0"/>
              <w:snapToGrid w:val="0"/>
              <w:spacing w:line="240" w:lineRule="auto"/>
              <w:ind w:firstLine="0" w:firstLineChars="0"/>
              <w:jc w:val="center"/>
              <w:rPr>
                <w:rFonts w:ascii="宋体" w:hAnsi="Times New Roman" w:eastAsia="宋体" w:cs="Times New Roman"/>
                <w:b/>
                <w:bCs/>
                <w:color w:val="auto"/>
                <w:sz w:val="21"/>
                <w:szCs w:val="21"/>
              </w:rPr>
            </w:pPr>
            <w:r>
              <w:rPr>
                <w:rFonts w:hint="eastAsia" w:ascii="宋体" w:hAnsi="Times New Roman" w:eastAsia="宋体" w:cs="Times New Roman"/>
                <w:b/>
                <w:bCs/>
                <w:color w:val="auto"/>
                <w:sz w:val="21"/>
                <w:szCs w:val="21"/>
              </w:rPr>
              <w:t>危险度</w:t>
            </w:r>
          </w:p>
        </w:tc>
        <w:tc>
          <w:tcPr>
            <w:tcW w:w="855" w:type="pct"/>
            <w:tcBorders>
              <w:tl2br w:val="nil"/>
              <w:tr2bl w:val="nil"/>
            </w:tcBorders>
            <w:vAlign w:val="center"/>
          </w:tcPr>
          <w:p w14:paraId="28E94286">
            <w:pPr>
              <w:adjustRightInd w:val="0"/>
              <w:snapToGrid w:val="0"/>
              <w:spacing w:line="240" w:lineRule="auto"/>
              <w:ind w:firstLine="0" w:firstLineChars="0"/>
              <w:jc w:val="center"/>
              <w:rPr>
                <w:rFonts w:ascii="宋体" w:hAnsi="Times New Roman" w:eastAsia="宋体" w:cs="Times New Roman"/>
                <w:b/>
                <w:bCs/>
                <w:color w:val="auto"/>
                <w:sz w:val="21"/>
                <w:szCs w:val="21"/>
              </w:rPr>
            </w:pPr>
            <w:r>
              <w:rPr>
                <w:rFonts w:hint="eastAsia" w:ascii="宋体" w:hAnsi="Times New Roman" w:eastAsia="宋体" w:cs="Times New Roman"/>
                <w:b/>
                <w:bCs/>
                <w:color w:val="auto"/>
                <w:sz w:val="21"/>
                <w:szCs w:val="21"/>
              </w:rPr>
              <w:t>预先危险性分析</w:t>
            </w:r>
          </w:p>
        </w:tc>
        <w:tc>
          <w:tcPr>
            <w:tcW w:w="1214" w:type="pct"/>
            <w:tcBorders>
              <w:tl2br w:val="nil"/>
              <w:tr2bl w:val="nil"/>
            </w:tcBorders>
            <w:vAlign w:val="center"/>
          </w:tcPr>
          <w:p w14:paraId="13C627D8">
            <w:pPr>
              <w:adjustRightInd w:val="0"/>
              <w:snapToGrid w:val="0"/>
              <w:spacing w:line="240" w:lineRule="auto"/>
              <w:ind w:firstLine="0" w:firstLineChars="0"/>
              <w:jc w:val="center"/>
              <w:rPr>
                <w:rFonts w:ascii="宋体" w:hAnsi="Times New Roman" w:eastAsia="宋体" w:cs="Times New Roman"/>
                <w:b/>
                <w:bCs/>
                <w:color w:val="auto"/>
                <w:sz w:val="21"/>
                <w:szCs w:val="21"/>
              </w:rPr>
            </w:pPr>
            <w:r>
              <w:rPr>
                <w:rFonts w:hint="eastAsia" w:ascii="宋体" w:hAnsi="Times New Roman" w:eastAsia="宋体" w:cs="Times New Roman"/>
                <w:b/>
                <w:bCs/>
                <w:color w:val="auto"/>
                <w:sz w:val="21"/>
                <w:szCs w:val="21"/>
              </w:rPr>
              <w:t>外部安全防护距离计算</w:t>
            </w:r>
          </w:p>
        </w:tc>
      </w:tr>
      <w:tr w14:paraId="28ACC0D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340" w:hRule="atLeast"/>
          <w:jc w:val="center"/>
        </w:trPr>
        <w:tc>
          <w:tcPr>
            <w:tcW w:w="1332" w:type="pct"/>
            <w:tcBorders>
              <w:tl2br w:val="nil"/>
              <w:tr2bl w:val="nil"/>
            </w:tcBorders>
            <w:vAlign w:val="center"/>
          </w:tcPr>
          <w:p w14:paraId="4AD1017F">
            <w:pPr>
              <w:adjustRightInd w:val="0"/>
              <w:snapToGrid w:val="0"/>
              <w:spacing w:line="240" w:lineRule="auto"/>
              <w:ind w:firstLine="0" w:firstLineChars="0"/>
              <w:jc w:val="center"/>
              <w:rPr>
                <w:rFonts w:ascii="宋体" w:hAnsi="Times New Roman" w:eastAsia="宋体" w:cs="Times New Roman"/>
                <w:color w:val="auto"/>
                <w:sz w:val="21"/>
                <w:szCs w:val="21"/>
              </w:rPr>
            </w:pPr>
            <w:r>
              <w:rPr>
                <w:rFonts w:hint="eastAsia" w:ascii="宋体" w:hAnsi="Times New Roman" w:eastAsia="宋体" w:cs="Times New Roman"/>
                <w:color w:val="auto"/>
                <w:sz w:val="21"/>
                <w:szCs w:val="21"/>
              </w:rPr>
              <w:t>选址、总图布置</w:t>
            </w:r>
          </w:p>
        </w:tc>
        <w:tc>
          <w:tcPr>
            <w:tcW w:w="745" w:type="pct"/>
            <w:tcBorders>
              <w:tl2br w:val="nil"/>
              <w:tr2bl w:val="nil"/>
            </w:tcBorders>
            <w:vAlign w:val="center"/>
          </w:tcPr>
          <w:p w14:paraId="00C138D9">
            <w:pPr>
              <w:adjustRightInd w:val="0"/>
              <w:snapToGrid w:val="0"/>
              <w:spacing w:line="240" w:lineRule="auto"/>
              <w:ind w:firstLine="0" w:firstLineChars="0"/>
              <w:jc w:val="center"/>
              <w:rPr>
                <w:rFonts w:ascii="宋体" w:hAnsi="Times New Roman" w:eastAsia="宋体" w:cs="Times New Roman"/>
                <w:color w:val="auto"/>
                <w:sz w:val="21"/>
                <w:szCs w:val="21"/>
              </w:rPr>
            </w:pPr>
            <w:r>
              <w:rPr>
                <w:rFonts w:hint="eastAsia" w:ascii="宋体" w:hAnsi="Times New Roman" w:eastAsia="宋体" w:cs="Times New Roman"/>
                <w:color w:val="auto"/>
                <w:sz w:val="21"/>
                <w:szCs w:val="21"/>
              </w:rPr>
              <w:t>√</w:t>
            </w:r>
          </w:p>
        </w:tc>
        <w:tc>
          <w:tcPr>
            <w:tcW w:w="852" w:type="pct"/>
            <w:tcBorders>
              <w:tl2br w:val="nil"/>
              <w:tr2bl w:val="nil"/>
            </w:tcBorders>
            <w:vAlign w:val="center"/>
          </w:tcPr>
          <w:p w14:paraId="449BC1E9">
            <w:pPr>
              <w:adjustRightInd w:val="0"/>
              <w:snapToGrid w:val="0"/>
              <w:spacing w:line="240" w:lineRule="auto"/>
              <w:ind w:firstLine="0" w:firstLineChars="0"/>
              <w:jc w:val="center"/>
              <w:rPr>
                <w:rFonts w:ascii="宋体" w:hAnsi="Times New Roman" w:eastAsia="宋体" w:cs="Times New Roman"/>
                <w:color w:val="auto"/>
                <w:sz w:val="21"/>
                <w:szCs w:val="21"/>
              </w:rPr>
            </w:pPr>
          </w:p>
        </w:tc>
        <w:tc>
          <w:tcPr>
            <w:tcW w:w="855" w:type="pct"/>
            <w:tcBorders>
              <w:tl2br w:val="nil"/>
              <w:tr2bl w:val="nil"/>
            </w:tcBorders>
            <w:vAlign w:val="center"/>
          </w:tcPr>
          <w:p w14:paraId="6B783F5C">
            <w:pPr>
              <w:adjustRightInd w:val="0"/>
              <w:snapToGrid w:val="0"/>
              <w:spacing w:line="240" w:lineRule="auto"/>
              <w:ind w:firstLine="0" w:firstLineChars="0"/>
              <w:jc w:val="center"/>
              <w:rPr>
                <w:rFonts w:ascii="宋体" w:hAnsi="Times New Roman" w:eastAsia="宋体" w:cs="Times New Roman"/>
                <w:color w:val="auto"/>
                <w:sz w:val="21"/>
                <w:szCs w:val="21"/>
              </w:rPr>
            </w:pPr>
          </w:p>
        </w:tc>
        <w:tc>
          <w:tcPr>
            <w:tcW w:w="1214" w:type="pct"/>
            <w:tcBorders>
              <w:tl2br w:val="nil"/>
              <w:tr2bl w:val="nil"/>
            </w:tcBorders>
            <w:vAlign w:val="center"/>
          </w:tcPr>
          <w:p w14:paraId="447784AB">
            <w:pPr>
              <w:adjustRightInd w:val="0"/>
              <w:snapToGrid w:val="0"/>
              <w:spacing w:line="240" w:lineRule="auto"/>
              <w:ind w:firstLine="0" w:firstLineChars="0"/>
              <w:jc w:val="center"/>
              <w:rPr>
                <w:rFonts w:ascii="宋体" w:hAnsi="Times New Roman" w:eastAsia="宋体" w:cs="Times New Roman"/>
                <w:color w:val="auto"/>
                <w:sz w:val="21"/>
                <w:szCs w:val="21"/>
              </w:rPr>
            </w:pPr>
          </w:p>
        </w:tc>
      </w:tr>
      <w:tr w14:paraId="7156223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340" w:hRule="atLeast"/>
          <w:jc w:val="center"/>
        </w:trPr>
        <w:tc>
          <w:tcPr>
            <w:tcW w:w="1332" w:type="pct"/>
            <w:tcBorders>
              <w:tl2br w:val="nil"/>
              <w:tr2bl w:val="nil"/>
            </w:tcBorders>
            <w:vAlign w:val="center"/>
          </w:tcPr>
          <w:p w14:paraId="32C01236">
            <w:pPr>
              <w:adjustRightInd w:val="0"/>
              <w:snapToGrid w:val="0"/>
              <w:spacing w:line="240" w:lineRule="auto"/>
              <w:ind w:firstLine="0" w:firstLineChars="0"/>
              <w:jc w:val="center"/>
              <w:rPr>
                <w:rFonts w:ascii="宋体" w:hAnsi="Times New Roman" w:eastAsia="宋体" w:cs="Times New Roman"/>
                <w:color w:val="auto"/>
                <w:sz w:val="21"/>
                <w:szCs w:val="21"/>
              </w:rPr>
            </w:pPr>
            <w:r>
              <w:rPr>
                <w:rFonts w:hint="eastAsia" w:ascii="宋体" w:hAnsi="Times New Roman" w:eastAsia="宋体" w:cs="Times New Roman"/>
                <w:color w:val="auto"/>
                <w:sz w:val="21"/>
                <w:szCs w:val="21"/>
              </w:rPr>
              <w:t>设备、设施单元</w:t>
            </w:r>
          </w:p>
        </w:tc>
        <w:tc>
          <w:tcPr>
            <w:tcW w:w="745" w:type="pct"/>
            <w:tcBorders>
              <w:tl2br w:val="nil"/>
              <w:tr2bl w:val="nil"/>
            </w:tcBorders>
            <w:vAlign w:val="center"/>
          </w:tcPr>
          <w:p w14:paraId="2288B79F">
            <w:pPr>
              <w:adjustRightInd w:val="0"/>
              <w:snapToGrid w:val="0"/>
              <w:spacing w:line="240" w:lineRule="auto"/>
              <w:ind w:firstLine="0" w:firstLineChars="0"/>
              <w:jc w:val="center"/>
              <w:rPr>
                <w:rFonts w:ascii="宋体" w:hAnsi="Times New Roman" w:eastAsia="宋体" w:cs="Times New Roman"/>
                <w:color w:val="auto"/>
                <w:sz w:val="21"/>
                <w:szCs w:val="21"/>
              </w:rPr>
            </w:pPr>
            <w:r>
              <w:rPr>
                <w:rFonts w:hint="eastAsia" w:ascii="宋体" w:hAnsi="Times New Roman" w:eastAsia="宋体" w:cs="Times New Roman"/>
                <w:color w:val="auto"/>
                <w:sz w:val="21"/>
                <w:szCs w:val="21"/>
              </w:rPr>
              <w:t>√</w:t>
            </w:r>
          </w:p>
        </w:tc>
        <w:tc>
          <w:tcPr>
            <w:tcW w:w="852" w:type="pct"/>
            <w:tcBorders>
              <w:tl2br w:val="nil"/>
              <w:tr2bl w:val="nil"/>
            </w:tcBorders>
            <w:vAlign w:val="center"/>
          </w:tcPr>
          <w:p w14:paraId="4ACA60C3">
            <w:pPr>
              <w:adjustRightInd w:val="0"/>
              <w:snapToGrid w:val="0"/>
              <w:spacing w:line="240" w:lineRule="auto"/>
              <w:ind w:firstLine="0" w:firstLineChars="0"/>
              <w:jc w:val="center"/>
              <w:rPr>
                <w:rFonts w:ascii="宋体" w:hAnsi="Times New Roman" w:eastAsia="宋体" w:cs="Times New Roman"/>
                <w:color w:val="auto"/>
                <w:sz w:val="21"/>
                <w:szCs w:val="21"/>
              </w:rPr>
            </w:pPr>
            <w:r>
              <w:rPr>
                <w:rFonts w:hint="eastAsia" w:ascii="宋体" w:hAnsi="Times New Roman" w:eastAsia="宋体" w:cs="Times New Roman"/>
                <w:color w:val="auto"/>
                <w:sz w:val="21"/>
                <w:szCs w:val="21"/>
              </w:rPr>
              <w:t>√</w:t>
            </w:r>
          </w:p>
        </w:tc>
        <w:tc>
          <w:tcPr>
            <w:tcW w:w="855" w:type="pct"/>
            <w:tcBorders>
              <w:tl2br w:val="nil"/>
              <w:tr2bl w:val="nil"/>
            </w:tcBorders>
            <w:vAlign w:val="center"/>
          </w:tcPr>
          <w:p w14:paraId="54777B34">
            <w:pPr>
              <w:adjustRightInd w:val="0"/>
              <w:snapToGrid w:val="0"/>
              <w:spacing w:line="240" w:lineRule="auto"/>
              <w:ind w:firstLine="0" w:firstLineChars="0"/>
              <w:jc w:val="center"/>
              <w:rPr>
                <w:rFonts w:ascii="宋体" w:hAnsi="Times New Roman" w:eastAsia="宋体" w:cs="Times New Roman"/>
                <w:color w:val="auto"/>
                <w:sz w:val="21"/>
                <w:szCs w:val="21"/>
              </w:rPr>
            </w:pPr>
            <w:r>
              <w:rPr>
                <w:rFonts w:hint="eastAsia" w:ascii="宋体" w:hAnsi="Times New Roman" w:eastAsia="宋体" w:cs="Times New Roman"/>
                <w:color w:val="auto"/>
                <w:sz w:val="21"/>
                <w:szCs w:val="21"/>
              </w:rPr>
              <w:t>√</w:t>
            </w:r>
          </w:p>
        </w:tc>
        <w:tc>
          <w:tcPr>
            <w:tcW w:w="1214" w:type="pct"/>
            <w:tcBorders>
              <w:tl2br w:val="nil"/>
              <w:tr2bl w:val="nil"/>
            </w:tcBorders>
            <w:vAlign w:val="center"/>
          </w:tcPr>
          <w:p w14:paraId="11740E99">
            <w:pPr>
              <w:adjustRightInd w:val="0"/>
              <w:snapToGrid w:val="0"/>
              <w:spacing w:line="240" w:lineRule="auto"/>
              <w:ind w:firstLine="0" w:firstLineChars="0"/>
              <w:jc w:val="center"/>
              <w:rPr>
                <w:rFonts w:ascii="宋体" w:hAnsi="Times New Roman" w:eastAsia="宋体" w:cs="Times New Roman"/>
                <w:color w:val="auto"/>
                <w:sz w:val="21"/>
                <w:szCs w:val="21"/>
              </w:rPr>
            </w:pPr>
            <w:r>
              <w:rPr>
                <w:rFonts w:hint="eastAsia" w:ascii="宋体" w:hAnsi="Times New Roman" w:eastAsia="宋体" w:cs="Times New Roman"/>
                <w:color w:val="auto"/>
                <w:sz w:val="21"/>
                <w:szCs w:val="21"/>
              </w:rPr>
              <w:t>√</w:t>
            </w:r>
          </w:p>
        </w:tc>
      </w:tr>
      <w:tr w14:paraId="4E3A059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340" w:hRule="atLeast"/>
          <w:jc w:val="center"/>
        </w:trPr>
        <w:tc>
          <w:tcPr>
            <w:tcW w:w="1332" w:type="pct"/>
            <w:tcBorders>
              <w:tl2br w:val="nil"/>
              <w:tr2bl w:val="nil"/>
            </w:tcBorders>
            <w:vAlign w:val="center"/>
          </w:tcPr>
          <w:p w14:paraId="26063692">
            <w:pPr>
              <w:adjustRightInd w:val="0"/>
              <w:snapToGrid w:val="0"/>
              <w:spacing w:line="240" w:lineRule="auto"/>
              <w:ind w:firstLine="0" w:firstLineChars="0"/>
              <w:jc w:val="center"/>
              <w:rPr>
                <w:rFonts w:ascii="宋体" w:hAnsi="Times New Roman" w:eastAsia="宋体" w:cs="Times New Roman"/>
                <w:color w:val="auto"/>
                <w:sz w:val="21"/>
                <w:szCs w:val="21"/>
              </w:rPr>
            </w:pPr>
            <w:r>
              <w:rPr>
                <w:rFonts w:hint="eastAsia" w:ascii="宋体" w:hAnsi="Times New Roman" w:eastAsia="宋体" w:cs="Times New Roman"/>
                <w:color w:val="auto"/>
                <w:sz w:val="21"/>
                <w:szCs w:val="21"/>
              </w:rPr>
              <w:t>公用辅助工程单元</w:t>
            </w:r>
          </w:p>
        </w:tc>
        <w:tc>
          <w:tcPr>
            <w:tcW w:w="745" w:type="pct"/>
            <w:tcBorders>
              <w:tl2br w:val="nil"/>
              <w:tr2bl w:val="nil"/>
            </w:tcBorders>
            <w:vAlign w:val="center"/>
          </w:tcPr>
          <w:p w14:paraId="753427B9">
            <w:pPr>
              <w:adjustRightInd w:val="0"/>
              <w:snapToGrid w:val="0"/>
              <w:spacing w:line="240" w:lineRule="auto"/>
              <w:ind w:firstLine="0" w:firstLineChars="0"/>
              <w:jc w:val="center"/>
              <w:rPr>
                <w:rFonts w:ascii="宋体" w:hAnsi="Times New Roman" w:eastAsia="宋体" w:cs="Times New Roman"/>
                <w:color w:val="auto"/>
                <w:sz w:val="21"/>
                <w:szCs w:val="21"/>
              </w:rPr>
            </w:pPr>
            <w:r>
              <w:rPr>
                <w:rFonts w:hint="eastAsia" w:ascii="宋体" w:hAnsi="Times New Roman" w:eastAsia="宋体" w:cs="Times New Roman"/>
                <w:color w:val="auto"/>
                <w:sz w:val="21"/>
                <w:szCs w:val="21"/>
              </w:rPr>
              <w:t>√</w:t>
            </w:r>
          </w:p>
        </w:tc>
        <w:tc>
          <w:tcPr>
            <w:tcW w:w="852" w:type="pct"/>
            <w:tcBorders>
              <w:tl2br w:val="nil"/>
              <w:tr2bl w:val="nil"/>
            </w:tcBorders>
            <w:vAlign w:val="center"/>
          </w:tcPr>
          <w:p w14:paraId="3FAB592B">
            <w:pPr>
              <w:adjustRightInd w:val="0"/>
              <w:snapToGrid w:val="0"/>
              <w:spacing w:line="240" w:lineRule="auto"/>
              <w:ind w:firstLine="0" w:firstLineChars="0"/>
              <w:jc w:val="center"/>
              <w:rPr>
                <w:rFonts w:ascii="宋体" w:hAnsi="Times New Roman" w:eastAsia="宋体" w:cs="Times New Roman"/>
                <w:color w:val="auto"/>
                <w:sz w:val="21"/>
                <w:szCs w:val="21"/>
              </w:rPr>
            </w:pPr>
          </w:p>
        </w:tc>
        <w:tc>
          <w:tcPr>
            <w:tcW w:w="855" w:type="pct"/>
            <w:tcBorders>
              <w:tl2br w:val="nil"/>
              <w:tr2bl w:val="nil"/>
            </w:tcBorders>
            <w:vAlign w:val="center"/>
          </w:tcPr>
          <w:p w14:paraId="36FC96F4">
            <w:pPr>
              <w:adjustRightInd w:val="0"/>
              <w:snapToGrid w:val="0"/>
              <w:spacing w:line="240" w:lineRule="auto"/>
              <w:ind w:firstLine="0" w:firstLineChars="0"/>
              <w:jc w:val="center"/>
              <w:rPr>
                <w:rFonts w:ascii="宋体" w:hAnsi="Times New Roman" w:eastAsia="宋体" w:cs="Times New Roman"/>
                <w:color w:val="auto"/>
                <w:sz w:val="21"/>
                <w:szCs w:val="21"/>
              </w:rPr>
            </w:pPr>
            <w:r>
              <w:rPr>
                <w:rFonts w:hint="eastAsia" w:ascii="宋体" w:hAnsi="Times New Roman" w:eastAsia="宋体" w:cs="Times New Roman"/>
                <w:color w:val="auto"/>
                <w:sz w:val="21"/>
                <w:szCs w:val="21"/>
              </w:rPr>
              <w:t>√</w:t>
            </w:r>
          </w:p>
        </w:tc>
        <w:tc>
          <w:tcPr>
            <w:tcW w:w="1214" w:type="pct"/>
            <w:tcBorders>
              <w:tl2br w:val="nil"/>
              <w:tr2bl w:val="nil"/>
            </w:tcBorders>
            <w:vAlign w:val="center"/>
          </w:tcPr>
          <w:p w14:paraId="0A7F7040">
            <w:pPr>
              <w:adjustRightInd w:val="0"/>
              <w:snapToGrid w:val="0"/>
              <w:spacing w:line="240" w:lineRule="auto"/>
              <w:ind w:firstLine="0" w:firstLineChars="0"/>
              <w:jc w:val="center"/>
              <w:rPr>
                <w:rFonts w:ascii="宋体" w:hAnsi="Times New Roman" w:eastAsia="宋体" w:cs="Times New Roman"/>
                <w:color w:val="auto"/>
                <w:sz w:val="21"/>
                <w:szCs w:val="21"/>
              </w:rPr>
            </w:pPr>
          </w:p>
        </w:tc>
      </w:tr>
      <w:tr w14:paraId="0EB4E9E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340" w:hRule="atLeast"/>
          <w:jc w:val="center"/>
        </w:trPr>
        <w:tc>
          <w:tcPr>
            <w:tcW w:w="1332" w:type="pct"/>
            <w:tcBorders>
              <w:tl2br w:val="nil"/>
              <w:tr2bl w:val="nil"/>
            </w:tcBorders>
            <w:vAlign w:val="center"/>
          </w:tcPr>
          <w:p w14:paraId="3D15EA1C">
            <w:pPr>
              <w:adjustRightInd w:val="0"/>
              <w:snapToGrid w:val="0"/>
              <w:spacing w:line="240" w:lineRule="auto"/>
              <w:ind w:firstLine="0" w:firstLineChars="0"/>
              <w:jc w:val="center"/>
              <w:rPr>
                <w:rFonts w:ascii="宋体" w:hAnsi="Times New Roman" w:eastAsia="宋体" w:cs="Times New Roman"/>
                <w:color w:val="auto"/>
                <w:sz w:val="21"/>
                <w:szCs w:val="21"/>
              </w:rPr>
            </w:pPr>
            <w:r>
              <w:rPr>
                <w:rFonts w:hint="eastAsia" w:ascii="宋体" w:hAnsi="Times New Roman" w:eastAsia="宋体" w:cs="Times New Roman"/>
                <w:color w:val="auto"/>
                <w:sz w:val="21"/>
                <w:szCs w:val="21"/>
              </w:rPr>
              <w:t>安全管理单元</w:t>
            </w:r>
          </w:p>
        </w:tc>
        <w:tc>
          <w:tcPr>
            <w:tcW w:w="745" w:type="pct"/>
            <w:tcBorders>
              <w:tl2br w:val="nil"/>
              <w:tr2bl w:val="nil"/>
            </w:tcBorders>
            <w:vAlign w:val="center"/>
          </w:tcPr>
          <w:p w14:paraId="7729D668">
            <w:pPr>
              <w:adjustRightInd w:val="0"/>
              <w:snapToGrid w:val="0"/>
              <w:spacing w:line="240" w:lineRule="auto"/>
              <w:ind w:firstLine="0" w:firstLineChars="0"/>
              <w:jc w:val="center"/>
              <w:rPr>
                <w:rFonts w:ascii="宋体" w:hAnsi="Times New Roman" w:eastAsia="宋体" w:cs="Times New Roman"/>
                <w:color w:val="auto"/>
                <w:sz w:val="21"/>
                <w:szCs w:val="21"/>
              </w:rPr>
            </w:pPr>
            <w:r>
              <w:rPr>
                <w:rFonts w:hint="eastAsia" w:ascii="宋体" w:hAnsi="Times New Roman" w:eastAsia="宋体" w:cs="Times New Roman"/>
                <w:color w:val="auto"/>
                <w:sz w:val="21"/>
                <w:szCs w:val="21"/>
              </w:rPr>
              <w:t>√</w:t>
            </w:r>
          </w:p>
        </w:tc>
        <w:tc>
          <w:tcPr>
            <w:tcW w:w="852" w:type="pct"/>
            <w:tcBorders>
              <w:tl2br w:val="nil"/>
              <w:tr2bl w:val="nil"/>
            </w:tcBorders>
            <w:vAlign w:val="center"/>
          </w:tcPr>
          <w:p w14:paraId="3E63BBBA">
            <w:pPr>
              <w:adjustRightInd w:val="0"/>
              <w:snapToGrid w:val="0"/>
              <w:spacing w:line="240" w:lineRule="auto"/>
              <w:ind w:firstLine="0" w:firstLineChars="0"/>
              <w:jc w:val="center"/>
              <w:rPr>
                <w:rFonts w:ascii="宋体" w:hAnsi="Times New Roman" w:eastAsia="宋体" w:cs="Times New Roman"/>
                <w:color w:val="auto"/>
                <w:sz w:val="21"/>
                <w:szCs w:val="21"/>
              </w:rPr>
            </w:pPr>
          </w:p>
        </w:tc>
        <w:tc>
          <w:tcPr>
            <w:tcW w:w="855" w:type="pct"/>
            <w:tcBorders>
              <w:tl2br w:val="nil"/>
              <w:tr2bl w:val="nil"/>
            </w:tcBorders>
            <w:vAlign w:val="center"/>
          </w:tcPr>
          <w:p w14:paraId="24A79594">
            <w:pPr>
              <w:adjustRightInd w:val="0"/>
              <w:snapToGrid w:val="0"/>
              <w:spacing w:line="240" w:lineRule="auto"/>
              <w:ind w:firstLine="0" w:firstLineChars="0"/>
              <w:jc w:val="center"/>
              <w:rPr>
                <w:rFonts w:ascii="宋体" w:hAnsi="Times New Roman" w:eastAsia="宋体" w:cs="Times New Roman"/>
                <w:color w:val="auto"/>
                <w:sz w:val="21"/>
                <w:szCs w:val="21"/>
              </w:rPr>
            </w:pPr>
          </w:p>
        </w:tc>
        <w:tc>
          <w:tcPr>
            <w:tcW w:w="1214" w:type="pct"/>
            <w:tcBorders>
              <w:tl2br w:val="nil"/>
              <w:tr2bl w:val="nil"/>
            </w:tcBorders>
            <w:vAlign w:val="center"/>
          </w:tcPr>
          <w:p w14:paraId="35360E3A">
            <w:pPr>
              <w:adjustRightInd w:val="0"/>
              <w:snapToGrid w:val="0"/>
              <w:spacing w:line="240" w:lineRule="auto"/>
              <w:ind w:firstLine="0" w:firstLineChars="0"/>
              <w:jc w:val="center"/>
              <w:rPr>
                <w:rFonts w:ascii="宋体" w:hAnsi="Times New Roman" w:eastAsia="宋体" w:cs="Times New Roman"/>
                <w:color w:val="auto"/>
                <w:sz w:val="21"/>
                <w:szCs w:val="21"/>
              </w:rPr>
            </w:pPr>
          </w:p>
        </w:tc>
      </w:tr>
    </w:tbl>
    <w:p w14:paraId="675529F8">
      <w:pPr>
        <w:adjustRightInd w:val="0"/>
        <w:snapToGrid w:val="0"/>
        <w:spacing w:line="360" w:lineRule="auto"/>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注：表中“√”表示评价单元所采用的评价方法。</w:t>
      </w:r>
    </w:p>
    <w:p w14:paraId="314BBB66">
      <w:pPr>
        <w:pStyle w:val="18"/>
        <w:widowControl w:val="0"/>
        <w:adjustRightInd w:val="0"/>
        <w:snapToGrid w:val="0"/>
        <w:spacing w:line="360" w:lineRule="auto"/>
        <w:ind w:firstLine="560"/>
        <w:rPr>
          <w:rFonts w:hint="eastAsia" w:ascii="宋体" w:hAnsi="宋体" w:eastAsia="宋体" w:cs="宋体"/>
          <w:color w:val="auto"/>
          <w:sz w:val="28"/>
          <w:szCs w:val="21"/>
          <w:lang w:val="en-US" w:eastAsia="zh-CN"/>
        </w:rPr>
      </w:pPr>
    </w:p>
    <w:p w14:paraId="6EC93C82">
      <w:pPr>
        <w:pStyle w:val="22"/>
        <w:widowControl w:val="0"/>
        <w:snapToGrid w:val="0"/>
        <w:spacing w:line="360" w:lineRule="auto"/>
        <w:ind w:firstLine="872" w:firstLineChars="400"/>
        <w:rPr>
          <w:color w:val="auto"/>
        </w:rPr>
      </w:pPr>
    </w:p>
    <w:p w14:paraId="1CE4CD0C">
      <w:pPr>
        <w:rPr>
          <w:color w:val="auto"/>
          <w:kern w:val="0"/>
          <w:sz w:val="28"/>
          <w:szCs w:val="20"/>
          <w:highlight w:val="none"/>
        </w:rPr>
      </w:pPr>
      <w:r>
        <w:rPr>
          <w:color w:val="auto"/>
          <w:kern w:val="0"/>
          <w:sz w:val="28"/>
          <w:szCs w:val="20"/>
          <w:highlight w:val="none"/>
        </w:rPr>
        <w:br w:type="page"/>
      </w:r>
    </w:p>
    <w:p w14:paraId="76463EF4">
      <w:pPr>
        <w:spacing w:before="120" w:beforeLines="50" w:after="120" w:afterLines="50" w:line="360" w:lineRule="auto"/>
        <w:jc w:val="center"/>
        <w:outlineLvl w:val="1"/>
        <w:rPr>
          <w:rFonts w:ascii="Times New Roman" w:hAnsi="Times New Roman" w:eastAsia="楷体_GB2312" w:cs="Times New Roman"/>
          <w:b/>
          <w:color w:val="auto"/>
          <w:kern w:val="2"/>
          <w:sz w:val="32"/>
          <w:szCs w:val="32"/>
          <w:lang w:val="en-US" w:eastAsia="zh-CN" w:bidi="ar-SA"/>
        </w:rPr>
      </w:pPr>
      <w:bookmarkStart w:id="22" w:name="_Toc25580"/>
      <w:bookmarkStart w:id="23" w:name="_Toc27876"/>
      <w:r>
        <w:rPr>
          <w:rFonts w:hint="eastAsia" w:ascii="Times New Roman" w:hAnsi="Times New Roman" w:eastAsia="楷体_GB2312" w:cs="Times New Roman"/>
          <w:b/>
          <w:color w:val="auto"/>
          <w:kern w:val="2"/>
          <w:sz w:val="32"/>
          <w:szCs w:val="32"/>
          <w:lang w:val="en-US" w:eastAsia="zh-CN" w:bidi="ar-SA"/>
        </w:rPr>
        <w:t>第二节 安全对策措施及建议</w:t>
      </w:r>
      <w:bookmarkEnd w:id="22"/>
      <w:bookmarkEnd w:id="23"/>
    </w:p>
    <w:p w14:paraId="680239D7">
      <w:pPr>
        <w:widowControl w:val="0"/>
        <w:adjustRightInd w:val="0"/>
        <w:snapToGrid w:val="0"/>
        <w:spacing w:line="360" w:lineRule="auto"/>
        <w:ind w:firstLine="560" w:firstLineChars="200"/>
        <w:jc w:val="both"/>
        <w:outlineLvl w:val="2"/>
        <w:rPr>
          <w:rFonts w:ascii="Times New Roman" w:hAnsi="Times New Roman" w:eastAsia="黑体" w:cs="Times New Roman"/>
          <w:color w:val="auto"/>
          <w:sz w:val="28"/>
          <w:u w:color="000000"/>
          <w:lang w:val="en-US" w:eastAsia="zh-CN" w:bidi="ar-SA"/>
        </w:rPr>
      </w:pPr>
      <w:r>
        <w:rPr>
          <w:rFonts w:hint="eastAsia" w:ascii="Times New Roman" w:hAnsi="Times New Roman" w:eastAsia="黑体" w:cs="Times New Roman"/>
          <w:color w:val="auto"/>
          <w:sz w:val="28"/>
          <w:u w:color="000000"/>
          <w:lang w:val="en-US" w:eastAsia="zh-CN" w:bidi="ar-SA"/>
        </w:rPr>
        <w:t>一、对存在问题隐患的建议</w:t>
      </w:r>
    </w:p>
    <w:p w14:paraId="0EF04863">
      <w:pPr>
        <w:widowControl/>
        <w:adjustRightInd w:val="0"/>
        <w:snapToGrid w:val="0"/>
        <w:spacing w:line="360" w:lineRule="auto"/>
        <w:ind w:firstLine="0" w:firstLineChars="0"/>
        <w:jc w:val="center"/>
        <w:outlineLvl w:val="3"/>
        <w:rPr>
          <w:rFonts w:ascii="黑体" w:hAnsi="黑体" w:eastAsia="黑体" w:cs="黑体"/>
          <w:bCs/>
          <w:color w:val="auto"/>
          <w:kern w:val="0"/>
          <w:sz w:val="24"/>
          <w:szCs w:val="18"/>
          <w:lang w:val="en-GB" w:eastAsia="zh-CN" w:bidi="ar-SA"/>
        </w:rPr>
      </w:pPr>
      <w:r>
        <w:rPr>
          <w:rFonts w:hint="eastAsia" w:ascii="黑体" w:hAnsi="黑体" w:eastAsia="黑体" w:cs="黑体"/>
          <w:bCs/>
          <w:color w:val="auto"/>
          <w:kern w:val="0"/>
          <w:sz w:val="24"/>
          <w:szCs w:val="18"/>
          <w:lang w:val="en-GB" w:eastAsia="zh-CN" w:bidi="ar-SA"/>
        </w:rPr>
        <w:t>表7.2-1 现场隐患及整改建议</w:t>
      </w:r>
    </w:p>
    <w:tbl>
      <w:tblPr>
        <w:tblStyle w:val="10"/>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28" w:type="dxa"/>
          <w:left w:w="28" w:type="dxa"/>
          <w:bottom w:w="28" w:type="dxa"/>
          <w:right w:w="28" w:type="dxa"/>
        </w:tblCellMar>
      </w:tblPr>
      <w:tblGrid>
        <w:gridCol w:w="659"/>
        <w:gridCol w:w="4209"/>
        <w:gridCol w:w="1883"/>
        <w:gridCol w:w="2485"/>
      </w:tblGrid>
      <w:tr w14:paraId="7B4F98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340" w:hRule="atLeast"/>
          <w:tblHeader/>
          <w:jc w:val="center"/>
        </w:trPr>
        <w:tc>
          <w:tcPr>
            <w:tcW w:w="672" w:type="dxa"/>
            <w:tcBorders>
              <w:tl2br w:val="nil"/>
              <w:tr2bl w:val="nil"/>
            </w:tcBorders>
            <w:shd w:val="clear" w:color="auto" w:fill="auto"/>
            <w:vAlign w:val="center"/>
          </w:tcPr>
          <w:p w14:paraId="7658C9B2">
            <w:pPr>
              <w:adjustRightInd w:val="0"/>
              <w:snapToGrid w:val="0"/>
              <w:spacing w:line="240" w:lineRule="auto"/>
              <w:ind w:firstLine="0" w:firstLineChars="0"/>
              <w:jc w:val="center"/>
              <w:rPr>
                <w:rFonts w:ascii="宋体" w:hAnsi="Times New Roman" w:eastAsia="宋体" w:cs="宋体"/>
                <w:b/>
                <w:bCs/>
                <w:color w:val="auto"/>
                <w:sz w:val="21"/>
                <w:szCs w:val="21"/>
              </w:rPr>
            </w:pPr>
            <w:r>
              <w:rPr>
                <w:rFonts w:hint="eastAsia" w:ascii="宋体" w:hAnsi="Times New Roman" w:eastAsia="宋体" w:cs="宋体"/>
                <w:b/>
                <w:bCs/>
                <w:color w:val="auto"/>
                <w:sz w:val="21"/>
                <w:szCs w:val="21"/>
              </w:rPr>
              <w:t>序号</w:t>
            </w:r>
          </w:p>
        </w:tc>
        <w:tc>
          <w:tcPr>
            <w:tcW w:w="4287" w:type="dxa"/>
            <w:tcBorders>
              <w:tl2br w:val="nil"/>
              <w:tr2bl w:val="nil"/>
            </w:tcBorders>
            <w:shd w:val="clear" w:color="auto" w:fill="auto"/>
            <w:vAlign w:val="center"/>
          </w:tcPr>
          <w:p w14:paraId="2936768A">
            <w:pPr>
              <w:adjustRightInd w:val="0"/>
              <w:snapToGrid w:val="0"/>
              <w:spacing w:line="240" w:lineRule="auto"/>
              <w:ind w:firstLine="0" w:firstLineChars="0"/>
              <w:jc w:val="center"/>
              <w:rPr>
                <w:rFonts w:ascii="宋体" w:hAnsi="Times New Roman" w:eastAsia="宋体" w:cs="宋体"/>
                <w:b/>
                <w:bCs/>
                <w:color w:val="auto"/>
                <w:sz w:val="21"/>
                <w:szCs w:val="21"/>
              </w:rPr>
            </w:pPr>
            <w:r>
              <w:rPr>
                <w:rFonts w:hint="eastAsia" w:ascii="宋体" w:hAnsi="Times New Roman" w:eastAsia="宋体" w:cs="宋体"/>
                <w:b/>
                <w:bCs/>
                <w:color w:val="auto"/>
                <w:sz w:val="21"/>
                <w:szCs w:val="21"/>
              </w:rPr>
              <w:t>现场不符合项</w:t>
            </w:r>
          </w:p>
        </w:tc>
        <w:tc>
          <w:tcPr>
            <w:tcW w:w="1918" w:type="dxa"/>
            <w:tcBorders>
              <w:tl2br w:val="nil"/>
              <w:tr2bl w:val="nil"/>
            </w:tcBorders>
            <w:shd w:val="clear" w:color="auto" w:fill="auto"/>
            <w:vAlign w:val="center"/>
          </w:tcPr>
          <w:p w14:paraId="49E78F7D">
            <w:pPr>
              <w:adjustRightInd w:val="0"/>
              <w:snapToGrid w:val="0"/>
              <w:spacing w:line="240" w:lineRule="auto"/>
              <w:ind w:firstLine="0" w:firstLineChars="0"/>
              <w:jc w:val="center"/>
              <w:rPr>
                <w:rFonts w:ascii="宋体" w:hAnsi="Times New Roman" w:eastAsia="宋体" w:cs="宋体"/>
                <w:b/>
                <w:bCs/>
                <w:color w:val="auto"/>
                <w:sz w:val="21"/>
                <w:szCs w:val="21"/>
              </w:rPr>
            </w:pPr>
            <w:r>
              <w:rPr>
                <w:rFonts w:hint="eastAsia" w:ascii="宋体" w:hAnsi="Times New Roman" w:eastAsia="宋体" w:cs="宋体"/>
                <w:b/>
                <w:bCs/>
                <w:color w:val="auto"/>
                <w:sz w:val="21"/>
                <w:szCs w:val="21"/>
              </w:rPr>
              <w:t>检查依据</w:t>
            </w:r>
          </w:p>
        </w:tc>
        <w:tc>
          <w:tcPr>
            <w:tcW w:w="2531" w:type="dxa"/>
            <w:tcBorders>
              <w:tl2br w:val="nil"/>
              <w:tr2bl w:val="nil"/>
            </w:tcBorders>
            <w:shd w:val="clear" w:color="auto" w:fill="auto"/>
            <w:vAlign w:val="center"/>
          </w:tcPr>
          <w:p w14:paraId="0AA43F17">
            <w:pPr>
              <w:adjustRightInd w:val="0"/>
              <w:snapToGrid w:val="0"/>
              <w:spacing w:line="240" w:lineRule="auto"/>
              <w:ind w:firstLine="0" w:firstLineChars="0"/>
              <w:jc w:val="center"/>
              <w:rPr>
                <w:rFonts w:ascii="宋体" w:hAnsi="Times New Roman" w:eastAsia="宋体" w:cs="宋体"/>
                <w:b/>
                <w:bCs/>
                <w:color w:val="auto"/>
                <w:sz w:val="21"/>
                <w:szCs w:val="21"/>
              </w:rPr>
            </w:pPr>
            <w:r>
              <w:rPr>
                <w:rFonts w:hint="eastAsia" w:ascii="宋体" w:hAnsi="Times New Roman" w:eastAsia="宋体" w:cs="宋体"/>
                <w:b/>
                <w:bCs/>
                <w:color w:val="auto"/>
                <w:sz w:val="21"/>
                <w:szCs w:val="21"/>
              </w:rPr>
              <w:t>整改建议</w:t>
            </w:r>
          </w:p>
        </w:tc>
      </w:tr>
      <w:tr w14:paraId="531ACA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672" w:type="dxa"/>
            <w:tcBorders>
              <w:tl2br w:val="nil"/>
              <w:tr2bl w:val="nil"/>
            </w:tcBorders>
            <w:shd w:val="clear" w:color="auto" w:fill="auto"/>
            <w:vAlign w:val="center"/>
          </w:tcPr>
          <w:p w14:paraId="23303610">
            <w:pPr>
              <w:adjustRightInd w:val="0"/>
              <w:snapToGrid w:val="0"/>
              <w:spacing w:line="240" w:lineRule="auto"/>
              <w:ind w:firstLine="0" w:firstLineChars="0"/>
              <w:jc w:val="center"/>
              <w:rPr>
                <w:rFonts w:ascii="宋体" w:hAnsi="Times New Roman" w:eastAsia="宋体" w:cs="宋体"/>
                <w:color w:val="auto"/>
                <w:sz w:val="21"/>
                <w:szCs w:val="21"/>
              </w:rPr>
            </w:pPr>
            <w:r>
              <w:rPr>
                <w:rFonts w:hint="eastAsia" w:ascii="宋体" w:hAnsi="Times New Roman" w:eastAsia="宋体" w:cs="宋体"/>
                <w:color w:val="auto"/>
                <w:sz w:val="21"/>
                <w:szCs w:val="21"/>
              </w:rPr>
              <w:t>1</w:t>
            </w:r>
          </w:p>
        </w:tc>
        <w:tc>
          <w:tcPr>
            <w:tcW w:w="4287" w:type="dxa"/>
            <w:tcBorders>
              <w:tl2br w:val="nil"/>
              <w:tr2bl w:val="nil"/>
            </w:tcBorders>
            <w:shd w:val="clear" w:color="auto" w:fill="auto"/>
            <w:vAlign w:val="center"/>
          </w:tcPr>
          <w:p w14:paraId="552E7706">
            <w:pPr>
              <w:adjustRightInd w:val="0"/>
              <w:snapToGrid w:val="0"/>
              <w:spacing w:line="240" w:lineRule="auto"/>
              <w:ind w:firstLine="0" w:firstLineChars="0"/>
              <w:jc w:val="left"/>
              <w:rPr>
                <w:rFonts w:ascii="宋体" w:hAnsi="宋体" w:eastAsia="宋体" w:cs="宋体"/>
                <w:color w:val="auto"/>
                <w:sz w:val="21"/>
                <w:szCs w:val="21"/>
              </w:rPr>
            </w:pPr>
            <w:r>
              <w:rPr>
                <w:rFonts w:hint="eastAsia" w:ascii="宋体" w:hAnsi="宋体" w:eastAsia="宋体" w:cs="宋体"/>
                <w:color w:val="auto"/>
                <w:sz w:val="21"/>
                <w:szCs w:val="21"/>
              </w:rPr>
              <w:t>硝钠厂区丁类车间化碱釜出口管道介质流向标识不全。</w:t>
            </w:r>
          </w:p>
        </w:tc>
        <w:tc>
          <w:tcPr>
            <w:tcW w:w="1918" w:type="dxa"/>
            <w:tcBorders>
              <w:tl2br w:val="nil"/>
              <w:tr2bl w:val="nil"/>
            </w:tcBorders>
            <w:shd w:val="clear" w:color="auto" w:fill="auto"/>
            <w:vAlign w:val="center"/>
          </w:tcPr>
          <w:p w14:paraId="2DD130D7">
            <w:pPr>
              <w:adjustRightInd w:val="0"/>
              <w:snapToGrid w:val="0"/>
              <w:spacing w:line="240" w:lineRule="auto"/>
              <w:ind w:firstLine="0" w:firstLineChars="0"/>
              <w:jc w:val="center"/>
              <w:rPr>
                <w:rFonts w:ascii="宋体" w:hAnsi="宋体" w:eastAsia="宋体" w:cs="宋体"/>
                <w:color w:val="auto"/>
                <w:sz w:val="21"/>
                <w:szCs w:val="21"/>
              </w:rPr>
            </w:pPr>
            <w:r>
              <w:rPr>
                <w:rFonts w:hint="eastAsia" w:ascii="宋体" w:hAnsi="宋体" w:eastAsia="宋体" w:cs="宋体"/>
                <w:color w:val="auto"/>
                <w:sz w:val="21"/>
                <w:szCs w:val="21"/>
              </w:rPr>
              <w:t>GB12801-2025</w:t>
            </w:r>
          </w:p>
          <w:p w14:paraId="5D75EB96">
            <w:pPr>
              <w:adjustRightInd w:val="0"/>
              <w:snapToGrid w:val="0"/>
              <w:spacing w:line="240" w:lineRule="auto"/>
              <w:ind w:firstLine="0" w:firstLineChars="0"/>
              <w:jc w:val="center"/>
              <w:rPr>
                <w:rFonts w:ascii="宋体" w:hAnsi="宋体" w:eastAsia="宋体" w:cs="宋体"/>
                <w:color w:val="auto"/>
                <w:sz w:val="21"/>
                <w:szCs w:val="21"/>
              </w:rPr>
            </w:pPr>
            <w:r>
              <w:rPr>
                <w:rFonts w:hint="eastAsia" w:ascii="宋体" w:hAnsi="宋体" w:eastAsia="宋体" w:cs="宋体"/>
                <w:color w:val="auto"/>
                <w:sz w:val="21"/>
                <w:szCs w:val="21"/>
              </w:rPr>
              <w:t>第5.7.4条</w:t>
            </w:r>
          </w:p>
        </w:tc>
        <w:tc>
          <w:tcPr>
            <w:tcW w:w="2531" w:type="dxa"/>
            <w:tcBorders>
              <w:tl2br w:val="nil"/>
              <w:tr2bl w:val="nil"/>
            </w:tcBorders>
            <w:shd w:val="clear" w:color="auto" w:fill="auto"/>
            <w:vAlign w:val="center"/>
          </w:tcPr>
          <w:p w14:paraId="37D9562B">
            <w:pPr>
              <w:adjustRightInd w:val="0"/>
              <w:snapToGrid w:val="0"/>
              <w:spacing w:line="240" w:lineRule="auto"/>
              <w:ind w:firstLine="0" w:firstLineChars="0"/>
              <w:jc w:val="left"/>
              <w:rPr>
                <w:rFonts w:ascii="宋体" w:hAnsi="宋体" w:eastAsia="宋体" w:cs="宋体"/>
                <w:color w:val="auto"/>
                <w:sz w:val="21"/>
                <w:szCs w:val="21"/>
              </w:rPr>
            </w:pPr>
            <w:r>
              <w:rPr>
                <w:rFonts w:hint="eastAsia" w:ascii="宋体" w:hAnsi="宋体" w:eastAsia="宋体" w:cs="宋体"/>
                <w:color w:val="auto"/>
                <w:sz w:val="21"/>
                <w:szCs w:val="21"/>
              </w:rPr>
              <w:t>增加介质标识。</w:t>
            </w:r>
          </w:p>
        </w:tc>
      </w:tr>
      <w:tr w14:paraId="724F82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672" w:type="dxa"/>
            <w:tcBorders>
              <w:tl2br w:val="nil"/>
              <w:tr2bl w:val="nil"/>
            </w:tcBorders>
            <w:shd w:val="clear" w:color="auto" w:fill="auto"/>
            <w:vAlign w:val="center"/>
          </w:tcPr>
          <w:p w14:paraId="01E8F865">
            <w:pPr>
              <w:adjustRightInd w:val="0"/>
              <w:snapToGrid w:val="0"/>
              <w:spacing w:line="240" w:lineRule="auto"/>
              <w:ind w:firstLine="0" w:firstLineChars="0"/>
              <w:jc w:val="center"/>
              <w:rPr>
                <w:rFonts w:ascii="宋体" w:hAnsi="Times New Roman" w:eastAsia="宋体" w:cs="宋体"/>
                <w:color w:val="auto"/>
                <w:sz w:val="21"/>
                <w:szCs w:val="21"/>
              </w:rPr>
            </w:pPr>
            <w:r>
              <w:rPr>
                <w:rFonts w:hint="eastAsia" w:ascii="宋体" w:hAnsi="Times New Roman" w:eastAsia="宋体" w:cs="宋体"/>
                <w:color w:val="auto"/>
                <w:sz w:val="21"/>
                <w:szCs w:val="21"/>
              </w:rPr>
              <w:t>2</w:t>
            </w:r>
          </w:p>
        </w:tc>
        <w:tc>
          <w:tcPr>
            <w:tcW w:w="4287" w:type="dxa"/>
            <w:tcBorders>
              <w:tl2br w:val="nil"/>
              <w:tr2bl w:val="nil"/>
            </w:tcBorders>
            <w:shd w:val="clear" w:color="auto" w:fill="auto"/>
            <w:vAlign w:val="center"/>
          </w:tcPr>
          <w:p w14:paraId="7825FC4A">
            <w:pPr>
              <w:adjustRightInd w:val="0"/>
              <w:snapToGrid w:val="0"/>
              <w:spacing w:line="240" w:lineRule="auto"/>
              <w:ind w:firstLine="0" w:firstLineChars="0"/>
              <w:jc w:val="left"/>
              <w:rPr>
                <w:rFonts w:ascii="宋体" w:hAnsi="宋体" w:eastAsia="宋体" w:cs="宋体"/>
                <w:color w:val="auto"/>
                <w:sz w:val="21"/>
                <w:szCs w:val="21"/>
              </w:rPr>
            </w:pPr>
            <w:r>
              <w:rPr>
                <w:rFonts w:hint="eastAsia" w:ascii="宋体" w:hAnsi="宋体" w:eastAsia="宋体" w:cs="宋体"/>
                <w:color w:val="auto"/>
                <w:sz w:val="21"/>
                <w:szCs w:val="21"/>
              </w:rPr>
              <w:t>破包机二层平台无“当心碰头”安全标识。</w:t>
            </w:r>
          </w:p>
        </w:tc>
        <w:tc>
          <w:tcPr>
            <w:tcW w:w="1918" w:type="dxa"/>
            <w:tcBorders>
              <w:tl2br w:val="nil"/>
              <w:tr2bl w:val="nil"/>
            </w:tcBorders>
            <w:shd w:val="clear" w:color="auto" w:fill="auto"/>
            <w:vAlign w:val="center"/>
          </w:tcPr>
          <w:p w14:paraId="5ECF9A51">
            <w:pPr>
              <w:adjustRightInd w:val="0"/>
              <w:snapToGrid w:val="0"/>
              <w:spacing w:line="240" w:lineRule="auto"/>
              <w:ind w:firstLine="0" w:firstLineChars="0"/>
              <w:jc w:val="center"/>
              <w:rPr>
                <w:rFonts w:ascii="宋体" w:hAnsi="宋体" w:eastAsia="宋体" w:cs="宋体"/>
                <w:color w:val="auto"/>
                <w:sz w:val="21"/>
                <w:szCs w:val="21"/>
              </w:rPr>
            </w:pPr>
            <w:r>
              <w:rPr>
                <w:rFonts w:hint="eastAsia" w:ascii="宋体" w:hAnsi="宋体" w:eastAsia="宋体" w:cs="宋体"/>
                <w:color w:val="auto"/>
                <w:sz w:val="21"/>
                <w:szCs w:val="21"/>
              </w:rPr>
              <w:t>GB12801-2025</w:t>
            </w:r>
          </w:p>
          <w:p w14:paraId="0BC09B85">
            <w:pPr>
              <w:adjustRightInd w:val="0"/>
              <w:snapToGrid w:val="0"/>
              <w:spacing w:line="240" w:lineRule="auto"/>
              <w:ind w:firstLine="0" w:firstLineChars="0"/>
              <w:jc w:val="center"/>
              <w:rPr>
                <w:rFonts w:ascii="宋体" w:hAnsi="宋体" w:eastAsia="宋体" w:cs="宋体"/>
                <w:color w:val="auto"/>
                <w:sz w:val="21"/>
                <w:szCs w:val="21"/>
              </w:rPr>
            </w:pPr>
            <w:r>
              <w:rPr>
                <w:rFonts w:hint="eastAsia" w:ascii="宋体" w:hAnsi="宋体" w:eastAsia="宋体" w:cs="宋体"/>
                <w:color w:val="auto"/>
                <w:sz w:val="21"/>
                <w:szCs w:val="21"/>
              </w:rPr>
              <w:t>第5.7.4条</w:t>
            </w:r>
          </w:p>
        </w:tc>
        <w:tc>
          <w:tcPr>
            <w:tcW w:w="2531" w:type="dxa"/>
            <w:tcBorders>
              <w:tl2br w:val="nil"/>
              <w:tr2bl w:val="nil"/>
            </w:tcBorders>
            <w:shd w:val="clear" w:color="auto" w:fill="auto"/>
            <w:vAlign w:val="center"/>
          </w:tcPr>
          <w:p w14:paraId="78DABE63">
            <w:pPr>
              <w:adjustRightInd w:val="0"/>
              <w:snapToGrid w:val="0"/>
              <w:spacing w:line="240" w:lineRule="auto"/>
              <w:ind w:firstLine="0" w:firstLineChars="0"/>
              <w:jc w:val="left"/>
              <w:rPr>
                <w:rFonts w:ascii="宋体" w:hAnsi="宋体" w:eastAsia="宋体" w:cs="宋体"/>
                <w:color w:val="auto"/>
                <w:sz w:val="21"/>
                <w:szCs w:val="21"/>
              </w:rPr>
            </w:pPr>
            <w:r>
              <w:rPr>
                <w:rFonts w:hint="eastAsia" w:ascii="宋体" w:hAnsi="宋体" w:eastAsia="宋体" w:cs="宋体"/>
                <w:color w:val="auto"/>
                <w:sz w:val="21"/>
                <w:szCs w:val="21"/>
              </w:rPr>
              <w:t>增加安全标志。</w:t>
            </w:r>
          </w:p>
        </w:tc>
      </w:tr>
      <w:tr w14:paraId="1B495B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672" w:type="dxa"/>
            <w:tcBorders>
              <w:tl2br w:val="nil"/>
              <w:tr2bl w:val="nil"/>
            </w:tcBorders>
            <w:shd w:val="clear" w:color="auto" w:fill="auto"/>
            <w:vAlign w:val="center"/>
          </w:tcPr>
          <w:p w14:paraId="5DA44FC7">
            <w:pPr>
              <w:adjustRightInd w:val="0"/>
              <w:snapToGrid w:val="0"/>
              <w:spacing w:line="240" w:lineRule="auto"/>
              <w:ind w:firstLine="0" w:firstLineChars="0"/>
              <w:jc w:val="center"/>
              <w:rPr>
                <w:rFonts w:ascii="宋体" w:hAnsi="Times New Roman" w:eastAsia="宋体" w:cs="宋体"/>
                <w:color w:val="auto"/>
                <w:sz w:val="21"/>
                <w:szCs w:val="21"/>
              </w:rPr>
            </w:pPr>
            <w:r>
              <w:rPr>
                <w:rFonts w:hint="eastAsia" w:ascii="宋体" w:hAnsi="Times New Roman" w:eastAsia="宋体" w:cs="宋体"/>
                <w:color w:val="auto"/>
                <w:sz w:val="21"/>
                <w:szCs w:val="21"/>
              </w:rPr>
              <w:t>3</w:t>
            </w:r>
          </w:p>
        </w:tc>
        <w:tc>
          <w:tcPr>
            <w:tcW w:w="4287" w:type="dxa"/>
            <w:tcBorders>
              <w:tl2br w:val="nil"/>
              <w:tr2bl w:val="nil"/>
            </w:tcBorders>
            <w:shd w:val="clear" w:color="auto" w:fill="auto"/>
            <w:vAlign w:val="center"/>
          </w:tcPr>
          <w:p w14:paraId="2FC60FAB">
            <w:pPr>
              <w:adjustRightInd w:val="0"/>
              <w:snapToGrid w:val="0"/>
              <w:spacing w:line="240" w:lineRule="auto"/>
              <w:ind w:firstLine="0" w:firstLineChars="0"/>
              <w:jc w:val="left"/>
              <w:rPr>
                <w:rFonts w:ascii="宋体" w:hAnsi="宋体" w:eastAsia="宋体" w:cs="宋体"/>
                <w:color w:val="auto"/>
                <w:sz w:val="21"/>
                <w:szCs w:val="21"/>
              </w:rPr>
            </w:pPr>
            <w:r>
              <w:rPr>
                <w:rFonts w:hint="eastAsia" w:ascii="宋体" w:hAnsi="宋体" w:eastAsia="宋体" w:cs="宋体"/>
                <w:color w:val="auto"/>
                <w:sz w:val="21"/>
                <w:szCs w:val="21"/>
              </w:rPr>
              <w:t>合成釜顶部法兰无防喷溅措施。</w:t>
            </w:r>
          </w:p>
        </w:tc>
        <w:tc>
          <w:tcPr>
            <w:tcW w:w="1918" w:type="dxa"/>
            <w:tcBorders>
              <w:tl2br w:val="nil"/>
              <w:tr2bl w:val="nil"/>
            </w:tcBorders>
            <w:shd w:val="clear" w:color="auto" w:fill="auto"/>
            <w:vAlign w:val="center"/>
          </w:tcPr>
          <w:p w14:paraId="73D7904B">
            <w:pPr>
              <w:adjustRightInd w:val="0"/>
              <w:snapToGrid w:val="0"/>
              <w:spacing w:line="240" w:lineRule="auto"/>
              <w:ind w:firstLine="0" w:firstLineChars="0"/>
              <w:jc w:val="center"/>
              <w:rPr>
                <w:rFonts w:ascii="宋体" w:hAnsi="宋体" w:eastAsia="宋体" w:cs="宋体"/>
                <w:color w:val="auto"/>
                <w:sz w:val="21"/>
                <w:szCs w:val="21"/>
              </w:rPr>
            </w:pPr>
            <w:r>
              <w:rPr>
                <w:rFonts w:hint="eastAsia" w:ascii="宋体" w:hAnsi="宋体" w:eastAsia="宋体" w:cs="宋体"/>
                <w:color w:val="auto"/>
                <w:sz w:val="21"/>
                <w:szCs w:val="21"/>
              </w:rPr>
              <w:t>HG20571-2014</w:t>
            </w:r>
          </w:p>
          <w:p w14:paraId="504BAE8B">
            <w:pPr>
              <w:adjustRightInd w:val="0"/>
              <w:snapToGrid w:val="0"/>
              <w:spacing w:line="240" w:lineRule="auto"/>
              <w:ind w:firstLine="0" w:firstLineChars="0"/>
              <w:jc w:val="center"/>
              <w:rPr>
                <w:rFonts w:ascii="宋体" w:hAnsi="宋体" w:eastAsia="宋体" w:cs="宋体"/>
                <w:color w:val="auto"/>
                <w:sz w:val="21"/>
                <w:szCs w:val="21"/>
              </w:rPr>
            </w:pPr>
            <w:r>
              <w:rPr>
                <w:rFonts w:hint="eastAsia" w:ascii="宋体" w:hAnsi="宋体" w:eastAsia="宋体" w:cs="宋体"/>
                <w:color w:val="auto"/>
                <w:sz w:val="21"/>
                <w:szCs w:val="21"/>
              </w:rPr>
              <w:t>第5.6.1条</w:t>
            </w:r>
          </w:p>
        </w:tc>
        <w:tc>
          <w:tcPr>
            <w:tcW w:w="2531" w:type="dxa"/>
            <w:tcBorders>
              <w:tl2br w:val="nil"/>
              <w:tr2bl w:val="nil"/>
            </w:tcBorders>
            <w:shd w:val="clear" w:color="auto" w:fill="auto"/>
            <w:vAlign w:val="center"/>
          </w:tcPr>
          <w:p w14:paraId="2D15B99E">
            <w:pPr>
              <w:adjustRightInd w:val="0"/>
              <w:snapToGrid w:val="0"/>
              <w:spacing w:line="240" w:lineRule="auto"/>
              <w:ind w:firstLine="0" w:firstLineChars="0"/>
              <w:jc w:val="left"/>
              <w:rPr>
                <w:rFonts w:ascii="宋体" w:hAnsi="宋体" w:eastAsia="宋体" w:cs="宋体"/>
                <w:color w:val="auto"/>
                <w:sz w:val="21"/>
                <w:szCs w:val="21"/>
              </w:rPr>
            </w:pPr>
            <w:r>
              <w:rPr>
                <w:rFonts w:hint="eastAsia" w:ascii="宋体" w:hAnsi="宋体" w:eastAsia="宋体" w:cs="宋体"/>
                <w:color w:val="auto"/>
                <w:sz w:val="21"/>
                <w:szCs w:val="21"/>
              </w:rPr>
              <w:t>增加防喷溅措施。</w:t>
            </w:r>
          </w:p>
        </w:tc>
      </w:tr>
      <w:tr w14:paraId="678B75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672" w:type="dxa"/>
            <w:tcBorders>
              <w:tl2br w:val="nil"/>
              <w:tr2bl w:val="nil"/>
            </w:tcBorders>
            <w:shd w:val="clear" w:color="auto" w:fill="auto"/>
            <w:vAlign w:val="center"/>
          </w:tcPr>
          <w:p w14:paraId="674E7E3C">
            <w:pPr>
              <w:adjustRightInd w:val="0"/>
              <w:snapToGrid w:val="0"/>
              <w:spacing w:line="240" w:lineRule="auto"/>
              <w:ind w:firstLine="0" w:firstLineChars="0"/>
              <w:jc w:val="center"/>
              <w:rPr>
                <w:rFonts w:ascii="宋体" w:hAnsi="Times New Roman" w:eastAsia="宋体" w:cs="宋体"/>
                <w:color w:val="auto"/>
                <w:sz w:val="21"/>
                <w:szCs w:val="21"/>
              </w:rPr>
            </w:pPr>
            <w:r>
              <w:rPr>
                <w:rFonts w:hint="eastAsia" w:ascii="宋体" w:hAnsi="Times New Roman" w:eastAsia="宋体" w:cs="宋体"/>
                <w:color w:val="auto"/>
                <w:sz w:val="21"/>
                <w:szCs w:val="21"/>
              </w:rPr>
              <w:t>4</w:t>
            </w:r>
          </w:p>
        </w:tc>
        <w:tc>
          <w:tcPr>
            <w:tcW w:w="4287" w:type="dxa"/>
            <w:tcBorders>
              <w:tl2br w:val="nil"/>
              <w:tr2bl w:val="nil"/>
            </w:tcBorders>
            <w:shd w:val="clear" w:color="auto" w:fill="auto"/>
            <w:vAlign w:val="center"/>
          </w:tcPr>
          <w:p w14:paraId="37B022E1">
            <w:pPr>
              <w:adjustRightInd w:val="0"/>
              <w:snapToGrid w:val="0"/>
              <w:spacing w:line="240" w:lineRule="auto"/>
              <w:ind w:firstLine="0" w:firstLineChars="0"/>
              <w:jc w:val="left"/>
              <w:rPr>
                <w:rFonts w:ascii="宋体" w:hAnsi="宋体" w:eastAsia="宋体" w:cs="宋体"/>
                <w:color w:val="auto"/>
                <w:sz w:val="21"/>
                <w:szCs w:val="21"/>
              </w:rPr>
            </w:pPr>
            <w:r>
              <w:rPr>
                <w:rFonts w:hint="eastAsia" w:ascii="宋体" w:hAnsi="宋体" w:eastAsia="宋体" w:cs="宋体"/>
                <w:color w:val="auto"/>
                <w:sz w:val="21"/>
                <w:szCs w:val="21"/>
              </w:rPr>
              <w:t>硝钠生产车间合成釜区域未进行防腐。</w:t>
            </w:r>
          </w:p>
        </w:tc>
        <w:tc>
          <w:tcPr>
            <w:tcW w:w="1918" w:type="dxa"/>
            <w:tcBorders>
              <w:tl2br w:val="nil"/>
              <w:tr2bl w:val="nil"/>
            </w:tcBorders>
            <w:shd w:val="clear" w:color="auto" w:fill="auto"/>
            <w:vAlign w:val="center"/>
          </w:tcPr>
          <w:p w14:paraId="7657A407">
            <w:pPr>
              <w:adjustRightInd w:val="0"/>
              <w:snapToGrid w:val="0"/>
              <w:spacing w:line="240" w:lineRule="auto"/>
              <w:ind w:firstLine="0" w:firstLineChars="0"/>
              <w:jc w:val="center"/>
              <w:rPr>
                <w:rFonts w:ascii="宋体" w:hAnsi="宋体" w:eastAsia="宋体" w:cs="宋体"/>
                <w:color w:val="auto"/>
                <w:sz w:val="21"/>
                <w:szCs w:val="21"/>
              </w:rPr>
            </w:pPr>
            <w:r>
              <w:rPr>
                <w:rFonts w:hint="eastAsia" w:ascii="宋体" w:hAnsi="宋体" w:eastAsia="宋体" w:cs="宋体"/>
                <w:color w:val="auto"/>
                <w:sz w:val="21"/>
                <w:szCs w:val="21"/>
              </w:rPr>
              <w:t>HG20571-2014</w:t>
            </w:r>
          </w:p>
          <w:p w14:paraId="30E49953">
            <w:pPr>
              <w:adjustRightInd w:val="0"/>
              <w:snapToGrid w:val="0"/>
              <w:spacing w:line="240" w:lineRule="auto"/>
              <w:ind w:firstLine="0" w:firstLineChars="0"/>
              <w:jc w:val="center"/>
              <w:rPr>
                <w:rFonts w:ascii="宋体" w:hAnsi="宋体" w:eastAsia="宋体" w:cs="宋体"/>
                <w:color w:val="auto"/>
                <w:sz w:val="21"/>
                <w:szCs w:val="21"/>
              </w:rPr>
            </w:pPr>
            <w:r>
              <w:rPr>
                <w:rFonts w:hint="eastAsia" w:ascii="宋体" w:hAnsi="宋体" w:eastAsia="宋体" w:cs="宋体"/>
                <w:color w:val="auto"/>
                <w:sz w:val="21"/>
                <w:szCs w:val="21"/>
              </w:rPr>
              <w:t>第5.6.4条</w:t>
            </w:r>
          </w:p>
        </w:tc>
        <w:tc>
          <w:tcPr>
            <w:tcW w:w="2531" w:type="dxa"/>
            <w:tcBorders>
              <w:tl2br w:val="nil"/>
              <w:tr2bl w:val="nil"/>
            </w:tcBorders>
            <w:shd w:val="clear" w:color="auto" w:fill="auto"/>
            <w:vAlign w:val="center"/>
          </w:tcPr>
          <w:p w14:paraId="77694998">
            <w:pPr>
              <w:adjustRightInd w:val="0"/>
              <w:snapToGrid w:val="0"/>
              <w:spacing w:line="240" w:lineRule="auto"/>
              <w:ind w:firstLine="0" w:firstLineChars="0"/>
              <w:jc w:val="left"/>
              <w:rPr>
                <w:rFonts w:ascii="宋体" w:hAnsi="宋体" w:eastAsia="宋体" w:cs="宋体"/>
                <w:color w:val="auto"/>
                <w:sz w:val="21"/>
                <w:szCs w:val="21"/>
              </w:rPr>
            </w:pPr>
            <w:r>
              <w:rPr>
                <w:rFonts w:hint="eastAsia" w:ascii="宋体" w:hAnsi="宋体" w:eastAsia="宋体" w:cs="宋体"/>
                <w:color w:val="auto"/>
                <w:sz w:val="21"/>
                <w:szCs w:val="21"/>
              </w:rPr>
              <w:t>采取防腐措施。</w:t>
            </w:r>
          </w:p>
        </w:tc>
      </w:tr>
      <w:tr w14:paraId="6BD8C78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672" w:type="dxa"/>
            <w:tcBorders>
              <w:tl2br w:val="nil"/>
              <w:tr2bl w:val="nil"/>
            </w:tcBorders>
            <w:shd w:val="clear" w:color="auto" w:fill="auto"/>
            <w:vAlign w:val="center"/>
          </w:tcPr>
          <w:p w14:paraId="778E0A90">
            <w:pPr>
              <w:adjustRightInd w:val="0"/>
              <w:snapToGrid w:val="0"/>
              <w:spacing w:line="240" w:lineRule="auto"/>
              <w:ind w:firstLine="0" w:firstLineChars="0"/>
              <w:jc w:val="center"/>
              <w:rPr>
                <w:rFonts w:ascii="宋体" w:hAnsi="Times New Roman" w:eastAsia="宋体" w:cs="宋体"/>
                <w:color w:val="auto"/>
                <w:sz w:val="21"/>
                <w:szCs w:val="21"/>
              </w:rPr>
            </w:pPr>
            <w:r>
              <w:rPr>
                <w:rFonts w:hint="eastAsia" w:ascii="宋体" w:hAnsi="Times New Roman" w:eastAsia="宋体" w:cs="宋体"/>
                <w:color w:val="auto"/>
                <w:sz w:val="21"/>
                <w:szCs w:val="21"/>
              </w:rPr>
              <w:t>5</w:t>
            </w:r>
          </w:p>
        </w:tc>
        <w:tc>
          <w:tcPr>
            <w:tcW w:w="4287" w:type="dxa"/>
            <w:tcBorders>
              <w:tl2br w:val="nil"/>
              <w:tr2bl w:val="nil"/>
            </w:tcBorders>
            <w:shd w:val="clear" w:color="auto" w:fill="auto"/>
            <w:vAlign w:val="center"/>
          </w:tcPr>
          <w:p w14:paraId="0DA6CC81">
            <w:pPr>
              <w:adjustRightInd w:val="0"/>
              <w:snapToGrid w:val="0"/>
              <w:spacing w:line="240" w:lineRule="auto"/>
              <w:ind w:firstLine="0" w:firstLineChars="0"/>
              <w:jc w:val="left"/>
              <w:rPr>
                <w:rFonts w:ascii="宋体" w:hAnsi="宋体" w:eastAsia="宋体" w:cs="宋体"/>
                <w:color w:val="auto"/>
                <w:sz w:val="21"/>
                <w:szCs w:val="21"/>
              </w:rPr>
            </w:pPr>
            <w:r>
              <w:rPr>
                <w:rFonts w:hint="eastAsia" w:ascii="宋体" w:hAnsi="宋体" w:eastAsia="宋体" w:cs="宋体"/>
                <w:color w:val="auto"/>
                <w:sz w:val="21"/>
                <w:szCs w:val="21"/>
              </w:rPr>
              <w:t>化碱釜顶部预留口未用盲板封堵。</w:t>
            </w:r>
          </w:p>
        </w:tc>
        <w:tc>
          <w:tcPr>
            <w:tcW w:w="1918" w:type="dxa"/>
            <w:tcBorders>
              <w:tl2br w:val="nil"/>
              <w:tr2bl w:val="nil"/>
            </w:tcBorders>
            <w:shd w:val="clear" w:color="auto" w:fill="auto"/>
            <w:vAlign w:val="center"/>
          </w:tcPr>
          <w:p w14:paraId="193E4B2C">
            <w:pPr>
              <w:adjustRightInd w:val="0"/>
              <w:snapToGrid w:val="0"/>
              <w:spacing w:line="240" w:lineRule="auto"/>
              <w:ind w:firstLine="0" w:firstLineChars="0"/>
              <w:jc w:val="center"/>
              <w:rPr>
                <w:rFonts w:ascii="宋体" w:hAnsi="宋体" w:eastAsia="宋体" w:cs="宋体"/>
                <w:color w:val="auto"/>
                <w:sz w:val="21"/>
                <w:szCs w:val="21"/>
              </w:rPr>
            </w:pPr>
            <w:r>
              <w:rPr>
                <w:rFonts w:hint="eastAsia" w:ascii="宋体" w:hAnsi="宋体" w:eastAsia="宋体" w:cs="宋体"/>
                <w:color w:val="auto"/>
                <w:sz w:val="21"/>
                <w:szCs w:val="21"/>
              </w:rPr>
              <w:t>SH/T3047-2021</w:t>
            </w:r>
            <w:r>
              <w:rPr>
                <w:rFonts w:hint="eastAsia" w:ascii="宋体" w:hAnsi="宋体" w:eastAsia="宋体" w:cs="宋体"/>
                <w:color w:val="auto"/>
                <w:sz w:val="21"/>
                <w:szCs w:val="21"/>
              </w:rPr>
              <w:br w:type="textWrapping"/>
            </w:r>
            <w:r>
              <w:rPr>
                <w:rFonts w:hint="eastAsia" w:ascii="宋体" w:hAnsi="宋体" w:eastAsia="宋体" w:cs="宋体"/>
                <w:color w:val="auto"/>
                <w:sz w:val="21"/>
                <w:szCs w:val="21"/>
              </w:rPr>
              <w:t>第7.1.4.2条</w:t>
            </w:r>
          </w:p>
        </w:tc>
        <w:tc>
          <w:tcPr>
            <w:tcW w:w="2531" w:type="dxa"/>
            <w:tcBorders>
              <w:tl2br w:val="nil"/>
              <w:tr2bl w:val="nil"/>
            </w:tcBorders>
            <w:shd w:val="clear" w:color="auto" w:fill="auto"/>
            <w:vAlign w:val="center"/>
          </w:tcPr>
          <w:p w14:paraId="3134E4FA">
            <w:pPr>
              <w:adjustRightInd w:val="0"/>
              <w:snapToGrid w:val="0"/>
              <w:spacing w:line="240" w:lineRule="auto"/>
              <w:ind w:firstLine="0" w:firstLineChars="0"/>
              <w:jc w:val="left"/>
              <w:rPr>
                <w:rFonts w:ascii="宋体" w:hAnsi="宋体" w:eastAsia="宋体" w:cs="宋体"/>
                <w:color w:val="auto"/>
                <w:sz w:val="21"/>
                <w:szCs w:val="21"/>
              </w:rPr>
            </w:pPr>
            <w:r>
              <w:rPr>
                <w:rFonts w:hint="eastAsia" w:ascii="宋体" w:hAnsi="宋体" w:eastAsia="宋体" w:cs="宋体"/>
                <w:color w:val="auto"/>
                <w:sz w:val="21"/>
                <w:szCs w:val="21"/>
              </w:rPr>
              <w:t>设置盲板封堵。</w:t>
            </w:r>
          </w:p>
        </w:tc>
      </w:tr>
    </w:tbl>
    <w:p w14:paraId="7CA98BB0">
      <w:pPr>
        <w:widowControl w:val="0"/>
        <w:adjustRightInd w:val="0"/>
        <w:snapToGrid w:val="0"/>
        <w:spacing w:line="360" w:lineRule="auto"/>
        <w:ind w:firstLine="560" w:firstLineChars="200"/>
        <w:jc w:val="both"/>
        <w:outlineLvl w:val="2"/>
        <w:rPr>
          <w:rFonts w:ascii="Times New Roman" w:hAnsi="Times New Roman" w:eastAsia="黑体" w:cs="Times New Roman"/>
          <w:color w:val="auto"/>
          <w:sz w:val="28"/>
          <w:u w:color="000000"/>
          <w:lang w:val="en-US" w:eastAsia="zh-CN" w:bidi="ar-SA"/>
        </w:rPr>
      </w:pPr>
      <w:r>
        <w:rPr>
          <w:rFonts w:hint="eastAsia" w:ascii="Times New Roman" w:hAnsi="Times New Roman" w:eastAsia="黑体" w:cs="Times New Roman"/>
          <w:color w:val="auto"/>
          <w:sz w:val="28"/>
          <w:u w:color="000000"/>
          <w:lang w:val="en-US" w:eastAsia="zh-CN" w:bidi="ar-SA"/>
        </w:rPr>
        <w:t>二、隐患整改情况复查结果</w:t>
      </w:r>
    </w:p>
    <w:p w14:paraId="4E28CE81">
      <w:pPr>
        <w:widowControl/>
        <w:adjustRightInd w:val="0"/>
        <w:snapToGrid w:val="0"/>
        <w:spacing w:line="360" w:lineRule="auto"/>
        <w:ind w:firstLine="0" w:firstLineChars="0"/>
        <w:jc w:val="center"/>
        <w:outlineLvl w:val="3"/>
        <w:rPr>
          <w:rFonts w:ascii="黑体" w:hAnsi="黑体" w:eastAsia="黑体" w:cs="黑体"/>
          <w:bCs/>
          <w:color w:val="auto"/>
          <w:kern w:val="0"/>
          <w:sz w:val="24"/>
          <w:szCs w:val="18"/>
          <w:lang w:val="en-GB" w:eastAsia="zh-CN" w:bidi="ar-SA"/>
        </w:rPr>
      </w:pPr>
      <w:r>
        <w:rPr>
          <w:rFonts w:hint="eastAsia" w:ascii="黑体" w:hAnsi="黑体" w:eastAsia="黑体" w:cs="黑体"/>
          <w:bCs/>
          <w:color w:val="auto"/>
          <w:kern w:val="0"/>
          <w:sz w:val="24"/>
          <w:szCs w:val="18"/>
          <w:lang w:val="en-GB" w:eastAsia="zh-CN" w:bidi="ar-SA"/>
        </w:rPr>
        <w:t>表7.2-2 现场隐患及整改情况</w:t>
      </w:r>
    </w:p>
    <w:tbl>
      <w:tblPr>
        <w:tblStyle w:val="10"/>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28" w:type="dxa"/>
          <w:left w:w="28" w:type="dxa"/>
          <w:bottom w:w="28" w:type="dxa"/>
          <w:right w:w="28" w:type="dxa"/>
        </w:tblCellMar>
      </w:tblPr>
      <w:tblGrid>
        <w:gridCol w:w="660"/>
        <w:gridCol w:w="4624"/>
        <w:gridCol w:w="3067"/>
        <w:gridCol w:w="889"/>
      </w:tblGrid>
      <w:tr w14:paraId="1F4CA8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672" w:type="dxa"/>
            <w:tcBorders>
              <w:tl2br w:val="nil"/>
              <w:tr2bl w:val="nil"/>
            </w:tcBorders>
            <w:shd w:val="clear" w:color="auto" w:fill="auto"/>
            <w:vAlign w:val="center"/>
          </w:tcPr>
          <w:p w14:paraId="1E91066D">
            <w:pPr>
              <w:adjustRightInd w:val="0"/>
              <w:snapToGrid w:val="0"/>
              <w:spacing w:line="240" w:lineRule="auto"/>
              <w:ind w:firstLine="0" w:firstLineChars="0"/>
              <w:jc w:val="center"/>
              <w:rPr>
                <w:rFonts w:ascii="宋体" w:hAnsi="Times New Roman" w:eastAsia="宋体" w:cs="宋体"/>
                <w:b/>
                <w:bCs/>
                <w:color w:val="auto"/>
                <w:sz w:val="21"/>
                <w:szCs w:val="21"/>
              </w:rPr>
            </w:pPr>
            <w:r>
              <w:rPr>
                <w:rFonts w:hint="eastAsia" w:ascii="宋体" w:hAnsi="Times New Roman" w:eastAsia="宋体" w:cs="宋体"/>
                <w:b/>
                <w:bCs/>
                <w:color w:val="auto"/>
                <w:sz w:val="21"/>
                <w:szCs w:val="21"/>
              </w:rPr>
              <w:t>序号</w:t>
            </w:r>
          </w:p>
        </w:tc>
        <w:tc>
          <w:tcPr>
            <w:tcW w:w="4710" w:type="dxa"/>
            <w:tcBorders>
              <w:tl2br w:val="nil"/>
              <w:tr2bl w:val="nil"/>
            </w:tcBorders>
            <w:shd w:val="clear" w:color="auto" w:fill="auto"/>
            <w:vAlign w:val="center"/>
          </w:tcPr>
          <w:p w14:paraId="40F93D89">
            <w:pPr>
              <w:adjustRightInd w:val="0"/>
              <w:snapToGrid w:val="0"/>
              <w:spacing w:line="240" w:lineRule="auto"/>
              <w:ind w:firstLine="0" w:firstLineChars="0"/>
              <w:jc w:val="center"/>
              <w:rPr>
                <w:rFonts w:ascii="宋体" w:hAnsi="Times New Roman" w:eastAsia="宋体" w:cs="宋体"/>
                <w:b/>
                <w:bCs/>
                <w:color w:val="auto"/>
                <w:sz w:val="21"/>
                <w:szCs w:val="21"/>
              </w:rPr>
            </w:pPr>
            <w:r>
              <w:rPr>
                <w:rFonts w:hint="eastAsia" w:ascii="宋体" w:hAnsi="Times New Roman" w:eastAsia="宋体" w:cs="宋体"/>
                <w:b/>
                <w:bCs/>
                <w:color w:val="auto"/>
                <w:sz w:val="21"/>
                <w:szCs w:val="21"/>
              </w:rPr>
              <w:t>现场不符合项</w:t>
            </w:r>
          </w:p>
        </w:tc>
        <w:tc>
          <w:tcPr>
            <w:tcW w:w="3124" w:type="dxa"/>
            <w:tcBorders>
              <w:tl2br w:val="nil"/>
              <w:tr2bl w:val="nil"/>
            </w:tcBorders>
            <w:shd w:val="clear" w:color="auto" w:fill="auto"/>
            <w:vAlign w:val="center"/>
          </w:tcPr>
          <w:p w14:paraId="18094D24">
            <w:pPr>
              <w:adjustRightInd w:val="0"/>
              <w:snapToGrid w:val="0"/>
              <w:spacing w:line="240" w:lineRule="auto"/>
              <w:ind w:firstLine="0" w:firstLineChars="0"/>
              <w:jc w:val="center"/>
              <w:rPr>
                <w:rFonts w:ascii="宋体" w:hAnsi="Times New Roman" w:eastAsia="宋体" w:cs="宋体"/>
                <w:b/>
                <w:bCs/>
                <w:color w:val="auto"/>
                <w:sz w:val="21"/>
                <w:szCs w:val="21"/>
              </w:rPr>
            </w:pPr>
            <w:r>
              <w:rPr>
                <w:rFonts w:hint="eastAsia" w:ascii="宋体" w:hAnsi="Times New Roman" w:eastAsia="宋体" w:cs="宋体"/>
                <w:b/>
                <w:bCs/>
                <w:color w:val="auto"/>
                <w:sz w:val="21"/>
                <w:szCs w:val="21"/>
              </w:rPr>
              <w:t>整改情况</w:t>
            </w:r>
          </w:p>
        </w:tc>
        <w:tc>
          <w:tcPr>
            <w:tcW w:w="905" w:type="dxa"/>
            <w:tcBorders>
              <w:tl2br w:val="nil"/>
              <w:tr2bl w:val="nil"/>
            </w:tcBorders>
            <w:shd w:val="clear" w:color="auto" w:fill="auto"/>
            <w:vAlign w:val="center"/>
          </w:tcPr>
          <w:p w14:paraId="66C21679">
            <w:pPr>
              <w:adjustRightInd w:val="0"/>
              <w:snapToGrid w:val="0"/>
              <w:spacing w:line="240" w:lineRule="auto"/>
              <w:ind w:firstLine="0" w:firstLineChars="0"/>
              <w:jc w:val="center"/>
              <w:rPr>
                <w:rFonts w:ascii="宋体" w:hAnsi="Times New Roman" w:eastAsia="宋体" w:cs="宋体"/>
                <w:b/>
                <w:bCs/>
                <w:color w:val="auto"/>
                <w:sz w:val="21"/>
                <w:szCs w:val="21"/>
              </w:rPr>
            </w:pPr>
            <w:r>
              <w:rPr>
                <w:rFonts w:hint="eastAsia" w:ascii="宋体" w:hAnsi="Times New Roman" w:eastAsia="宋体" w:cs="宋体"/>
                <w:b/>
                <w:bCs/>
                <w:color w:val="auto"/>
                <w:sz w:val="21"/>
                <w:szCs w:val="21"/>
              </w:rPr>
              <w:t>结论</w:t>
            </w:r>
          </w:p>
        </w:tc>
      </w:tr>
      <w:tr w14:paraId="4CAD5C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672" w:type="dxa"/>
            <w:tcBorders>
              <w:tl2br w:val="nil"/>
              <w:tr2bl w:val="nil"/>
            </w:tcBorders>
            <w:shd w:val="clear" w:color="auto" w:fill="auto"/>
            <w:vAlign w:val="center"/>
          </w:tcPr>
          <w:p w14:paraId="110AF12E">
            <w:pPr>
              <w:adjustRightInd w:val="0"/>
              <w:snapToGrid w:val="0"/>
              <w:spacing w:line="240" w:lineRule="auto"/>
              <w:ind w:firstLine="0" w:firstLineChars="0"/>
              <w:jc w:val="center"/>
              <w:rPr>
                <w:rFonts w:ascii="宋体" w:hAnsi="Times New Roman" w:eastAsia="宋体" w:cs="宋体"/>
                <w:color w:val="auto"/>
                <w:sz w:val="21"/>
                <w:szCs w:val="21"/>
              </w:rPr>
            </w:pPr>
            <w:r>
              <w:rPr>
                <w:rFonts w:hint="eastAsia" w:ascii="宋体" w:hAnsi="Times New Roman" w:eastAsia="宋体" w:cs="宋体"/>
                <w:color w:val="auto"/>
                <w:sz w:val="21"/>
                <w:szCs w:val="21"/>
              </w:rPr>
              <w:t>1</w:t>
            </w:r>
          </w:p>
        </w:tc>
        <w:tc>
          <w:tcPr>
            <w:tcW w:w="4710" w:type="dxa"/>
            <w:tcBorders>
              <w:tl2br w:val="nil"/>
              <w:tr2bl w:val="nil"/>
            </w:tcBorders>
            <w:shd w:val="clear" w:color="auto" w:fill="auto"/>
            <w:vAlign w:val="center"/>
          </w:tcPr>
          <w:p w14:paraId="33088129">
            <w:pPr>
              <w:adjustRightInd w:val="0"/>
              <w:snapToGrid w:val="0"/>
              <w:spacing w:line="240" w:lineRule="auto"/>
              <w:ind w:firstLine="0" w:firstLineChars="0"/>
              <w:jc w:val="left"/>
              <w:rPr>
                <w:rFonts w:ascii="宋体" w:hAnsi="宋体" w:eastAsia="宋体" w:cs="宋体"/>
                <w:color w:val="auto"/>
                <w:sz w:val="21"/>
                <w:szCs w:val="21"/>
              </w:rPr>
            </w:pPr>
            <w:r>
              <w:rPr>
                <w:rFonts w:hint="eastAsia" w:ascii="宋体" w:hAnsi="宋体" w:eastAsia="宋体" w:cs="宋体"/>
                <w:color w:val="auto"/>
                <w:sz w:val="21"/>
                <w:szCs w:val="21"/>
              </w:rPr>
              <w:t>硝钠厂区丁类车间化碱釜出口管道介质流向标识不全。</w:t>
            </w:r>
          </w:p>
        </w:tc>
        <w:tc>
          <w:tcPr>
            <w:tcW w:w="3124" w:type="dxa"/>
            <w:tcBorders>
              <w:tl2br w:val="nil"/>
              <w:tr2bl w:val="nil"/>
            </w:tcBorders>
            <w:shd w:val="clear" w:color="auto" w:fill="auto"/>
            <w:vAlign w:val="center"/>
          </w:tcPr>
          <w:p w14:paraId="3A4E333C">
            <w:pPr>
              <w:adjustRightInd w:val="0"/>
              <w:snapToGrid w:val="0"/>
              <w:spacing w:line="240" w:lineRule="auto"/>
              <w:ind w:firstLine="0" w:firstLineChars="0"/>
              <w:jc w:val="left"/>
              <w:rPr>
                <w:rFonts w:ascii="宋体" w:hAnsi="宋体" w:eastAsia="宋体" w:cs="宋体"/>
                <w:color w:val="auto"/>
                <w:sz w:val="21"/>
                <w:szCs w:val="21"/>
              </w:rPr>
            </w:pPr>
            <w:r>
              <w:rPr>
                <w:rFonts w:hint="eastAsia" w:ascii="宋体" w:hAnsi="宋体" w:eastAsia="宋体" w:cs="宋体"/>
                <w:color w:val="auto"/>
                <w:sz w:val="21"/>
                <w:szCs w:val="21"/>
                <w:lang w:val="en-US" w:eastAsia="zh-CN"/>
              </w:rPr>
              <w:t>已</w:t>
            </w:r>
            <w:r>
              <w:rPr>
                <w:rFonts w:hint="eastAsia" w:ascii="宋体" w:hAnsi="宋体" w:eastAsia="宋体" w:cs="宋体"/>
                <w:color w:val="auto"/>
                <w:sz w:val="21"/>
                <w:szCs w:val="21"/>
              </w:rPr>
              <w:t>增加介质标识。</w:t>
            </w:r>
          </w:p>
        </w:tc>
        <w:tc>
          <w:tcPr>
            <w:tcW w:w="905" w:type="dxa"/>
            <w:tcBorders>
              <w:tl2br w:val="nil"/>
              <w:tr2bl w:val="nil"/>
            </w:tcBorders>
            <w:shd w:val="clear" w:color="auto" w:fill="auto"/>
            <w:vAlign w:val="center"/>
          </w:tcPr>
          <w:p w14:paraId="065C4205">
            <w:pPr>
              <w:adjustRightInd w:val="0"/>
              <w:snapToGrid w:val="0"/>
              <w:spacing w:line="240" w:lineRule="auto"/>
              <w:ind w:firstLine="0" w:firstLineChars="0"/>
              <w:jc w:val="center"/>
              <w:rPr>
                <w:rFonts w:ascii="宋体" w:hAnsi="Times New Roman" w:eastAsia="宋体" w:cs="宋体"/>
                <w:b/>
                <w:bCs/>
                <w:color w:val="auto"/>
                <w:sz w:val="21"/>
                <w:szCs w:val="21"/>
              </w:rPr>
            </w:pPr>
            <w:r>
              <w:rPr>
                <w:rFonts w:hint="eastAsia" w:ascii="宋体" w:hAnsi="Times New Roman" w:eastAsia="宋体" w:cs="宋体"/>
                <w:color w:val="auto"/>
                <w:sz w:val="21"/>
                <w:szCs w:val="21"/>
              </w:rPr>
              <w:t>已整改</w:t>
            </w:r>
          </w:p>
        </w:tc>
      </w:tr>
      <w:tr w14:paraId="1B472F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672" w:type="dxa"/>
            <w:tcBorders>
              <w:tl2br w:val="nil"/>
              <w:tr2bl w:val="nil"/>
            </w:tcBorders>
            <w:shd w:val="clear" w:color="auto" w:fill="auto"/>
            <w:vAlign w:val="center"/>
          </w:tcPr>
          <w:p w14:paraId="60F9A7A2">
            <w:pPr>
              <w:adjustRightInd w:val="0"/>
              <w:snapToGrid w:val="0"/>
              <w:spacing w:line="240" w:lineRule="auto"/>
              <w:ind w:firstLine="0" w:firstLineChars="0"/>
              <w:jc w:val="center"/>
              <w:rPr>
                <w:rFonts w:ascii="宋体" w:hAnsi="Times New Roman" w:eastAsia="宋体" w:cs="宋体"/>
                <w:color w:val="auto"/>
                <w:sz w:val="21"/>
                <w:szCs w:val="21"/>
              </w:rPr>
            </w:pPr>
            <w:r>
              <w:rPr>
                <w:rFonts w:hint="eastAsia" w:ascii="宋体" w:hAnsi="Times New Roman" w:eastAsia="宋体" w:cs="宋体"/>
                <w:color w:val="auto"/>
                <w:sz w:val="21"/>
                <w:szCs w:val="21"/>
              </w:rPr>
              <w:t>2</w:t>
            </w:r>
          </w:p>
        </w:tc>
        <w:tc>
          <w:tcPr>
            <w:tcW w:w="4710" w:type="dxa"/>
            <w:tcBorders>
              <w:tl2br w:val="nil"/>
              <w:tr2bl w:val="nil"/>
            </w:tcBorders>
            <w:shd w:val="clear" w:color="auto" w:fill="auto"/>
            <w:vAlign w:val="center"/>
          </w:tcPr>
          <w:p w14:paraId="6AD5E389">
            <w:pPr>
              <w:adjustRightInd w:val="0"/>
              <w:snapToGrid w:val="0"/>
              <w:spacing w:line="240" w:lineRule="auto"/>
              <w:ind w:firstLine="0" w:firstLineChars="0"/>
              <w:jc w:val="left"/>
              <w:rPr>
                <w:rFonts w:ascii="宋体" w:hAnsi="宋体" w:eastAsia="宋体" w:cs="宋体"/>
                <w:color w:val="auto"/>
                <w:sz w:val="21"/>
                <w:szCs w:val="21"/>
              </w:rPr>
            </w:pPr>
            <w:r>
              <w:rPr>
                <w:rFonts w:hint="eastAsia" w:ascii="宋体" w:hAnsi="宋体" w:eastAsia="宋体" w:cs="宋体"/>
                <w:color w:val="auto"/>
                <w:sz w:val="21"/>
                <w:szCs w:val="21"/>
              </w:rPr>
              <w:t>破包机二层平台无“当心碰头”安全标识。</w:t>
            </w:r>
          </w:p>
        </w:tc>
        <w:tc>
          <w:tcPr>
            <w:tcW w:w="3124" w:type="dxa"/>
            <w:tcBorders>
              <w:tl2br w:val="nil"/>
              <w:tr2bl w:val="nil"/>
            </w:tcBorders>
            <w:shd w:val="clear" w:color="auto" w:fill="auto"/>
            <w:vAlign w:val="center"/>
          </w:tcPr>
          <w:p w14:paraId="30BFC24A">
            <w:pPr>
              <w:adjustRightInd w:val="0"/>
              <w:snapToGrid w:val="0"/>
              <w:spacing w:line="240" w:lineRule="auto"/>
              <w:ind w:firstLine="0" w:firstLineChars="0"/>
              <w:jc w:val="left"/>
              <w:rPr>
                <w:rFonts w:ascii="宋体" w:hAnsi="宋体" w:eastAsia="宋体" w:cs="宋体"/>
                <w:color w:val="auto"/>
                <w:sz w:val="21"/>
                <w:szCs w:val="21"/>
              </w:rPr>
            </w:pPr>
            <w:r>
              <w:rPr>
                <w:rFonts w:hint="eastAsia" w:ascii="宋体" w:hAnsi="宋体" w:eastAsia="宋体" w:cs="宋体"/>
                <w:color w:val="auto"/>
                <w:sz w:val="21"/>
                <w:szCs w:val="21"/>
                <w:lang w:val="en-US" w:eastAsia="zh-CN"/>
              </w:rPr>
              <w:t>已</w:t>
            </w:r>
            <w:r>
              <w:rPr>
                <w:rFonts w:hint="eastAsia" w:ascii="宋体" w:hAnsi="宋体" w:eastAsia="宋体" w:cs="宋体"/>
                <w:color w:val="auto"/>
                <w:sz w:val="21"/>
                <w:szCs w:val="21"/>
              </w:rPr>
              <w:t>增加安全标志。</w:t>
            </w:r>
          </w:p>
        </w:tc>
        <w:tc>
          <w:tcPr>
            <w:tcW w:w="905" w:type="dxa"/>
            <w:tcBorders>
              <w:tl2br w:val="nil"/>
              <w:tr2bl w:val="nil"/>
            </w:tcBorders>
            <w:shd w:val="clear" w:color="auto" w:fill="auto"/>
            <w:vAlign w:val="center"/>
          </w:tcPr>
          <w:p w14:paraId="4CAB0DD6">
            <w:pPr>
              <w:adjustRightInd w:val="0"/>
              <w:snapToGrid w:val="0"/>
              <w:spacing w:line="240" w:lineRule="auto"/>
              <w:ind w:firstLine="0" w:firstLineChars="0"/>
              <w:jc w:val="center"/>
              <w:rPr>
                <w:rFonts w:ascii="宋体" w:hAnsi="Times New Roman" w:eastAsia="宋体" w:cs="宋体"/>
                <w:b/>
                <w:bCs/>
                <w:color w:val="auto"/>
                <w:sz w:val="21"/>
                <w:szCs w:val="21"/>
              </w:rPr>
            </w:pPr>
            <w:r>
              <w:rPr>
                <w:rFonts w:hint="eastAsia" w:ascii="宋体" w:hAnsi="Times New Roman" w:eastAsia="宋体" w:cs="宋体"/>
                <w:color w:val="auto"/>
                <w:sz w:val="21"/>
                <w:szCs w:val="21"/>
              </w:rPr>
              <w:t>已整改</w:t>
            </w:r>
          </w:p>
        </w:tc>
      </w:tr>
      <w:tr w14:paraId="3D814E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672" w:type="dxa"/>
            <w:tcBorders>
              <w:tl2br w:val="nil"/>
              <w:tr2bl w:val="nil"/>
            </w:tcBorders>
            <w:shd w:val="clear" w:color="auto" w:fill="auto"/>
            <w:vAlign w:val="center"/>
          </w:tcPr>
          <w:p w14:paraId="09BC33D2">
            <w:pPr>
              <w:adjustRightInd w:val="0"/>
              <w:snapToGrid w:val="0"/>
              <w:spacing w:line="240" w:lineRule="auto"/>
              <w:ind w:firstLine="0" w:firstLineChars="0"/>
              <w:jc w:val="center"/>
              <w:rPr>
                <w:rFonts w:ascii="宋体" w:hAnsi="Times New Roman" w:eastAsia="宋体" w:cs="宋体"/>
                <w:color w:val="auto"/>
                <w:sz w:val="21"/>
                <w:szCs w:val="21"/>
              </w:rPr>
            </w:pPr>
            <w:r>
              <w:rPr>
                <w:rFonts w:hint="eastAsia" w:ascii="宋体" w:hAnsi="Times New Roman" w:eastAsia="宋体" w:cs="宋体"/>
                <w:color w:val="auto"/>
                <w:sz w:val="21"/>
                <w:szCs w:val="21"/>
              </w:rPr>
              <w:t>3</w:t>
            </w:r>
          </w:p>
        </w:tc>
        <w:tc>
          <w:tcPr>
            <w:tcW w:w="4710" w:type="dxa"/>
            <w:tcBorders>
              <w:tl2br w:val="nil"/>
              <w:tr2bl w:val="nil"/>
            </w:tcBorders>
            <w:shd w:val="clear" w:color="auto" w:fill="auto"/>
            <w:vAlign w:val="center"/>
          </w:tcPr>
          <w:p w14:paraId="4C2A3A77">
            <w:pPr>
              <w:adjustRightInd w:val="0"/>
              <w:snapToGrid w:val="0"/>
              <w:spacing w:line="240" w:lineRule="auto"/>
              <w:ind w:firstLine="0" w:firstLineChars="0"/>
              <w:jc w:val="left"/>
              <w:rPr>
                <w:rFonts w:ascii="宋体" w:hAnsi="宋体" w:eastAsia="宋体" w:cs="宋体"/>
                <w:color w:val="auto"/>
                <w:sz w:val="21"/>
                <w:szCs w:val="21"/>
              </w:rPr>
            </w:pPr>
            <w:r>
              <w:rPr>
                <w:rFonts w:hint="eastAsia" w:ascii="宋体" w:hAnsi="宋体" w:eastAsia="宋体" w:cs="宋体"/>
                <w:color w:val="auto"/>
                <w:sz w:val="21"/>
                <w:szCs w:val="21"/>
              </w:rPr>
              <w:t>合成釜顶部法兰无防喷溅措施</w:t>
            </w:r>
          </w:p>
        </w:tc>
        <w:tc>
          <w:tcPr>
            <w:tcW w:w="3124" w:type="dxa"/>
            <w:tcBorders>
              <w:tl2br w:val="nil"/>
              <w:tr2bl w:val="nil"/>
            </w:tcBorders>
            <w:shd w:val="clear" w:color="auto" w:fill="auto"/>
            <w:vAlign w:val="center"/>
          </w:tcPr>
          <w:p w14:paraId="1E5C6090">
            <w:pPr>
              <w:adjustRightInd w:val="0"/>
              <w:snapToGrid w:val="0"/>
              <w:spacing w:line="240" w:lineRule="auto"/>
              <w:ind w:firstLine="0" w:firstLineChars="0"/>
              <w:jc w:val="left"/>
              <w:rPr>
                <w:rFonts w:ascii="宋体" w:hAnsi="宋体" w:eastAsia="宋体" w:cs="宋体"/>
                <w:color w:val="auto"/>
                <w:sz w:val="21"/>
                <w:szCs w:val="21"/>
              </w:rPr>
            </w:pPr>
            <w:r>
              <w:rPr>
                <w:rFonts w:hint="eastAsia" w:ascii="宋体" w:hAnsi="宋体" w:eastAsia="宋体" w:cs="宋体"/>
                <w:color w:val="auto"/>
                <w:sz w:val="21"/>
                <w:szCs w:val="21"/>
                <w:lang w:val="en-US" w:eastAsia="zh-CN"/>
              </w:rPr>
              <w:t>已</w:t>
            </w:r>
            <w:r>
              <w:rPr>
                <w:rFonts w:hint="eastAsia" w:ascii="宋体" w:hAnsi="宋体" w:eastAsia="宋体" w:cs="宋体"/>
                <w:color w:val="auto"/>
                <w:sz w:val="21"/>
                <w:szCs w:val="21"/>
              </w:rPr>
              <w:t>增加防喷溅措施。</w:t>
            </w:r>
          </w:p>
        </w:tc>
        <w:tc>
          <w:tcPr>
            <w:tcW w:w="905" w:type="dxa"/>
            <w:tcBorders>
              <w:tl2br w:val="nil"/>
              <w:tr2bl w:val="nil"/>
            </w:tcBorders>
            <w:shd w:val="clear" w:color="auto" w:fill="auto"/>
            <w:vAlign w:val="center"/>
          </w:tcPr>
          <w:p w14:paraId="2F66F8E7">
            <w:pPr>
              <w:adjustRightInd w:val="0"/>
              <w:snapToGrid w:val="0"/>
              <w:spacing w:line="240" w:lineRule="auto"/>
              <w:ind w:firstLine="0" w:firstLineChars="0"/>
              <w:jc w:val="center"/>
              <w:rPr>
                <w:rFonts w:ascii="宋体" w:hAnsi="Times New Roman" w:eastAsia="宋体" w:cs="宋体"/>
                <w:color w:val="auto"/>
                <w:sz w:val="21"/>
                <w:szCs w:val="21"/>
              </w:rPr>
            </w:pPr>
            <w:r>
              <w:rPr>
                <w:rFonts w:hint="eastAsia" w:ascii="宋体" w:hAnsi="Times New Roman" w:eastAsia="宋体" w:cs="宋体"/>
                <w:color w:val="auto"/>
                <w:sz w:val="21"/>
                <w:szCs w:val="21"/>
              </w:rPr>
              <w:t>已整改</w:t>
            </w:r>
          </w:p>
        </w:tc>
      </w:tr>
      <w:tr w14:paraId="62EBFC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672" w:type="dxa"/>
            <w:tcBorders>
              <w:tl2br w:val="nil"/>
              <w:tr2bl w:val="nil"/>
            </w:tcBorders>
            <w:shd w:val="clear" w:color="auto" w:fill="auto"/>
            <w:vAlign w:val="center"/>
          </w:tcPr>
          <w:p w14:paraId="49F514D0">
            <w:pPr>
              <w:adjustRightInd w:val="0"/>
              <w:snapToGrid w:val="0"/>
              <w:spacing w:line="240" w:lineRule="auto"/>
              <w:ind w:firstLine="0" w:firstLineChars="0"/>
              <w:jc w:val="center"/>
              <w:rPr>
                <w:rFonts w:ascii="宋体" w:hAnsi="Times New Roman" w:eastAsia="宋体" w:cs="宋体"/>
                <w:color w:val="auto"/>
                <w:sz w:val="21"/>
                <w:szCs w:val="21"/>
              </w:rPr>
            </w:pPr>
            <w:r>
              <w:rPr>
                <w:rFonts w:hint="eastAsia" w:ascii="宋体" w:hAnsi="Times New Roman" w:eastAsia="宋体" w:cs="宋体"/>
                <w:color w:val="auto"/>
                <w:sz w:val="21"/>
                <w:szCs w:val="21"/>
              </w:rPr>
              <w:t>4</w:t>
            </w:r>
          </w:p>
        </w:tc>
        <w:tc>
          <w:tcPr>
            <w:tcW w:w="4710" w:type="dxa"/>
            <w:tcBorders>
              <w:tl2br w:val="nil"/>
              <w:tr2bl w:val="nil"/>
            </w:tcBorders>
            <w:shd w:val="clear" w:color="auto" w:fill="auto"/>
            <w:vAlign w:val="center"/>
          </w:tcPr>
          <w:p w14:paraId="12EB6CEA">
            <w:pPr>
              <w:adjustRightInd w:val="0"/>
              <w:snapToGrid w:val="0"/>
              <w:spacing w:line="240" w:lineRule="auto"/>
              <w:ind w:firstLine="0" w:firstLineChars="0"/>
              <w:jc w:val="left"/>
              <w:rPr>
                <w:rFonts w:ascii="宋体" w:hAnsi="宋体" w:eastAsia="宋体" w:cs="宋体"/>
                <w:color w:val="auto"/>
                <w:sz w:val="21"/>
                <w:szCs w:val="21"/>
              </w:rPr>
            </w:pPr>
            <w:r>
              <w:rPr>
                <w:rFonts w:hint="eastAsia" w:ascii="宋体" w:hAnsi="宋体" w:eastAsia="宋体" w:cs="宋体"/>
                <w:color w:val="auto"/>
                <w:sz w:val="21"/>
                <w:szCs w:val="21"/>
              </w:rPr>
              <w:t>硝钠生产车间合成釜区域未进行防腐</w:t>
            </w:r>
          </w:p>
        </w:tc>
        <w:tc>
          <w:tcPr>
            <w:tcW w:w="3124" w:type="dxa"/>
            <w:tcBorders>
              <w:tl2br w:val="nil"/>
              <w:tr2bl w:val="nil"/>
            </w:tcBorders>
            <w:shd w:val="clear" w:color="auto" w:fill="auto"/>
            <w:vAlign w:val="center"/>
          </w:tcPr>
          <w:p w14:paraId="3BC90D8C">
            <w:pPr>
              <w:adjustRightInd w:val="0"/>
              <w:snapToGrid w:val="0"/>
              <w:spacing w:line="240" w:lineRule="auto"/>
              <w:ind w:firstLine="0" w:firstLineChars="0"/>
              <w:jc w:val="left"/>
              <w:rPr>
                <w:rFonts w:ascii="宋体" w:hAnsi="宋体" w:eastAsia="宋体" w:cs="宋体"/>
                <w:color w:val="auto"/>
                <w:sz w:val="21"/>
                <w:szCs w:val="21"/>
              </w:rPr>
            </w:pPr>
            <w:r>
              <w:rPr>
                <w:rFonts w:hint="eastAsia" w:ascii="宋体" w:hAnsi="宋体" w:eastAsia="宋体" w:cs="宋体"/>
                <w:color w:val="auto"/>
                <w:sz w:val="21"/>
                <w:szCs w:val="21"/>
                <w:lang w:val="en-US" w:eastAsia="zh-CN"/>
              </w:rPr>
              <w:t>已</w:t>
            </w:r>
            <w:r>
              <w:rPr>
                <w:rFonts w:hint="eastAsia" w:ascii="宋体" w:hAnsi="宋体" w:eastAsia="宋体" w:cs="宋体"/>
                <w:color w:val="auto"/>
                <w:sz w:val="21"/>
                <w:szCs w:val="21"/>
              </w:rPr>
              <w:t>采取防腐措施。</w:t>
            </w:r>
          </w:p>
        </w:tc>
        <w:tc>
          <w:tcPr>
            <w:tcW w:w="905" w:type="dxa"/>
            <w:tcBorders>
              <w:tl2br w:val="nil"/>
              <w:tr2bl w:val="nil"/>
            </w:tcBorders>
            <w:shd w:val="clear" w:color="auto" w:fill="auto"/>
            <w:vAlign w:val="center"/>
          </w:tcPr>
          <w:p w14:paraId="0D4311C1">
            <w:pPr>
              <w:adjustRightInd w:val="0"/>
              <w:snapToGrid w:val="0"/>
              <w:spacing w:line="240" w:lineRule="auto"/>
              <w:ind w:firstLine="0" w:firstLineChars="0"/>
              <w:jc w:val="center"/>
              <w:rPr>
                <w:rFonts w:ascii="宋体" w:hAnsi="Times New Roman" w:eastAsia="宋体" w:cs="宋体"/>
                <w:color w:val="auto"/>
                <w:sz w:val="21"/>
                <w:szCs w:val="21"/>
              </w:rPr>
            </w:pPr>
            <w:r>
              <w:rPr>
                <w:rFonts w:hint="eastAsia" w:ascii="宋体" w:hAnsi="Times New Roman" w:eastAsia="宋体" w:cs="宋体"/>
                <w:color w:val="auto"/>
                <w:sz w:val="21"/>
                <w:szCs w:val="21"/>
              </w:rPr>
              <w:t>已整改</w:t>
            </w:r>
          </w:p>
        </w:tc>
      </w:tr>
      <w:tr w14:paraId="14F1C8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672" w:type="dxa"/>
            <w:tcBorders>
              <w:tl2br w:val="nil"/>
              <w:tr2bl w:val="nil"/>
            </w:tcBorders>
            <w:shd w:val="clear" w:color="auto" w:fill="auto"/>
            <w:vAlign w:val="center"/>
          </w:tcPr>
          <w:p w14:paraId="36E5910E">
            <w:pPr>
              <w:adjustRightInd w:val="0"/>
              <w:snapToGrid w:val="0"/>
              <w:spacing w:line="240" w:lineRule="auto"/>
              <w:ind w:firstLine="0" w:firstLineChars="0"/>
              <w:jc w:val="center"/>
              <w:rPr>
                <w:rFonts w:ascii="宋体" w:hAnsi="Times New Roman" w:eastAsia="宋体" w:cs="宋体"/>
                <w:color w:val="auto"/>
                <w:sz w:val="21"/>
                <w:szCs w:val="21"/>
              </w:rPr>
            </w:pPr>
            <w:r>
              <w:rPr>
                <w:rFonts w:hint="eastAsia" w:ascii="宋体" w:hAnsi="Times New Roman" w:eastAsia="宋体" w:cs="宋体"/>
                <w:color w:val="auto"/>
                <w:sz w:val="21"/>
                <w:szCs w:val="21"/>
              </w:rPr>
              <w:t>5</w:t>
            </w:r>
          </w:p>
        </w:tc>
        <w:tc>
          <w:tcPr>
            <w:tcW w:w="4710" w:type="dxa"/>
            <w:tcBorders>
              <w:tl2br w:val="nil"/>
              <w:tr2bl w:val="nil"/>
            </w:tcBorders>
            <w:shd w:val="clear" w:color="auto" w:fill="auto"/>
            <w:vAlign w:val="center"/>
          </w:tcPr>
          <w:p w14:paraId="6DD3FDD8">
            <w:pPr>
              <w:adjustRightInd w:val="0"/>
              <w:snapToGrid w:val="0"/>
              <w:spacing w:line="240" w:lineRule="auto"/>
              <w:ind w:firstLine="0" w:firstLineChars="0"/>
              <w:jc w:val="left"/>
              <w:rPr>
                <w:rFonts w:ascii="宋体" w:hAnsi="宋体" w:eastAsia="宋体" w:cs="宋体"/>
                <w:color w:val="auto"/>
                <w:sz w:val="21"/>
                <w:szCs w:val="21"/>
              </w:rPr>
            </w:pPr>
            <w:r>
              <w:rPr>
                <w:rFonts w:hint="eastAsia" w:ascii="宋体" w:hAnsi="宋体" w:eastAsia="宋体" w:cs="宋体"/>
                <w:color w:val="auto"/>
                <w:sz w:val="21"/>
                <w:szCs w:val="21"/>
              </w:rPr>
              <w:t>化碱釜顶部预留口未用盲板封堵</w:t>
            </w:r>
          </w:p>
        </w:tc>
        <w:tc>
          <w:tcPr>
            <w:tcW w:w="3124" w:type="dxa"/>
            <w:tcBorders>
              <w:tl2br w:val="nil"/>
              <w:tr2bl w:val="nil"/>
            </w:tcBorders>
            <w:shd w:val="clear" w:color="auto" w:fill="auto"/>
            <w:vAlign w:val="center"/>
          </w:tcPr>
          <w:p w14:paraId="0D294BBA">
            <w:pPr>
              <w:adjustRightInd w:val="0"/>
              <w:snapToGrid w:val="0"/>
              <w:spacing w:line="240" w:lineRule="auto"/>
              <w:ind w:firstLine="0" w:firstLineChars="0"/>
              <w:jc w:val="left"/>
              <w:rPr>
                <w:rFonts w:ascii="宋体" w:hAnsi="宋体" w:eastAsia="宋体" w:cs="宋体"/>
                <w:color w:val="auto"/>
                <w:sz w:val="21"/>
                <w:szCs w:val="21"/>
              </w:rPr>
            </w:pPr>
            <w:r>
              <w:rPr>
                <w:rFonts w:hint="eastAsia" w:ascii="宋体" w:hAnsi="宋体" w:eastAsia="宋体" w:cs="宋体"/>
                <w:color w:val="auto"/>
                <w:sz w:val="21"/>
                <w:szCs w:val="21"/>
                <w:lang w:val="en-US" w:eastAsia="zh-CN"/>
              </w:rPr>
              <w:t>已</w:t>
            </w:r>
            <w:r>
              <w:rPr>
                <w:rFonts w:hint="eastAsia" w:ascii="宋体" w:hAnsi="宋体" w:eastAsia="宋体" w:cs="宋体"/>
                <w:color w:val="auto"/>
                <w:sz w:val="21"/>
                <w:szCs w:val="21"/>
              </w:rPr>
              <w:t>设置盲板封堵。</w:t>
            </w:r>
          </w:p>
        </w:tc>
        <w:tc>
          <w:tcPr>
            <w:tcW w:w="905" w:type="dxa"/>
            <w:tcBorders>
              <w:tl2br w:val="nil"/>
              <w:tr2bl w:val="nil"/>
            </w:tcBorders>
            <w:shd w:val="clear" w:color="auto" w:fill="auto"/>
            <w:vAlign w:val="center"/>
          </w:tcPr>
          <w:p w14:paraId="5175D568">
            <w:pPr>
              <w:adjustRightInd w:val="0"/>
              <w:snapToGrid w:val="0"/>
              <w:spacing w:line="240" w:lineRule="auto"/>
              <w:ind w:firstLine="0" w:firstLineChars="0"/>
              <w:jc w:val="center"/>
              <w:rPr>
                <w:rFonts w:ascii="宋体" w:hAnsi="Times New Roman" w:eastAsia="宋体" w:cs="宋体"/>
                <w:color w:val="auto"/>
                <w:sz w:val="21"/>
                <w:szCs w:val="21"/>
              </w:rPr>
            </w:pPr>
            <w:r>
              <w:rPr>
                <w:rFonts w:hint="eastAsia" w:ascii="宋体" w:hAnsi="Times New Roman" w:eastAsia="宋体" w:cs="宋体"/>
                <w:color w:val="auto"/>
                <w:sz w:val="21"/>
                <w:szCs w:val="21"/>
              </w:rPr>
              <w:t>已整改</w:t>
            </w:r>
          </w:p>
        </w:tc>
      </w:tr>
    </w:tbl>
    <w:p w14:paraId="49B347CE">
      <w:pPr>
        <w:rPr>
          <w:color w:val="auto"/>
          <w:kern w:val="0"/>
          <w:sz w:val="28"/>
          <w:szCs w:val="20"/>
          <w:highlight w:val="none"/>
        </w:rPr>
      </w:pPr>
    </w:p>
    <w:p w14:paraId="5AD95A89">
      <w:pPr>
        <w:rPr>
          <w:color w:val="auto"/>
          <w:kern w:val="0"/>
          <w:sz w:val="28"/>
          <w:szCs w:val="20"/>
          <w:highlight w:val="none"/>
        </w:rPr>
      </w:pPr>
      <w:r>
        <w:rPr>
          <w:color w:val="auto"/>
          <w:kern w:val="0"/>
          <w:sz w:val="28"/>
          <w:szCs w:val="20"/>
          <w:highlight w:val="none"/>
        </w:rPr>
        <w:br w:type="page"/>
      </w:r>
    </w:p>
    <w:p w14:paraId="12F47A4F">
      <w:pPr>
        <w:keepNext/>
        <w:widowControl w:val="0"/>
        <w:spacing w:before="120" w:beforeLines="50" w:after="120" w:afterLines="50" w:line="360" w:lineRule="auto"/>
        <w:jc w:val="center"/>
        <w:outlineLvl w:val="1"/>
        <w:rPr>
          <w:rFonts w:ascii="Times New Roman" w:hAnsi="Times New Roman" w:eastAsia="楷体_GB2312" w:cs="Times New Roman"/>
          <w:b/>
          <w:color w:val="auto"/>
          <w:kern w:val="2"/>
          <w:sz w:val="32"/>
          <w:szCs w:val="32"/>
          <w:lang w:val="en-US" w:eastAsia="zh-CN" w:bidi="ar-SA"/>
        </w:rPr>
      </w:pPr>
      <w:bookmarkStart w:id="24" w:name="_Toc31373"/>
      <w:r>
        <w:rPr>
          <w:rFonts w:hint="eastAsia" w:ascii="Times New Roman" w:hAnsi="Times New Roman" w:eastAsia="楷体_GB2312" w:cs="Times New Roman"/>
          <w:b/>
          <w:color w:val="auto"/>
          <w:kern w:val="2"/>
          <w:sz w:val="32"/>
          <w:szCs w:val="32"/>
          <w:lang w:val="en-US" w:eastAsia="zh-CN" w:bidi="ar-SA"/>
        </w:rPr>
        <w:t>第二节 评价结论</w:t>
      </w:r>
      <w:bookmarkEnd w:id="24"/>
    </w:p>
    <w:p w14:paraId="4804EF35">
      <w:pPr>
        <w:adjustRightInd w:val="0"/>
        <w:snapToGrid w:val="0"/>
        <w:spacing w:line="360" w:lineRule="auto"/>
        <w:ind w:firstLine="560" w:firstLineChars="200"/>
        <w:jc w:val="left"/>
        <w:rPr>
          <w:rFonts w:ascii="黑体" w:hAnsi="黑体" w:eastAsia="黑体" w:cs="黑体"/>
          <w:color w:val="auto"/>
          <w:sz w:val="28"/>
          <w:szCs w:val="21"/>
        </w:rPr>
      </w:pPr>
      <w:r>
        <w:rPr>
          <w:rFonts w:hint="eastAsia" w:ascii="黑体" w:hAnsi="黑体" w:eastAsia="黑体" w:cs="黑体"/>
          <w:color w:val="auto"/>
          <w:sz w:val="28"/>
          <w:szCs w:val="21"/>
        </w:rPr>
        <w:t>1、该项目所在地的安全条件和与周边的安全防护距离</w:t>
      </w:r>
    </w:p>
    <w:p w14:paraId="00599B2D">
      <w:pPr>
        <w:adjustRightInd w:val="0"/>
        <w:snapToGrid w:val="0"/>
        <w:spacing w:line="360" w:lineRule="auto"/>
        <w:ind w:firstLine="560" w:firstLineChars="200"/>
        <w:rPr>
          <w:rFonts w:ascii="宋体" w:hAnsi="宋体" w:eastAsia="宋体" w:cs="Times New Roman"/>
          <w:color w:val="auto"/>
          <w:sz w:val="28"/>
          <w:szCs w:val="21"/>
        </w:rPr>
      </w:pPr>
      <w:r>
        <w:rPr>
          <w:rFonts w:hint="eastAsia" w:ascii="宋体" w:hAnsi="宋体" w:eastAsia="宋体" w:cs="Times New Roman"/>
          <w:color w:val="auto"/>
          <w:sz w:val="28"/>
          <w:szCs w:val="21"/>
        </w:rPr>
        <w:t>该项目建设地点位于泰安市宁阳县宁阳化工产业园山东华阳迪尔化工股份有限公司东厂区内，满足当地工业布局和城市规划要求。该项目与周边的居民区、单位、道路等的间距符合《精细化工企业工程设计防火标准》GB51283-2020、《建筑设计防火规范》GB50016-2014（2018年版）、《公路安全保护条例》等国家和行业标准规范的要求。</w:t>
      </w:r>
    </w:p>
    <w:p w14:paraId="08A2B570">
      <w:pPr>
        <w:adjustRightInd w:val="0"/>
        <w:snapToGrid w:val="0"/>
        <w:spacing w:line="360" w:lineRule="auto"/>
        <w:ind w:firstLine="560" w:firstLineChars="200"/>
        <w:rPr>
          <w:rFonts w:ascii="宋体" w:hAnsi="宋体" w:eastAsia="宋体" w:cs="Times New Roman"/>
          <w:color w:val="auto"/>
          <w:sz w:val="28"/>
          <w:szCs w:val="21"/>
        </w:rPr>
      </w:pPr>
      <w:r>
        <w:rPr>
          <w:rFonts w:hint="eastAsia" w:ascii="宋体" w:hAnsi="宋体" w:eastAsia="宋体" w:cs="Times New Roman"/>
          <w:color w:val="auto"/>
          <w:sz w:val="28"/>
          <w:szCs w:val="21"/>
        </w:rPr>
        <w:t>该项目内存在的危险、有害因素和可能发生的各类事故，对周边单位生产、经营活动或者居民生活的影响，项目周边单位生产、经营活动或者居民生活对项目的影响，当地自然条件对项目的影响均可接受。</w:t>
      </w:r>
    </w:p>
    <w:p w14:paraId="651743FB">
      <w:pPr>
        <w:adjustRightInd w:val="0"/>
        <w:snapToGrid w:val="0"/>
        <w:spacing w:line="360" w:lineRule="auto"/>
        <w:ind w:firstLine="560" w:firstLineChars="200"/>
        <w:jc w:val="left"/>
        <w:rPr>
          <w:rFonts w:ascii="黑体" w:hAnsi="黑体" w:eastAsia="黑体" w:cs="黑体"/>
          <w:color w:val="auto"/>
          <w:sz w:val="28"/>
          <w:szCs w:val="21"/>
        </w:rPr>
      </w:pPr>
      <w:r>
        <w:rPr>
          <w:rFonts w:hint="eastAsia" w:ascii="黑体" w:hAnsi="黑体" w:eastAsia="黑体" w:cs="黑体"/>
          <w:color w:val="auto"/>
          <w:sz w:val="28"/>
          <w:szCs w:val="21"/>
        </w:rPr>
        <w:t>2、该项目安全设施设计的采纳情况和已采用（取）的安全设施水平</w:t>
      </w:r>
    </w:p>
    <w:p w14:paraId="4897E88A">
      <w:pPr>
        <w:adjustRightInd w:val="0"/>
        <w:snapToGrid w:val="0"/>
        <w:spacing w:line="360" w:lineRule="auto"/>
        <w:ind w:firstLine="560" w:firstLineChars="200"/>
        <w:rPr>
          <w:rFonts w:ascii="宋体" w:hAnsi="宋体" w:eastAsia="宋体" w:cs="Times New Roman"/>
          <w:color w:val="auto"/>
          <w:sz w:val="28"/>
          <w:szCs w:val="21"/>
        </w:rPr>
      </w:pPr>
      <w:r>
        <w:rPr>
          <w:rFonts w:hint="eastAsia" w:ascii="宋体" w:hAnsi="宋体" w:eastAsia="宋体" w:cs="Times New Roman"/>
          <w:color w:val="auto"/>
          <w:sz w:val="28"/>
          <w:szCs w:val="21"/>
        </w:rPr>
        <w:t>该项目安全设计专篇所设计的安全设施，在项目建设施工过程中已基本予以采纳，未采取的已进行整改；已采取的安全设施符合国家现行法律、法规、标准、规范的要求。</w:t>
      </w:r>
    </w:p>
    <w:p w14:paraId="06C0C410">
      <w:pPr>
        <w:adjustRightInd w:val="0"/>
        <w:snapToGrid w:val="0"/>
        <w:spacing w:line="360" w:lineRule="auto"/>
        <w:ind w:firstLine="560" w:firstLineChars="200"/>
        <w:jc w:val="left"/>
        <w:rPr>
          <w:rFonts w:ascii="黑体" w:hAnsi="黑体" w:eastAsia="黑体" w:cs="黑体"/>
          <w:color w:val="auto"/>
          <w:sz w:val="28"/>
          <w:szCs w:val="21"/>
        </w:rPr>
      </w:pPr>
      <w:r>
        <w:rPr>
          <w:rFonts w:hint="eastAsia" w:ascii="黑体" w:hAnsi="黑体" w:eastAsia="黑体" w:cs="黑体"/>
          <w:color w:val="auto"/>
          <w:sz w:val="28"/>
          <w:szCs w:val="21"/>
        </w:rPr>
        <w:t>3、该项目试生产（使用）中表现出来的技术、工艺和装置、设备（设施）的安全、可靠性和安全水平</w:t>
      </w:r>
    </w:p>
    <w:p w14:paraId="2C2E49B1">
      <w:pPr>
        <w:adjustRightInd w:val="0"/>
        <w:snapToGrid w:val="0"/>
        <w:spacing w:line="360" w:lineRule="auto"/>
        <w:ind w:firstLine="560" w:firstLineChars="200"/>
        <w:jc w:val="left"/>
        <w:rPr>
          <w:rFonts w:ascii="宋体" w:hAnsi="宋体" w:eastAsia="宋体" w:cs="Times New Roman"/>
          <w:color w:val="auto"/>
          <w:sz w:val="28"/>
          <w:szCs w:val="21"/>
        </w:rPr>
      </w:pPr>
      <w:r>
        <w:rPr>
          <w:rFonts w:hint="eastAsia" w:ascii="宋体" w:hAnsi="宋体" w:eastAsia="宋体" w:cs="Times New Roman"/>
          <w:color w:val="auto"/>
          <w:sz w:val="28"/>
          <w:szCs w:val="21"/>
        </w:rPr>
        <w:t>该项目生产装置采用的工艺成熟，设备（设施）的设计、制造、检验是按现行有关标准、规范。工序选取的工艺参数配置合理，在运行中按设计要求配置的安全保护装置动作灵敏，运转正常，有效地保证了正常运行，自试运行以来未发生生产安全事故。</w:t>
      </w:r>
    </w:p>
    <w:p w14:paraId="06CDE7C4">
      <w:pPr>
        <w:adjustRightInd w:val="0"/>
        <w:snapToGrid w:val="0"/>
        <w:spacing w:line="360" w:lineRule="auto"/>
        <w:ind w:firstLine="560" w:firstLineChars="200"/>
        <w:jc w:val="left"/>
        <w:rPr>
          <w:rFonts w:ascii="宋体" w:hAnsi="宋体" w:eastAsia="宋体" w:cs="Times New Roman"/>
          <w:color w:val="auto"/>
          <w:sz w:val="28"/>
          <w:szCs w:val="21"/>
        </w:rPr>
      </w:pPr>
      <w:r>
        <w:rPr>
          <w:rFonts w:hint="eastAsia" w:ascii="宋体" w:hAnsi="宋体" w:eastAsia="宋体" w:cs="Times New Roman"/>
          <w:color w:val="auto"/>
          <w:sz w:val="28"/>
          <w:szCs w:val="21"/>
        </w:rPr>
        <w:t>因此，该项目的技术、工艺和装置、设备（设施）安全、可靠，满足项目安全运行的要求。</w:t>
      </w:r>
    </w:p>
    <w:p w14:paraId="2441033A">
      <w:pPr>
        <w:adjustRightInd w:val="0"/>
        <w:snapToGrid w:val="0"/>
        <w:spacing w:line="360" w:lineRule="auto"/>
        <w:ind w:firstLine="560" w:firstLineChars="200"/>
        <w:jc w:val="left"/>
        <w:rPr>
          <w:rFonts w:ascii="黑体" w:hAnsi="黑体" w:eastAsia="黑体" w:cs="黑体"/>
          <w:color w:val="auto"/>
          <w:sz w:val="28"/>
          <w:szCs w:val="21"/>
        </w:rPr>
      </w:pPr>
      <w:r>
        <w:rPr>
          <w:rFonts w:hint="eastAsia" w:ascii="黑体" w:hAnsi="黑体" w:eastAsia="黑体" w:cs="黑体"/>
          <w:color w:val="auto"/>
          <w:sz w:val="28"/>
          <w:szCs w:val="21"/>
        </w:rPr>
        <w:t>4、该项目试生产（使用）中发现的设计缺陷和事故隐患的整改情况</w:t>
      </w:r>
    </w:p>
    <w:p w14:paraId="6D25844F">
      <w:pPr>
        <w:adjustRightInd w:val="0"/>
        <w:snapToGrid w:val="0"/>
        <w:spacing w:line="360" w:lineRule="auto"/>
        <w:ind w:firstLine="560" w:firstLineChars="200"/>
        <w:jc w:val="left"/>
        <w:rPr>
          <w:rFonts w:ascii="宋体" w:hAnsi="宋体" w:eastAsia="宋体" w:cs="Times New Roman"/>
          <w:color w:val="auto"/>
          <w:sz w:val="28"/>
          <w:szCs w:val="21"/>
        </w:rPr>
      </w:pPr>
      <w:r>
        <w:rPr>
          <w:rFonts w:hint="eastAsia" w:ascii="宋体" w:hAnsi="宋体" w:eastAsia="宋体" w:cs="Times New Roman"/>
          <w:color w:val="auto"/>
          <w:sz w:val="28"/>
          <w:szCs w:val="21"/>
        </w:rPr>
        <w:t>该项目试生产过程未发现明显设计缺陷，评价组提出的事故隐患和企业试生产过程中发现的问题，企业均采取了积极整改，消除了隐患。</w:t>
      </w:r>
    </w:p>
    <w:p w14:paraId="5351CC66">
      <w:pPr>
        <w:adjustRightInd w:val="0"/>
        <w:snapToGrid w:val="0"/>
        <w:spacing w:line="360" w:lineRule="auto"/>
        <w:ind w:firstLine="560" w:firstLineChars="200"/>
        <w:jc w:val="left"/>
        <w:rPr>
          <w:rFonts w:ascii="黑体" w:hAnsi="黑体" w:eastAsia="黑体" w:cs="黑体"/>
          <w:color w:val="auto"/>
          <w:sz w:val="28"/>
          <w:szCs w:val="21"/>
        </w:rPr>
      </w:pPr>
      <w:r>
        <w:rPr>
          <w:rFonts w:hint="eastAsia" w:ascii="黑体" w:hAnsi="黑体" w:eastAsia="黑体" w:cs="黑体"/>
          <w:color w:val="auto"/>
          <w:sz w:val="28"/>
          <w:szCs w:val="21"/>
        </w:rPr>
        <w:t>5、该项目试生产（使用）后具备国家现行有关安全生产法律、法规和部门规章及标准规定和要求的安全生产条件</w:t>
      </w:r>
    </w:p>
    <w:p w14:paraId="041B4F15">
      <w:pPr>
        <w:adjustRightInd w:val="0"/>
        <w:snapToGrid w:val="0"/>
        <w:spacing w:line="360" w:lineRule="auto"/>
        <w:ind w:firstLine="560" w:firstLineChars="200"/>
        <w:jc w:val="left"/>
        <w:rPr>
          <w:rFonts w:ascii="宋体" w:hAnsi="宋体" w:eastAsia="宋体" w:cs="Times New Roman"/>
          <w:color w:val="auto"/>
          <w:sz w:val="28"/>
          <w:szCs w:val="21"/>
        </w:rPr>
      </w:pPr>
      <w:r>
        <w:rPr>
          <w:rFonts w:hint="eastAsia" w:ascii="宋体" w:hAnsi="宋体" w:eastAsia="宋体" w:cs="Times New Roman"/>
          <w:color w:val="auto"/>
          <w:sz w:val="28"/>
          <w:szCs w:val="21"/>
        </w:rPr>
        <w:t>根据该项目安全设施采用情况、试运行情况、隐患整改情况及国家现行的有关安全生产法律、法规和部门规章及标准规定，评价组认为：</w:t>
      </w:r>
    </w:p>
    <w:p w14:paraId="3066C16C">
      <w:pPr>
        <w:adjustRightInd w:val="0"/>
        <w:snapToGrid w:val="0"/>
        <w:spacing w:line="360" w:lineRule="auto"/>
        <w:ind w:firstLine="562" w:firstLineChars="200"/>
        <w:jc w:val="left"/>
        <w:rPr>
          <w:rFonts w:ascii="宋体" w:hAnsi="宋体" w:eastAsia="宋体" w:cs="Times New Roman"/>
          <w:color w:val="auto"/>
          <w:sz w:val="28"/>
          <w:szCs w:val="21"/>
          <w:lang w:val="zh-CN"/>
        </w:rPr>
      </w:pPr>
      <w:r>
        <w:rPr>
          <w:rFonts w:hint="eastAsia" w:ascii="宋体" w:hAnsi="宋体" w:eastAsia="宋体" w:cs="Times New Roman"/>
          <w:b/>
          <w:bCs/>
          <w:color w:val="auto"/>
          <w:sz w:val="28"/>
          <w:szCs w:val="21"/>
        </w:rPr>
        <w:t>山东华阳迪尔化工股份有限公司年产20万吨熔盐储能（一期）技改项目在设计、施工和试运行过程中，遵守了国家对该项目实施“三同时”的要求，即安全设施与主体工程同时设计、同时施工、同时投入生产和使用；其现有的与之配套的安全设施符合国家有关安全生产的法律法规和技术标准的要求；该公司对本报告中提出的各项隐患进行了整改；该项目试运行状况和安全管理正常、安全、可靠，安全状况符合安全生产的要求，具备安全生产和安全设施竣工验收的条件</w:t>
      </w:r>
      <w:r>
        <w:rPr>
          <w:rFonts w:hint="eastAsia" w:ascii="宋体" w:hAnsi="宋体" w:eastAsia="宋体" w:cs="Times New Roman"/>
          <w:b/>
          <w:bCs/>
          <w:color w:val="auto"/>
          <w:sz w:val="28"/>
          <w:szCs w:val="21"/>
        </w:rPr>
        <w:t>。</w:t>
      </w:r>
    </w:p>
    <w:p w14:paraId="0CF66D15">
      <w:pPr>
        <w:tabs>
          <w:tab w:val="left" w:pos="698"/>
        </w:tabs>
        <w:ind w:firstLine="560" w:firstLineChars="200"/>
        <w:jc w:val="left"/>
        <w:rPr>
          <w:color w:val="auto"/>
          <w:kern w:val="0"/>
          <w:sz w:val="28"/>
          <w:szCs w:val="20"/>
          <w:highlight w:val="none"/>
        </w:rPr>
        <w:sectPr>
          <w:pgSz w:w="11906" w:h="16838"/>
          <w:pgMar w:top="1418" w:right="1134" w:bottom="993" w:left="1588" w:header="850" w:footer="256" w:gutter="0"/>
          <w:pgNumType w:fmt="decimal"/>
          <w:cols w:space="720" w:num="1"/>
          <w:docGrid w:type="lines" w:linePitch="312" w:charSpace="0"/>
        </w:sectPr>
      </w:pPr>
    </w:p>
    <w:p w14:paraId="42392D7B">
      <w:pPr>
        <w:rPr>
          <w:rFonts w:hint="default" w:ascii="宋体"/>
          <w:color w:val="auto"/>
          <w:kern w:val="0"/>
          <w:sz w:val="28"/>
          <w:szCs w:val="20"/>
          <w:lang w:val="en-US" w:eastAsia="zh-CN"/>
        </w:rPr>
      </w:pPr>
      <w:r>
        <w:rPr>
          <w:rFonts w:hint="default" w:ascii="宋体"/>
          <w:color w:val="auto"/>
          <w:kern w:val="0"/>
          <w:sz w:val="28"/>
          <w:szCs w:val="20"/>
          <w:lang w:val="en-US" w:eastAsia="zh-CN"/>
        </w:rPr>
        <w:drawing>
          <wp:anchor distT="0" distB="0" distL="114300" distR="114300" simplePos="0" relativeHeight="251660288" behindDoc="0" locked="0" layoutInCell="1" allowOverlap="1">
            <wp:simplePos x="0" y="0"/>
            <wp:positionH relativeFrom="column">
              <wp:posOffset>3114675</wp:posOffset>
            </wp:positionH>
            <wp:positionV relativeFrom="paragraph">
              <wp:posOffset>178435</wp:posOffset>
            </wp:positionV>
            <wp:extent cx="2766060" cy="3688715"/>
            <wp:effectExtent l="0" t="0" r="15240" b="6985"/>
            <wp:wrapTopAndBottom/>
            <wp:docPr id="2" name="图片 2" descr="IMG_20260616_095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0260616_095324"/>
                    <pic:cNvPicPr>
                      <a:picLocks noChangeAspect="1"/>
                    </pic:cNvPicPr>
                  </pic:nvPicPr>
                  <pic:blipFill>
                    <a:blip r:embed="rId4"/>
                    <a:stretch>
                      <a:fillRect/>
                    </a:stretch>
                  </pic:blipFill>
                  <pic:spPr>
                    <a:xfrm>
                      <a:off x="0" y="0"/>
                      <a:ext cx="2766060" cy="3688715"/>
                    </a:xfrm>
                    <a:prstGeom prst="rect">
                      <a:avLst/>
                    </a:prstGeom>
                  </pic:spPr>
                </pic:pic>
              </a:graphicData>
            </a:graphic>
          </wp:anchor>
        </w:drawing>
      </w:r>
      <w:r>
        <w:rPr>
          <w:rFonts w:hint="default" w:ascii="宋体"/>
          <w:color w:val="auto"/>
          <w:kern w:val="0"/>
          <w:sz w:val="28"/>
          <w:szCs w:val="20"/>
          <w:lang w:val="en-US" w:eastAsia="zh-CN"/>
        </w:rPr>
        <w:drawing>
          <wp:anchor distT="0" distB="0" distL="114300" distR="114300" simplePos="0" relativeHeight="251659264" behindDoc="0" locked="0" layoutInCell="1" allowOverlap="1">
            <wp:simplePos x="0" y="0"/>
            <wp:positionH relativeFrom="column">
              <wp:posOffset>47625</wp:posOffset>
            </wp:positionH>
            <wp:positionV relativeFrom="paragraph">
              <wp:posOffset>153035</wp:posOffset>
            </wp:positionV>
            <wp:extent cx="2767330" cy="3691255"/>
            <wp:effectExtent l="0" t="0" r="13970" b="4445"/>
            <wp:wrapTopAndBottom/>
            <wp:docPr id="1" name="图片 1" descr="IMG_20260616_095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0260616_095204"/>
                    <pic:cNvPicPr>
                      <a:picLocks noChangeAspect="1"/>
                    </pic:cNvPicPr>
                  </pic:nvPicPr>
                  <pic:blipFill>
                    <a:blip r:embed="rId5"/>
                    <a:stretch>
                      <a:fillRect/>
                    </a:stretch>
                  </pic:blipFill>
                  <pic:spPr>
                    <a:xfrm>
                      <a:off x="0" y="0"/>
                      <a:ext cx="2767330" cy="3691255"/>
                    </a:xfrm>
                    <a:prstGeom prst="rect">
                      <a:avLst/>
                    </a:prstGeom>
                  </pic:spPr>
                </pic:pic>
              </a:graphicData>
            </a:graphic>
          </wp:anchor>
        </w:drawing>
      </w:r>
    </w:p>
    <w:p w14:paraId="60566B93">
      <w:pPr>
        <w:pStyle w:val="2"/>
        <w:rPr>
          <w:rFonts w:hint="default"/>
          <w:lang w:val="en-US" w:eastAsia="zh-CN"/>
        </w:rPr>
      </w:pPr>
      <w:r>
        <w:rPr>
          <w:rFonts w:hint="default"/>
          <w:lang w:val="en-US" w:eastAsia="zh-CN"/>
        </w:rPr>
        <w:drawing>
          <wp:anchor distT="0" distB="0" distL="114300" distR="114300" simplePos="0" relativeHeight="251662336" behindDoc="0" locked="0" layoutInCell="1" allowOverlap="1">
            <wp:simplePos x="0" y="0"/>
            <wp:positionH relativeFrom="column">
              <wp:posOffset>3216275</wp:posOffset>
            </wp:positionH>
            <wp:positionV relativeFrom="paragraph">
              <wp:posOffset>186055</wp:posOffset>
            </wp:positionV>
            <wp:extent cx="2486660" cy="3315970"/>
            <wp:effectExtent l="0" t="0" r="8890" b="17780"/>
            <wp:wrapTopAndBottom/>
            <wp:docPr id="4" name="图片 4" descr="IMG_20260616_102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IMG_20260616_102735"/>
                    <pic:cNvPicPr>
                      <a:picLocks noChangeAspect="1"/>
                    </pic:cNvPicPr>
                  </pic:nvPicPr>
                  <pic:blipFill>
                    <a:blip r:embed="rId6"/>
                    <a:stretch>
                      <a:fillRect/>
                    </a:stretch>
                  </pic:blipFill>
                  <pic:spPr>
                    <a:xfrm>
                      <a:off x="0" y="0"/>
                      <a:ext cx="2486660" cy="3315970"/>
                    </a:xfrm>
                    <a:prstGeom prst="rect">
                      <a:avLst/>
                    </a:prstGeom>
                  </pic:spPr>
                </pic:pic>
              </a:graphicData>
            </a:graphic>
          </wp:anchor>
        </w:drawing>
      </w:r>
      <w:r>
        <w:rPr>
          <w:rFonts w:hint="default" w:ascii="宋体"/>
          <w:color w:val="auto"/>
          <w:kern w:val="0"/>
          <w:sz w:val="28"/>
          <w:szCs w:val="20"/>
          <w:lang w:val="en-US" w:eastAsia="zh-CN"/>
        </w:rPr>
        <w:drawing>
          <wp:anchor distT="0" distB="0" distL="114300" distR="114300" simplePos="0" relativeHeight="251661312" behindDoc="0" locked="0" layoutInCell="1" allowOverlap="1">
            <wp:simplePos x="0" y="0"/>
            <wp:positionH relativeFrom="column">
              <wp:posOffset>19050</wp:posOffset>
            </wp:positionH>
            <wp:positionV relativeFrom="paragraph">
              <wp:posOffset>205740</wp:posOffset>
            </wp:positionV>
            <wp:extent cx="2893695" cy="3232785"/>
            <wp:effectExtent l="0" t="0" r="1905" b="5715"/>
            <wp:wrapTopAndBottom/>
            <wp:docPr id="3" name="图片 3" descr="IMG_20260616_104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IMG_20260616_104741"/>
                    <pic:cNvPicPr>
                      <a:picLocks noChangeAspect="1"/>
                    </pic:cNvPicPr>
                  </pic:nvPicPr>
                  <pic:blipFill>
                    <a:blip r:embed="rId7"/>
                    <a:stretch>
                      <a:fillRect/>
                    </a:stretch>
                  </pic:blipFill>
                  <pic:spPr>
                    <a:xfrm>
                      <a:off x="0" y="0"/>
                      <a:ext cx="2893695" cy="3232785"/>
                    </a:xfrm>
                    <a:prstGeom prst="rect">
                      <a:avLst/>
                    </a:prstGeom>
                  </pic:spPr>
                </pic:pic>
              </a:graphicData>
            </a:graphic>
          </wp:anchor>
        </w:drawing>
      </w:r>
    </w:p>
    <w:p w14:paraId="2061E8C2">
      <w:pPr>
        <w:rPr>
          <w:rFonts w:hint="default" w:ascii="宋体"/>
          <w:color w:val="auto"/>
          <w:kern w:val="0"/>
          <w:sz w:val="28"/>
          <w:szCs w:val="20"/>
          <w:lang w:val="en-US" w:eastAsia="zh-CN"/>
        </w:rPr>
      </w:pPr>
    </w:p>
    <w:p w14:paraId="3C2CAAE2">
      <w:pPr>
        <w:rPr>
          <w:rFonts w:hint="default" w:ascii="宋体"/>
          <w:color w:val="auto"/>
          <w:kern w:val="0"/>
          <w:sz w:val="28"/>
          <w:szCs w:val="20"/>
          <w:lang w:val="en-US" w:eastAsia="zh-CN"/>
        </w:rPr>
      </w:pPr>
    </w:p>
    <w:p w14:paraId="5C1ADEF8">
      <w:pPr>
        <w:rPr>
          <w:rFonts w:hint="default" w:ascii="宋体"/>
          <w:color w:val="auto"/>
          <w:kern w:val="0"/>
          <w:sz w:val="28"/>
          <w:szCs w:val="20"/>
          <w:lang w:val="en-US" w:eastAsia="zh-CN"/>
        </w:rPr>
      </w:pPr>
      <w:r>
        <w:rPr>
          <w:rFonts w:hint="default" w:ascii="宋体"/>
          <w:color w:val="auto"/>
          <w:kern w:val="0"/>
          <w:sz w:val="28"/>
          <w:szCs w:val="20"/>
          <w:lang w:val="en-US" w:eastAsia="zh-CN"/>
        </w:rPr>
        <w:drawing>
          <wp:anchor distT="0" distB="0" distL="114300" distR="114300" simplePos="0" relativeHeight="251668480" behindDoc="0" locked="0" layoutInCell="1" allowOverlap="1">
            <wp:simplePos x="0" y="0"/>
            <wp:positionH relativeFrom="column">
              <wp:posOffset>3429000</wp:posOffset>
            </wp:positionH>
            <wp:positionV relativeFrom="paragraph">
              <wp:posOffset>5150485</wp:posOffset>
            </wp:positionV>
            <wp:extent cx="2187575" cy="3322320"/>
            <wp:effectExtent l="0" t="0" r="3175" b="11430"/>
            <wp:wrapTopAndBottom/>
            <wp:docPr id="8" name="图片 8" descr="8ec3ec0b52cc571bd8270213706a7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8ec3ec0b52cc571bd8270213706a7995"/>
                    <pic:cNvPicPr>
                      <a:picLocks noChangeAspect="1"/>
                    </pic:cNvPicPr>
                  </pic:nvPicPr>
                  <pic:blipFill>
                    <a:blip r:embed="rId8"/>
                    <a:stretch>
                      <a:fillRect/>
                    </a:stretch>
                  </pic:blipFill>
                  <pic:spPr>
                    <a:xfrm>
                      <a:off x="0" y="0"/>
                      <a:ext cx="2187575" cy="3322320"/>
                    </a:xfrm>
                    <a:prstGeom prst="rect">
                      <a:avLst/>
                    </a:prstGeom>
                  </pic:spPr>
                </pic:pic>
              </a:graphicData>
            </a:graphic>
          </wp:anchor>
        </w:drawing>
      </w:r>
      <w:r>
        <w:rPr>
          <w:rFonts w:hint="default" w:ascii="宋体"/>
          <w:color w:val="auto"/>
          <w:kern w:val="0"/>
          <w:sz w:val="28"/>
          <w:szCs w:val="20"/>
          <w:lang w:val="en-US" w:eastAsia="zh-CN"/>
        </w:rPr>
        <w:drawing>
          <wp:anchor distT="0" distB="0" distL="114300" distR="114300" simplePos="0" relativeHeight="251666432" behindDoc="0" locked="0" layoutInCell="1" allowOverlap="1">
            <wp:simplePos x="0" y="0"/>
            <wp:positionH relativeFrom="column">
              <wp:posOffset>97790</wp:posOffset>
            </wp:positionH>
            <wp:positionV relativeFrom="paragraph">
              <wp:posOffset>5061585</wp:posOffset>
            </wp:positionV>
            <wp:extent cx="2511425" cy="3669030"/>
            <wp:effectExtent l="0" t="0" r="3175" b="7620"/>
            <wp:wrapTopAndBottom/>
            <wp:docPr id="9" name="图片 9" descr="f4be2512a0093c9df586466446c99d5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f4be2512a0093c9df586466446c99d5b"/>
                    <pic:cNvPicPr>
                      <a:picLocks noChangeAspect="1"/>
                    </pic:cNvPicPr>
                  </pic:nvPicPr>
                  <pic:blipFill>
                    <a:blip r:embed="rId9"/>
                    <a:stretch>
                      <a:fillRect/>
                    </a:stretch>
                  </pic:blipFill>
                  <pic:spPr>
                    <a:xfrm>
                      <a:off x="0" y="0"/>
                      <a:ext cx="2511425" cy="3669030"/>
                    </a:xfrm>
                    <a:prstGeom prst="rect">
                      <a:avLst/>
                    </a:prstGeom>
                  </pic:spPr>
                </pic:pic>
              </a:graphicData>
            </a:graphic>
          </wp:anchor>
        </w:drawing>
      </w:r>
      <w:r>
        <w:rPr>
          <w:rFonts w:hint="default" w:ascii="宋体"/>
          <w:color w:val="auto"/>
          <w:kern w:val="0"/>
          <w:sz w:val="28"/>
          <w:szCs w:val="20"/>
          <w:lang w:val="en-US" w:eastAsia="zh-CN"/>
        </w:rPr>
        <w:drawing>
          <wp:anchor distT="0" distB="0" distL="114300" distR="114300" simplePos="0" relativeHeight="251667456" behindDoc="0" locked="0" layoutInCell="1" allowOverlap="1">
            <wp:simplePos x="0" y="0"/>
            <wp:positionH relativeFrom="column">
              <wp:posOffset>-133350</wp:posOffset>
            </wp:positionH>
            <wp:positionV relativeFrom="paragraph">
              <wp:posOffset>200025</wp:posOffset>
            </wp:positionV>
            <wp:extent cx="2992755" cy="4167505"/>
            <wp:effectExtent l="0" t="0" r="17145" b="4445"/>
            <wp:wrapTopAndBottom/>
            <wp:docPr id="10" name="图片 10" descr="9016234f373cd70df68eab8d759c2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9016234f373cd70df68eab8d759c2724"/>
                    <pic:cNvPicPr>
                      <a:picLocks noChangeAspect="1"/>
                    </pic:cNvPicPr>
                  </pic:nvPicPr>
                  <pic:blipFill>
                    <a:blip r:embed="rId10"/>
                    <a:stretch>
                      <a:fillRect/>
                    </a:stretch>
                  </pic:blipFill>
                  <pic:spPr>
                    <a:xfrm>
                      <a:off x="0" y="0"/>
                      <a:ext cx="2992755" cy="4167505"/>
                    </a:xfrm>
                    <a:prstGeom prst="rect">
                      <a:avLst/>
                    </a:prstGeom>
                  </pic:spPr>
                </pic:pic>
              </a:graphicData>
            </a:graphic>
          </wp:anchor>
        </w:drawing>
      </w:r>
      <w:r>
        <w:rPr>
          <w:rFonts w:hint="default" w:ascii="宋体"/>
          <w:color w:val="auto"/>
          <w:kern w:val="0"/>
          <w:sz w:val="28"/>
          <w:szCs w:val="20"/>
          <w:lang w:val="en-US" w:eastAsia="zh-CN"/>
        </w:rPr>
        <w:drawing>
          <wp:anchor distT="0" distB="0" distL="114300" distR="114300" simplePos="0" relativeHeight="251663360" behindDoc="0" locked="0" layoutInCell="1" allowOverlap="1">
            <wp:simplePos x="0" y="0"/>
            <wp:positionH relativeFrom="column">
              <wp:posOffset>2908300</wp:posOffset>
            </wp:positionH>
            <wp:positionV relativeFrom="paragraph">
              <wp:posOffset>138430</wp:posOffset>
            </wp:positionV>
            <wp:extent cx="2839085" cy="4081780"/>
            <wp:effectExtent l="0" t="0" r="18415" b="13970"/>
            <wp:wrapTopAndBottom/>
            <wp:docPr id="5" name="图片 5" descr="cd7cd80d20a51609ddac77cc041f9e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cd7cd80d20a51609ddac77cc041f9ecb"/>
                    <pic:cNvPicPr>
                      <a:picLocks noChangeAspect="1"/>
                    </pic:cNvPicPr>
                  </pic:nvPicPr>
                  <pic:blipFill>
                    <a:blip r:embed="rId11"/>
                    <a:stretch>
                      <a:fillRect/>
                    </a:stretch>
                  </pic:blipFill>
                  <pic:spPr>
                    <a:xfrm>
                      <a:off x="0" y="0"/>
                      <a:ext cx="2839085" cy="4081780"/>
                    </a:xfrm>
                    <a:prstGeom prst="rect">
                      <a:avLst/>
                    </a:prstGeom>
                  </pic:spPr>
                </pic:pic>
              </a:graphicData>
            </a:graphic>
          </wp:anchor>
        </w:drawing>
      </w:r>
    </w:p>
    <w:p w14:paraId="408BBF2A">
      <w:pPr>
        <w:rPr>
          <w:rFonts w:hint="default" w:ascii="宋体"/>
          <w:color w:val="auto"/>
          <w:kern w:val="0"/>
          <w:sz w:val="28"/>
          <w:szCs w:val="20"/>
          <w:lang w:val="en-US" w:eastAsia="zh-CN"/>
        </w:rPr>
      </w:pPr>
    </w:p>
    <w:p w14:paraId="1FFD3C74">
      <w:pPr>
        <w:rPr>
          <w:rFonts w:hint="default" w:ascii="宋体"/>
          <w:color w:val="auto"/>
          <w:kern w:val="0"/>
          <w:sz w:val="28"/>
          <w:szCs w:val="20"/>
          <w:lang w:val="en-US" w:eastAsia="zh-CN"/>
        </w:rPr>
      </w:pPr>
      <w:r>
        <w:rPr>
          <w:rFonts w:hint="default" w:ascii="宋体"/>
          <w:color w:val="auto"/>
          <w:kern w:val="0"/>
          <w:sz w:val="28"/>
          <w:szCs w:val="20"/>
          <w:lang w:val="en-US" w:eastAsia="zh-CN"/>
        </w:rPr>
        <w:drawing>
          <wp:anchor distT="0" distB="0" distL="114300" distR="114300" simplePos="0" relativeHeight="251665408" behindDoc="0" locked="0" layoutInCell="1" allowOverlap="1">
            <wp:simplePos x="0" y="0"/>
            <wp:positionH relativeFrom="column">
              <wp:posOffset>3152775</wp:posOffset>
            </wp:positionH>
            <wp:positionV relativeFrom="paragraph">
              <wp:posOffset>71120</wp:posOffset>
            </wp:positionV>
            <wp:extent cx="2243455" cy="3646805"/>
            <wp:effectExtent l="0" t="0" r="4445" b="10795"/>
            <wp:wrapTopAndBottom/>
            <wp:docPr id="7" name="图片 7" descr="8fa8ea5c89f0773fe210e8499f667b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8fa8ea5c89f0773fe210e8499f667bf2"/>
                    <pic:cNvPicPr>
                      <a:picLocks noChangeAspect="1"/>
                    </pic:cNvPicPr>
                  </pic:nvPicPr>
                  <pic:blipFill>
                    <a:blip r:embed="rId12"/>
                    <a:stretch>
                      <a:fillRect/>
                    </a:stretch>
                  </pic:blipFill>
                  <pic:spPr>
                    <a:xfrm>
                      <a:off x="0" y="0"/>
                      <a:ext cx="2243455" cy="3646805"/>
                    </a:xfrm>
                    <a:prstGeom prst="rect">
                      <a:avLst/>
                    </a:prstGeom>
                  </pic:spPr>
                </pic:pic>
              </a:graphicData>
            </a:graphic>
          </wp:anchor>
        </w:drawing>
      </w:r>
      <w:r>
        <w:rPr>
          <w:rFonts w:hint="default" w:ascii="宋体"/>
          <w:color w:val="auto"/>
          <w:kern w:val="0"/>
          <w:sz w:val="28"/>
          <w:szCs w:val="20"/>
          <w:lang w:val="en-US" w:eastAsia="zh-CN"/>
        </w:rPr>
        <w:drawing>
          <wp:anchor distT="0" distB="0" distL="114300" distR="114300" simplePos="0" relativeHeight="251664384" behindDoc="0" locked="0" layoutInCell="1" allowOverlap="1">
            <wp:simplePos x="0" y="0"/>
            <wp:positionH relativeFrom="column">
              <wp:posOffset>-142875</wp:posOffset>
            </wp:positionH>
            <wp:positionV relativeFrom="paragraph">
              <wp:posOffset>175260</wp:posOffset>
            </wp:positionV>
            <wp:extent cx="2782570" cy="4032885"/>
            <wp:effectExtent l="0" t="0" r="17780" b="5715"/>
            <wp:wrapTopAndBottom/>
            <wp:docPr id="6" name="图片 6" descr="f4cb7520fa384f1f28b0140f496d3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f4cb7520fa384f1f28b0140f496d3219"/>
                    <pic:cNvPicPr>
                      <a:picLocks noChangeAspect="1"/>
                    </pic:cNvPicPr>
                  </pic:nvPicPr>
                  <pic:blipFill>
                    <a:blip r:embed="rId13"/>
                    <a:stretch>
                      <a:fillRect/>
                    </a:stretch>
                  </pic:blipFill>
                  <pic:spPr>
                    <a:xfrm>
                      <a:off x="0" y="0"/>
                      <a:ext cx="2782570" cy="4032885"/>
                    </a:xfrm>
                    <a:prstGeom prst="rect">
                      <a:avLst/>
                    </a:prstGeom>
                  </pic:spPr>
                </pic:pic>
              </a:graphicData>
            </a:graphic>
          </wp:anchor>
        </w:drawing>
      </w:r>
      <w:bookmarkStart w:id="25" w:name="_GoBack"/>
      <w:bookmarkEnd w:id="25"/>
    </w:p>
    <w:sectPr>
      <w:pgSz w:w="11906" w:h="16838"/>
      <w:pgMar w:top="1417" w:right="1417" w:bottom="1417" w:left="1417"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MxZWMwZmRjMzZlYzM2NWRiYjJmYjFkYTJjZWJiMTcifQ=="/>
  </w:docVars>
  <w:rsids>
    <w:rsidRoot w:val="35CC29B8"/>
    <w:rsid w:val="03CC63D7"/>
    <w:rsid w:val="04F76473"/>
    <w:rsid w:val="07A11E1A"/>
    <w:rsid w:val="09D5345C"/>
    <w:rsid w:val="0A1C5EDC"/>
    <w:rsid w:val="0A27015B"/>
    <w:rsid w:val="0A5D5908"/>
    <w:rsid w:val="0BD51C61"/>
    <w:rsid w:val="0EDC1223"/>
    <w:rsid w:val="12386C7D"/>
    <w:rsid w:val="13D12EE6"/>
    <w:rsid w:val="141A7924"/>
    <w:rsid w:val="153C4810"/>
    <w:rsid w:val="160D5A33"/>
    <w:rsid w:val="16BC1C2B"/>
    <w:rsid w:val="1C4A2E55"/>
    <w:rsid w:val="1DE92E23"/>
    <w:rsid w:val="1E1E483E"/>
    <w:rsid w:val="1F5B398D"/>
    <w:rsid w:val="1FF73CD4"/>
    <w:rsid w:val="22CB7136"/>
    <w:rsid w:val="284F788D"/>
    <w:rsid w:val="2A9D36CA"/>
    <w:rsid w:val="2CBC252D"/>
    <w:rsid w:val="2E5E68CC"/>
    <w:rsid w:val="2EC41433"/>
    <w:rsid w:val="2F917EEC"/>
    <w:rsid w:val="31297B3A"/>
    <w:rsid w:val="355F439E"/>
    <w:rsid w:val="35CC29B8"/>
    <w:rsid w:val="361E3E5D"/>
    <w:rsid w:val="37A6654A"/>
    <w:rsid w:val="386A7D3B"/>
    <w:rsid w:val="38B36882"/>
    <w:rsid w:val="3BB85D78"/>
    <w:rsid w:val="3C176B62"/>
    <w:rsid w:val="40741354"/>
    <w:rsid w:val="420C1409"/>
    <w:rsid w:val="43B810C2"/>
    <w:rsid w:val="43CB4C37"/>
    <w:rsid w:val="4706325F"/>
    <w:rsid w:val="47290367"/>
    <w:rsid w:val="48FE4AE5"/>
    <w:rsid w:val="49837C3B"/>
    <w:rsid w:val="4ECC7680"/>
    <w:rsid w:val="4F5D6EDB"/>
    <w:rsid w:val="537F016A"/>
    <w:rsid w:val="540F3603"/>
    <w:rsid w:val="563D798B"/>
    <w:rsid w:val="567C6788"/>
    <w:rsid w:val="579A241E"/>
    <w:rsid w:val="58840D76"/>
    <w:rsid w:val="5C8B1D2D"/>
    <w:rsid w:val="5D511379"/>
    <w:rsid w:val="60FB542C"/>
    <w:rsid w:val="636808F8"/>
    <w:rsid w:val="64FD4259"/>
    <w:rsid w:val="69194288"/>
    <w:rsid w:val="6A640607"/>
    <w:rsid w:val="6AD40467"/>
    <w:rsid w:val="6B3179BA"/>
    <w:rsid w:val="6BF95CAB"/>
    <w:rsid w:val="6C4D48B3"/>
    <w:rsid w:val="6D0669CA"/>
    <w:rsid w:val="6F4A660F"/>
    <w:rsid w:val="6FDF53A7"/>
    <w:rsid w:val="717A11AE"/>
    <w:rsid w:val="72FD2CFB"/>
    <w:rsid w:val="74AE7C8C"/>
    <w:rsid w:val="76511CAD"/>
    <w:rsid w:val="769C7074"/>
    <w:rsid w:val="7772596D"/>
    <w:rsid w:val="788E5851"/>
    <w:rsid w:val="7AB02F22"/>
    <w:rsid w:val="7B7179AA"/>
    <w:rsid w:val="7C9C2DAE"/>
    <w:rsid w:val="7DCC38D1"/>
    <w:rsid w:val="7DD145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99"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unhideWhenUsed/>
    <w:qFormat/>
    <w:uiPriority w:val="0"/>
    <w:pPr>
      <w:spacing w:line="560" w:lineRule="exact"/>
      <w:ind w:firstLine="200"/>
      <w:jc w:val="center"/>
      <w:outlineLvl w:val="1"/>
    </w:pPr>
    <w:rPr>
      <w:rFonts w:eastAsia="楷体_GB2312"/>
      <w:b/>
      <w:bCs/>
      <w:sz w:val="32"/>
      <w:szCs w:val="32"/>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customStyle="1" w:styleId="2">
    <w:name w:val="li_正文"/>
    <w:basedOn w:val="1"/>
    <w:qFormat/>
    <w:uiPriority w:val="0"/>
    <w:pPr>
      <w:topLinePunct/>
      <w:adjustRightInd w:val="0"/>
      <w:snapToGrid w:val="0"/>
      <w:spacing w:line="360" w:lineRule="auto"/>
      <w:ind w:firstLine="700" w:firstLineChars="250"/>
    </w:pPr>
    <w:rPr>
      <w:rFonts w:ascii="宋体" w:hAnsi="宋体"/>
      <w:szCs w:val="28"/>
    </w:rPr>
  </w:style>
  <w:style w:type="paragraph" w:styleId="4">
    <w:name w:val="Normal Indent"/>
    <w:basedOn w:val="1"/>
    <w:qFormat/>
    <w:uiPriority w:val="99"/>
    <w:pPr>
      <w:ind w:firstLine="420"/>
    </w:pPr>
  </w:style>
  <w:style w:type="paragraph" w:styleId="5">
    <w:name w:val="annotation text"/>
    <w:basedOn w:val="1"/>
    <w:qFormat/>
    <w:uiPriority w:val="99"/>
    <w:pPr>
      <w:ind w:firstLine="200" w:firstLineChars="200"/>
      <w:jc w:val="left"/>
    </w:pPr>
    <w:rPr>
      <w:sz w:val="28"/>
      <w:szCs w:val="20"/>
      <w:u w:color="000000"/>
    </w:rPr>
  </w:style>
  <w:style w:type="paragraph" w:styleId="6">
    <w:name w:val="Body Text"/>
    <w:basedOn w:val="1"/>
    <w:qFormat/>
    <w:uiPriority w:val="99"/>
    <w:pPr>
      <w:widowControl/>
      <w:spacing w:line="520" w:lineRule="exact"/>
      <w:ind w:firstLine="200" w:firstLineChars="200"/>
      <w:textAlignment w:val="baseline"/>
    </w:pPr>
    <w:rPr>
      <w:rFonts w:ascii="宋体" w:hAnsi="宋体"/>
      <w:color w:val="000000"/>
      <w:spacing w:val="10"/>
      <w:kern w:val="0"/>
      <w:sz w:val="24"/>
      <w:szCs w:val="24"/>
      <w:u w:color="000000"/>
    </w:rPr>
  </w:style>
  <w:style w:type="paragraph" w:styleId="7">
    <w:name w:val="Plain Text"/>
    <w:basedOn w:val="1"/>
    <w:unhideWhenUsed/>
    <w:qFormat/>
    <w:uiPriority w:val="99"/>
    <w:rPr>
      <w:rFonts w:ascii="宋体" w:hAnsi="Courier New"/>
      <w:kern w:val="0"/>
      <w:sz w:val="20"/>
      <w:szCs w:val="20"/>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9">
    <w:name w:val="Body Text First Indent"/>
    <w:basedOn w:val="6"/>
    <w:next w:val="1"/>
    <w:qFormat/>
    <w:uiPriority w:val="0"/>
    <w:pPr>
      <w:ind w:firstLine="420" w:firstLineChars="100"/>
    </w:pPr>
    <w:rPr>
      <w:b/>
      <w:u w:val="single"/>
    </w:rPr>
  </w:style>
  <w:style w:type="character" w:styleId="12">
    <w:name w:val="annotation reference"/>
    <w:qFormat/>
    <w:uiPriority w:val="99"/>
    <w:rPr>
      <w:sz w:val="21"/>
      <w:szCs w:val="21"/>
    </w:rPr>
  </w:style>
  <w:style w:type="paragraph" w:customStyle="1" w:styleId="1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4">
    <w:name w:val="111"/>
    <w:basedOn w:val="15"/>
    <w:qFormat/>
    <w:uiPriority w:val="0"/>
    <w:pPr>
      <w:widowControl/>
      <w:spacing w:beforeAutospacing="0" w:afterAutospacing="0"/>
      <w:jc w:val="left"/>
    </w:pPr>
    <w:rPr>
      <w:rFonts w:ascii="宋体" w:hAnsi="宋体" w:eastAsia="宋体" w:cs="宋体"/>
      <w:kern w:val="0"/>
      <w:sz w:val="24"/>
      <w:szCs w:val="24"/>
    </w:rPr>
  </w:style>
  <w:style w:type="paragraph" w:customStyle="1" w:styleId="15">
    <w:name w:val="题目"/>
    <w:basedOn w:val="1"/>
    <w:qFormat/>
    <w:uiPriority w:val="0"/>
    <w:pPr>
      <w:jc w:val="center"/>
      <w:outlineLvl w:val="0"/>
    </w:pPr>
    <w:rPr>
      <w:rFonts w:ascii="黑体" w:hAnsi="黑体" w:eastAsia="黑体"/>
      <w:sz w:val="32"/>
      <w:szCs w:val="32"/>
    </w:rPr>
  </w:style>
  <w:style w:type="paragraph" w:customStyle="1" w:styleId="16">
    <w:name w:val="Table Text"/>
    <w:basedOn w:val="1"/>
    <w:semiHidden/>
    <w:qFormat/>
    <w:uiPriority w:val="0"/>
    <w:rPr>
      <w:rFonts w:ascii="宋体" w:hAnsi="宋体" w:eastAsia="宋体" w:cs="宋体"/>
      <w:sz w:val="20"/>
      <w:szCs w:val="20"/>
      <w:lang w:val="en-US" w:eastAsia="en-US" w:bidi="ar-SA"/>
    </w:rPr>
  </w:style>
  <w:style w:type="table" w:customStyle="1" w:styleId="17">
    <w:name w:val="Table Normal"/>
    <w:semiHidden/>
    <w:unhideWhenUsed/>
    <w:qFormat/>
    <w:uiPriority w:val="0"/>
    <w:tblPr>
      <w:tblCellMar>
        <w:top w:w="0" w:type="dxa"/>
        <w:left w:w="0" w:type="dxa"/>
        <w:bottom w:w="0" w:type="dxa"/>
        <w:right w:w="0" w:type="dxa"/>
      </w:tblCellMar>
    </w:tblPr>
  </w:style>
  <w:style w:type="paragraph" w:customStyle="1" w:styleId="18">
    <w:name w:val="6评价正文"/>
    <w:qFormat/>
    <w:uiPriority w:val="0"/>
    <w:pPr>
      <w:spacing w:line="520" w:lineRule="exact"/>
      <w:ind w:firstLine="200" w:firstLineChars="200"/>
      <w:jc w:val="both"/>
    </w:pPr>
    <w:rPr>
      <w:rFonts w:ascii="Times New Roman" w:hAnsi="Times New Roman" w:eastAsia="宋体" w:cs="Times New Roman"/>
      <w:sz w:val="28"/>
      <w:lang w:val="en-US" w:eastAsia="zh-CN" w:bidi="ar-SA"/>
    </w:rPr>
  </w:style>
  <w:style w:type="paragraph" w:customStyle="1" w:styleId="19">
    <w:name w:val="1评价标题"/>
    <w:qFormat/>
    <w:uiPriority w:val="0"/>
    <w:pPr>
      <w:pageBreakBefore/>
      <w:spacing w:before="100" w:beforeLines="100" w:after="100" w:afterLines="100" w:line="520" w:lineRule="exact"/>
      <w:jc w:val="center"/>
      <w:outlineLvl w:val="0"/>
    </w:pPr>
    <w:rPr>
      <w:rFonts w:ascii="Times New Roman" w:hAnsi="Times New Roman" w:eastAsia="黑体" w:cs="Times New Roman"/>
      <w:kern w:val="2"/>
      <w:sz w:val="32"/>
      <w:szCs w:val="21"/>
      <w:lang w:val="en-US" w:eastAsia="zh-CN" w:bidi="ar-SA"/>
    </w:rPr>
  </w:style>
  <w:style w:type="paragraph" w:customStyle="1" w:styleId="20">
    <w:name w:val="5标题评价表格"/>
    <w:qFormat/>
    <w:uiPriority w:val="0"/>
    <w:pPr>
      <w:spacing w:line="520" w:lineRule="exact"/>
      <w:jc w:val="center"/>
      <w:outlineLvl w:val="4"/>
    </w:pPr>
    <w:rPr>
      <w:rFonts w:ascii="Times New Roman" w:hAnsi="Times New Roman" w:eastAsia="黑体" w:cs="Times New Roman"/>
      <w:kern w:val="2"/>
      <w:sz w:val="24"/>
      <w:szCs w:val="28"/>
      <w:u w:color="000000"/>
      <w:lang w:val="en-US" w:eastAsia="zh-CN" w:bidi="ar-SA"/>
    </w:rPr>
  </w:style>
  <w:style w:type="paragraph" w:customStyle="1" w:styleId="21">
    <w:name w:val="5内容评价表格"/>
    <w:qFormat/>
    <w:uiPriority w:val="0"/>
    <w:pPr>
      <w:spacing w:line="300" w:lineRule="exact"/>
      <w:jc w:val="center"/>
    </w:pPr>
    <w:rPr>
      <w:rFonts w:ascii="Times New Roman" w:hAnsi="Times New Roman" w:eastAsia="宋体" w:cs="Times New Roman"/>
      <w:kern w:val="2"/>
      <w:sz w:val="21"/>
      <w:szCs w:val="21"/>
      <w:u w:color="000000"/>
      <w:lang w:val="en-US" w:eastAsia="zh-CN" w:bidi="ar-SA"/>
    </w:rPr>
  </w:style>
  <w:style w:type="paragraph" w:customStyle="1" w:styleId="22">
    <w:name w:val="7评价备注"/>
    <w:qFormat/>
    <w:uiPriority w:val="0"/>
    <w:pPr>
      <w:spacing w:line="400" w:lineRule="exact"/>
      <w:ind w:firstLine="200" w:firstLineChars="200"/>
    </w:pPr>
    <w:rPr>
      <w:rFonts w:ascii="Times New Roman" w:hAnsi="Times New Roman" w:eastAsia="黑体" w:cs="Times New Roman"/>
      <w:spacing w:val="4"/>
      <w:kern w:val="2"/>
      <w:sz w:val="21"/>
      <w:szCs w:val="24"/>
      <w:lang w:val="en-US" w:eastAsia="zh-CN" w:bidi="ar-SA"/>
    </w:rPr>
  </w:style>
  <w:style w:type="paragraph" w:customStyle="1" w:styleId="23">
    <w:name w:val="3评价标题"/>
    <w:qFormat/>
    <w:uiPriority w:val="0"/>
    <w:pPr>
      <w:spacing w:line="520" w:lineRule="exact"/>
      <w:ind w:firstLine="200" w:firstLineChars="200"/>
      <w:outlineLvl w:val="2"/>
    </w:pPr>
    <w:rPr>
      <w:rFonts w:ascii="Times New Roman" w:hAnsi="Times New Roman" w:eastAsia="黑体" w:cs="Times New Roman"/>
      <w:sz w:val="28"/>
      <w:u w:color="000000"/>
      <w:lang w:val="en-US" w:eastAsia="zh-CN" w:bidi="ar-SA"/>
    </w:rPr>
  </w:style>
  <w:style w:type="paragraph" w:customStyle="1" w:styleId="24">
    <w:name w:val="表内文字"/>
    <w:basedOn w:val="7"/>
    <w:qFormat/>
    <w:uiPriority w:val="0"/>
    <w:pPr>
      <w:spacing w:line="320" w:lineRule="exact"/>
      <w:jc w:val="center"/>
    </w:pPr>
    <w:rPr>
      <w:rFonts w:ascii="Times New Roman" w:hAnsi="Times New Roman"/>
      <w:kern w:val="2"/>
      <w:sz w:val="21"/>
      <w:szCs w:val="21"/>
      <w:u w:color="000000"/>
    </w:rPr>
  </w:style>
  <w:style w:type="paragraph" w:customStyle="1" w:styleId="25">
    <w:name w:val="5表格内容"/>
    <w:basedOn w:val="26"/>
    <w:qFormat/>
    <w:uiPriority w:val="0"/>
    <w:pPr>
      <w:spacing w:beforeLines="0" w:line="300" w:lineRule="exact"/>
    </w:pPr>
    <w:rPr>
      <w:rFonts w:eastAsia="宋体"/>
      <w:color w:val="auto"/>
      <w:sz w:val="21"/>
      <w:szCs w:val="21"/>
    </w:rPr>
  </w:style>
  <w:style w:type="paragraph" w:customStyle="1" w:styleId="26">
    <w:name w:val="表名"/>
    <w:basedOn w:val="7"/>
    <w:qFormat/>
    <w:uiPriority w:val="0"/>
    <w:pPr>
      <w:spacing w:beforeLines="50" w:line="360" w:lineRule="exact"/>
      <w:jc w:val="center"/>
    </w:pPr>
    <w:rPr>
      <w:rFonts w:ascii="Times New Roman" w:hAnsi="Times New Roman" w:eastAsia="黑体"/>
      <w:color w:val="000000"/>
      <w:kern w:val="2"/>
      <w:sz w:val="24"/>
      <w:szCs w:val="28"/>
      <w:u w:color="000000"/>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5732</Words>
  <Characters>6049</Characters>
  <Lines>0</Lines>
  <Paragraphs>0</Paragraphs>
  <TotalTime>14</TotalTime>
  <ScaleCrop>false</ScaleCrop>
  <LinksUpToDate>false</LinksUpToDate>
  <CharactersWithSpaces>6067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2023-09-27T02:48:00Z</dcterms:created>
  <dc:creator>天舞</dc:creator>
  <cp:lastModifiedBy>A</cp:lastModifiedBy>
  <dcterms:modified xsi:type="dcterms:W3CDTF">2026-07-23T02:56:07Z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158E41C4130D45F7BB2A42425FB8946B_11</vt:lpwstr>
  </property>
  <property fmtid="{D5CDD505-2E9C-101B-9397-08002B2CF9AE}" pid="4" name="KSOTemplateDocerSaveRecord">
    <vt:lpwstr>eyJoZGlkIjoiNmM1NWE1Mzc4MTAyODRlMmM5M2M0NmY5MGFkYmI1ZjQiLCJ1c2VySWQiOiI1NDgyOTEwMjIifQ==</vt:lpwstr>
  </property>
</Properties>
</file>