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E64B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</w:rPr>
        <w:t>安全评价报告</w:t>
      </w:r>
      <w:r>
        <w:rPr>
          <w:rFonts w:ascii="Times New Roman" w:hAnsi="Times New Roman"/>
          <w:kern w:val="0"/>
          <w:sz w:val="28"/>
          <w:szCs w:val="28"/>
          <w:shd w:val="clear" w:color="auto" w:fill="FFFFFF"/>
        </w:rPr>
        <w:t>公开信息表</w:t>
      </w:r>
    </w:p>
    <w:tbl>
      <w:tblPr>
        <w:tblStyle w:val="23"/>
        <w:tblW w:w="9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7"/>
        <w:gridCol w:w="1237"/>
        <w:gridCol w:w="4803"/>
        <w:gridCol w:w="2115"/>
      </w:tblGrid>
      <w:tr w14:paraId="2BAB0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AF31B7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项目名称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755C1B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泰和县水槎加油站安全现状评价报告</w:t>
            </w:r>
          </w:p>
        </w:tc>
      </w:tr>
      <w:tr w14:paraId="04AF1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DDF148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完成时间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4C4CCD">
            <w:pPr>
              <w:widowControl/>
              <w:spacing w:after="15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2026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4"/>
              </w:rPr>
              <w:t>月</w:t>
            </w:r>
          </w:p>
        </w:tc>
      </w:tr>
      <w:tr w14:paraId="2EFF2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72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C8A51D"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评价人员</w:t>
            </w:r>
          </w:p>
        </w:tc>
      </w:tr>
      <w:tr w14:paraId="5190A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7511B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027815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姓名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6D549A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资格证书号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404C5E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从业号</w:t>
            </w:r>
          </w:p>
        </w:tc>
      </w:tr>
      <w:tr w14:paraId="3FC45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3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B56D9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项目负责人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D66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熊克书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365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S011035000110192001546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907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027024</w:t>
            </w:r>
          </w:p>
        </w:tc>
      </w:tr>
      <w:tr w14:paraId="01A4E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317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69E34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项目组成员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222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谢雨飞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F7B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2021100463000000716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5FF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36230354334</w:t>
            </w:r>
          </w:p>
        </w:tc>
      </w:tr>
      <w:tr w14:paraId="52CF5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31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3163E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EF4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曾淑慧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CB3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03320241036000001117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DF9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36250437078</w:t>
            </w:r>
          </w:p>
        </w:tc>
      </w:tr>
      <w:tr w14:paraId="0F2BA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1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9BD23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31B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于志勇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54E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2014033230330000003310230030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A3F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51190209624</w:t>
            </w:r>
          </w:p>
        </w:tc>
      </w:tr>
      <w:tr w14:paraId="011B0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1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AB04B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508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程冬红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1A6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1500000000301714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039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026812</w:t>
            </w:r>
          </w:p>
        </w:tc>
      </w:tr>
      <w:tr w14:paraId="4F9CE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1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542EE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20B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刘二平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C97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033202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41036000000887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5E2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37250438462</w:t>
            </w:r>
          </w:p>
        </w:tc>
      </w:tr>
      <w:tr w14:paraId="0664B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419EC2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技术专家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155A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/</w:t>
            </w:r>
          </w:p>
        </w:tc>
      </w:tr>
      <w:tr w14:paraId="7701F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13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81712E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现场勘察人员及时间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5711E2">
            <w:pPr>
              <w:widowControl/>
              <w:spacing w:after="150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熊克书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曾淑慧</w:t>
            </w: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2026</w:t>
            </w:r>
            <w:r>
              <w:rPr>
                <w:rFonts w:hint="eastAsia"/>
                <w:b w:val="0"/>
                <w:bCs w:val="0"/>
                <w:sz w:val="24"/>
                <w:szCs w:val="22"/>
                <w:lang w:eastAsia="zh-CN"/>
              </w:rPr>
              <w:t>年</w:t>
            </w: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6</w:t>
            </w:r>
            <w:r>
              <w:rPr>
                <w:rFonts w:hint="eastAsia"/>
                <w:b w:val="0"/>
                <w:bCs w:val="0"/>
                <w:sz w:val="24"/>
                <w:szCs w:val="22"/>
                <w:lang w:eastAsia="zh-CN"/>
              </w:rPr>
              <w:t>月</w:t>
            </w: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  <w:sz w:val="24"/>
                <w:szCs w:val="22"/>
                <w:lang w:eastAsia="zh-CN"/>
              </w:rPr>
              <w:t>日</w:t>
            </w:r>
          </w:p>
        </w:tc>
      </w:tr>
      <w:tr w14:paraId="699DF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3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480C70"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现场核查的人员和时间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100CE6">
            <w:pPr>
              <w:widowControl/>
              <w:spacing w:after="150"/>
              <w:jc w:val="center"/>
              <w:rPr>
                <w:rFonts w:hint="default" w:ascii="Times New Roman" w:hAnsi="Times New Roman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熊克书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曾淑慧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2026年6月7日</w:t>
            </w:r>
          </w:p>
        </w:tc>
      </w:tr>
      <w:tr w14:paraId="47F82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28975A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项目简介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14:paraId="73339C24">
            <w:pPr>
              <w:ind w:firstLine="56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泰和县水槎加油站</w:t>
            </w:r>
            <w:r>
              <w:rPr>
                <w:color w:val="auto"/>
              </w:rPr>
              <w:t>于</w:t>
            </w:r>
            <w:r>
              <w:rPr>
                <w:rFonts w:hint="eastAsia"/>
                <w:color w:val="auto"/>
                <w:lang w:val="en-US" w:eastAsia="zh-CN"/>
              </w:rPr>
              <w:t>2012</w:t>
            </w:r>
            <w:r>
              <w:rPr>
                <w:rFonts w:hint="eastAsia"/>
                <w:color w:val="auto"/>
                <w:lang w:eastAsia="zh-CN"/>
              </w:rPr>
              <w:t>年</w:t>
            </w:r>
            <w:r>
              <w:rPr>
                <w:rFonts w:hint="eastAsia"/>
                <w:color w:val="auto"/>
                <w:lang w:val="en-US" w:eastAsia="zh-CN"/>
              </w:rPr>
              <w:t>3</w:t>
            </w:r>
            <w:r>
              <w:rPr>
                <w:rFonts w:hint="eastAsia"/>
                <w:color w:val="auto"/>
                <w:lang w:eastAsia="zh-CN"/>
              </w:rPr>
              <w:t>月</w:t>
            </w:r>
            <w:r>
              <w:rPr>
                <w:rFonts w:hint="eastAsia"/>
                <w:color w:val="auto"/>
                <w:lang w:val="en-US" w:eastAsia="zh-CN"/>
              </w:rPr>
              <w:t>6</w:t>
            </w:r>
            <w:r>
              <w:rPr>
                <w:rFonts w:hint="eastAsia"/>
                <w:color w:val="auto"/>
                <w:lang w:eastAsia="zh-CN"/>
              </w:rPr>
              <w:t>日</w:t>
            </w:r>
            <w:r>
              <w:rPr>
                <w:color w:val="auto"/>
              </w:rPr>
              <w:t>经</w:t>
            </w:r>
            <w:r>
              <w:rPr>
                <w:rFonts w:hint="eastAsia"/>
                <w:color w:val="auto"/>
                <w:lang w:val="en-US" w:eastAsia="zh-CN"/>
              </w:rPr>
              <w:t>泰和县市场监督管理局</w:t>
            </w:r>
            <w:r>
              <w:rPr>
                <w:color w:val="auto"/>
              </w:rPr>
              <w:t>核准注册成立，</w:t>
            </w:r>
            <w:r>
              <w:rPr>
                <w:rFonts w:hint="eastAsia"/>
                <w:color w:val="auto"/>
                <w:lang w:val="en-US" w:eastAsia="zh-CN"/>
              </w:rPr>
              <w:t>投资人朱松清，</w:t>
            </w:r>
            <w:r>
              <w:rPr>
                <w:color w:val="auto"/>
              </w:rPr>
              <w:t>营业场所</w:t>
            </w:r>
            <w:r>
              <w:rPr>
                <w:color w:val="auto"/>
                <w:spacing w:val="-2"/>
              </w:rPr>
              <w:t>位于</w:t>
            </w:r>
            <w:r>
              <w:rPr>
                <w:rFonts w:hint="eastAsia"/>
                <w:color w:val="auto"/>
                <w:spacing w:val="-2"/>
                <w:lang w:val="en-US" w:eastAsia="zh-CN"/>
              </w:rPr>
              <w:t>江西省吉安市泰和县水槎乡合江村</w:t>
            </w:r>
            <w:r>
              <w:rPr>
                <w:rFonts w:hint="eastAsia"/>
                <w:color w:val="auto"/>
              </w:rPr>
              <w:t>。</w:t>
            </w:r>
            <w:r>
              <w:rPr>
                <w:rFonts w:hint="eastAsia"/>
                <w:color w:val="auto"/>
                <w:lang w:val="en-US" w:eastAsia="zh-CN"/>
              </w:rPr>
              <w:t>类型：个人独资企业</w:t>
            </w:r>
            <w:r>
              <w:rPr>
                <w:color w:val="auto"/>
              </w:rPr>
              <w:t>，</w:t>
            </w:r>
            <w:r>
              <w:rPr>
                <w:rFonts w:hint="eastAsia"/>
              </w:rPr>
              <w:t>该公司营业执照经营范围：</w:t>
            </w:r>
            <w:r>
              <w:rPr>
                <w:rFonts w:hint="eastAsia"/>
                <w:lang w:val="en-US" w:eastAsia="zh-CN"/>
              </w:rPr>
              <w:t>许可项目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烟草制品零售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val="en-US" w:eastAsia="zh-CN"/>
              </w:rPr>
              <w:t>酒类经营，食品互联网销售，成品油零售（依法须经批准的项目，经相关部门批准后在</w:t>
            </w:r>
            <w:r>
              <w:rPr>
                <w:rFonts w:hint="eastAsia"/>
              </w:rPr>
              <w:t>许可</w:t>
            </w:r>
            <w:r>
              <w:rPr>
                <w:rFonts w:hint="eastAsia"/>
                <w:lang w:val="en-US" w:eastAsia="zh-CN"/>
              </w:rPr>
              <w:t>有效期内方可开展经营活动，具体经营项目和许可期限以相关部门批准文件或许可证件为准）一般项目：润滑油销售，食品销售（仅销售预包装食品），劳动保护用品销售，农副产品销售，互联网销售（除销售需要许可的商品），针纺织品销售，日用品销售（除依法须经批准的项目外，凭营业执照依法自主开展经营活动）。</w:t>
            </w:r>
          </w:p>
          <w:p w14:paraId="6077DE16">
            <w:pPr>
              <w:ind w:firstLine="560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泰和县水槎加油站</w:t>
            </w:r>
            <w:r>
              <w:rPr>
                <w:rFonts w:hint="eastAsia"/>
                <w:color w:val="auto"/>
              </w:rPr>
              <w:t>占地面积</w:t>
            </w:r>
            <w:r>
              <w:rPr>
                <w:rFonts w:hint="eastAsia"/>
                <w:color w:val="auto"/>
                <w:lang w:val="en-US" w:eastAsia="zh-CN"/>
              </w:rPr>
              <w:t>1333.33㎡</w:t>
            </w:r>
            <w:r>
              <w:rPr>
                <w:rFonts w:hint="eastAsia"/>
                <w:color w:val="auto"/>
              </w:rPr>
              <w:t>，加油站中</w:t>
            </w:r>
            <w:r>
              <w:rPr>
                <w:color w:val="auto"/>
              </w:rPr>
              <w:t>设有</w:t>
            </w:r>
            <w:r>
              <w:rPr>
                <w:rFonts w:hint="eastAsia"/>
                <w:color w:val="auto"/>
                <w:lang w:val="en-US" w:eastAsia="zh-CN"/>
              </w:rPr>
              <w:t>1台0#柴油/0#柴油双枪加油机、1台95#汽油/92#汽油双枪加油机、1台92#汽油/92#汽油双枪加油机</w:t>
            </w:r>
            <w:r>
              <w:rPr>
                <w:rFonts w:hint="eastAsia"/>
                <w:color w:val="auto"/>
                <w:szCs w:val="20"/>
                <w:highlight w:val="none"/>
                <w:lang w:val="en-US" w:eastAsia="zh-CN"/>
              </w:rPr>
              <w:t>；</w:t>
            </w:r>
            <w:r>
              <w:rPr>
                <w:rFonts w:hint="eastAsia"/>
                <w:color w:val="auto"/>
                <w:lang w:val="en-US" w:eastAsia="zh-CN"/>
              </w:rPr>
              <w:t>1</w:t>
            </w:r>
            <w:r>
              <w:rPr>
                <w:rFonts w:hint="eastAsia"/>
                <w:color w:val="auto"/>
                <w:lang w:eastAsia="zh-CN"/>
              </w:rPr>
              <w:t>台</w:t>
            </w:r>
            <w:r>
              <w:rPr>
                <w:rFonts w:hint="eastAsia"/>
                <w:color w:val="auto"/>
                <w:lang w:val="en-US" w:eastAsia="zh-CN"/>
              </w:rPr>
              <w:t>30</w:t>
            </w:r>
            <w:r>
              <w:rPr>
                <w:rFonts w:hint="eastAsia"/>
                <w:color w:val="auto"/>
                <w:lang w:eastAsia="zh-CN"/>
              </w:rPr>
              <w:t>m³</w:t>
            </w:r>
            <w:r>
              <w:rPr>
                <w:rFonts w:hint="eastAsia"/>
                <w:color w:val="auto"/>
                <w:lang w:val="en-US" w:eastAsia="zh-CN"/>
              </w:rPr>
              <w:t>0</w:t>
            </w:r>
            <w:r>
              <w:rPr>
                <w:rFonts w:hint="eastAsia"/>
                <w:color w:val="auto"/>
                <w:lang w:eastAsia="zh-CN"/>
              </w:rPr>
              <w:t>#</w:t>
            </w:r>
            <w:r>
              <w:rPr>
                <w:rFonts w:hint="eastAsia"/>
                <w:color w:val="auto"/>
                <w:lang w:val="en-US" w:eastAsia="zh-CN"/>
              </w:rPr>
              <w:t>柴油双层埋地储罐、1台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  <w:lang w:eastAsia="zh-CN"/>
              </w:rPr>
              <w:t>m³</w:t>
            </w:r>
            <w:r>
              <w:rPr>
                <w:rFonts w:hint="eastAsia"/>
                <w:lang w:val="en-US" w:eastAsia="zh-CN"/>
              </w:rPr>
              <w:t>95</w:t>
            </w:r>
            <w:r>
              <w:rPr>
                <w:rFonts w:hint="eastAsia"/>
                <w:lang w:eastAsia="zh-CN"/>
              </w:rPr>
              <w:t>#汽油</w:t>
            </w:r>
            <w:r>
              <w:rPr>
                <w:rFonts w:hint="eastAsia"/>
                <w:lang w:val="en-US" w:eastAsia="zh-CN"/>
              </w:rPr>
              <w:t>/92</w:t>
            </w:r>
            <w:r>
              <w:rPr>
                <w:rFonts w:hint="eastAsia"/>
                <w:lang w:eastAsia="zh-CN"/>
              </w:rPr>
              <w:t>#汽油</w:t>
            </w:r>
            <w:r>
              <w:rPr>
                <w:rFonts w:hint="eastAsia"/>
                <w:lang w:val="en-US" w:eastAsia="zh-CN"/>
              </w:rPr>
              <w:t>分舱双层埋地储罐（</w:t>
            </w:r>
            <w:r>
              <w:rPr>
                <w:rFonts w:hint="default"/>
              </w:rPr>
              <w:t>中间对半隔开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15m³95</w:t>
            </w:r>
            <w:r>
              <w:rPr>
                <w:rFonts w:hint="eastAsia"/>
                <w:lang w:eastAsia="zh-CN"/>
              </w:rPr>
              <w:t>#汽油，</w:t>
            </w:r>
            <w:r>
              <w:rPr>
                <w:rFonts w:hint="eastAsia"/>
                <w:lang w:val="en-US" w:eastAsia="zh-CN"/>
              </w:rPr>
              <w:t>15m³92</w:t>
            </w:r>
            <w:r>
              <w:rPr>
                <w:rFonts w:hint="eastAsia"/>
                <w:lang w:eastAsia="zh-CN"/>
              </w:rPr>
              <w:t>#汽油）</w:t>
            </w:r>
            <w:r>
              <w:rPr>
                <w:rFonts w:hint="eastAsia"/>
                <w:color w:val="auto"/>
                <w:lang w:val="en-US" w:eastAsia="zh-CN"/>
              </w:rPr>
              <w:t>、1</w:t>
            </w:r>
            <w:r>
              <w:rPr>
                <w:rFonts w:hint="eastAsia"/>
                <w:color w:val="auto"/>
                <w:lang w:eastAsia="zh-CN"/>
              </w:rPr>
              <w:t>台</w:t>
            </w:r>
            <w:r>
              <w:rPr>
                <w:rFonts w:hint="eastAsia"/>
                <w:color w:val="auto"/>
                <w:lang w:val="en-US" w:eastAsia="zh-CN"/>
              </w:rPr>
              <w:t>30</w:t>
            </w:r>
            <w:r>
              <w:rPr>
                <w:rFonts w:hint="eastAsia"/>
                <w:color w:val="auto"/>
                <w:lang w:eastAsia="zh-CN"/>
              </w:rPr>
              <w:t>m³</w:t>
            </w:r>
            <w:r>
              <w:rPr>
                <w:rFonts w:hint="eastAsia"/>
                <w:color w:val="auto"/>
                <w:lang w:val="en-US" w:eastAsia="zh-CN"/>
              </w:rPr>
              <w:t>92</w:t>
            </w:r>
            <w:r>
              <w:rPr>
                <w:rFonts w:hint="eastAsia"/>
                <w:color w:val="auto"/>
                <w:lang w:eastAsia="zh-CN"/>
              </w:rPr>
              <w:t>#</w:t>
            </w:r>
            <w:r>
              <w:rPr>
                <w:rFonts w:hint="eastAsia"/>
                <w:color w:val="auto"/>
                <w:lang w:val="en-US" w:eastAsia="zh-CN"/>
              </w:rPr>
              <w:t>汽油双层埋地储罐，</w:t>
            </w:r>
            <w:r>
              <w:rPr>
                <w:rFonts w:hint="eastAsia"/>
                <w:color w:val="auto"/>
                <w:lang w:eastAsia="zh-CN"/>
              </w:rPr>
              <w:t>油品最大储存能力为</w:t>
            </w:r>
            <w:r>
              <w:rPr>
                <w:rFonts w:hint="eastAsia"/>
                <w:color w:val="auto"/>
                <w:lang w:val="en-US" w:eastAsia="zh-CN"/>
              </w:rPr>
              <w:t>75</w:t>
            </w:r>
            <w:r>
              <w:rPr>
                <w:rFonts w:hint="eastAsia"/>
                <w:color w:val="auto"/>
                <w:lang w:eastAsia="zh-CN"/>
              </w:rPr>
              <w:t>m³</w:t>
            </w:r>
            <w:r>
              <w:rPr>
                <w:color w:val="auto"/>
              </w:rPr>
              <w:t>（柴油罐容积折半计入油罐总容积）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color w:val="auto"/>
              </w:rPr>
              <w:t>属</w:t>
            </w:r>
            <w:r>
              <w:rPr>
                <w:rFonts w:hint="eastAsia"/>
                <w:color w:val="auto"/>
                <w:lang w:val="en-US" w:eastAsia="zh-CN"/>
              </w:rPr>
              <w:t>三级</w:t>
            </w:r>
            <w:r>
              <w:rPr>
                <w:rFonts w:hint="eastAsia"/>
                <w:color w:val="auto"/>
              </w:rPr>
              <w:t>加油站</w:t>
            </w:r>
            <w:r>
              <w:rPr>
                <w:color w:val="auto"/>
              </w:rPr>
              <w:t>，汽油卸油、加油设置了油气回收系统。</w:t>
            </w:r>
          </w:p>
          <w:p w14:paraId="0F32EEC7">
            <w:pPr>
              <w:ind w:firstLine="560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泰和县水槎加油站</w:t>
            </w:r>
            <w:r>
              <w:rPr>
                <w:color w:val="auto"/>
              </w:rPr>
              <w:t>于</w:t>
            </w:r>
            <w:r>
              <w:rPr>
                <w:rFonts w:hint="eastAsia"/>
                <w:color w:val="auto"/>
                <w:lang w:val="en-US" w:eastAsia="zh-CN"/>
              </w:rPr>
              <w:t>2023</w:t>
            </w:r>
            <w:r>
              <w:rPr>
                <w:rFonts w:hint="eastAsia"/>
                <w:color w:val="auto"/>
                <w:lang w:eastAsia="zh-CN"/>
              </w:rPr>
              <w:t>年</w:t>
            </w:r>
            <w:r>
              <w:rPr>
                <w:rFonts w:hint="eastAsia"/>
                <w:color w:val="auto"/>
                <w:lang w:val="en-US" w:eastAsia="zh-CN"/>
              </w:rPr>
              <w:t>9</w:t>
            </w:r>
            <w:r>
              <w:rPr>
                <w:rFonts w:hint="eastAsia"/>
                <w:color w:val="auto"/>
                <w:lang w:eastAsia="zh-CN"/>
              </w:rPr>
              <w:t>月</w:t>
            </w:r>
            <w:r>
              <w:rPr>
                <w:rFonts w:hint="eastAsia"/>
                <w:color w:val="auto"/>
                <w:lang w:val="en-US" w:eastAsia="zh-CN"/>
              </w:rPr>
              <w:t>8</w:t>
            </w:r>
            <w:r>
              <w:rPr>
                <w:rFonts w:hint="eastAsia"/>
                <w:color w:val="auto"/>
                <w:lang w:eastAsia="zh-CN"/>
              </w:rPr>
              <w:t>日</w:t>
            </w:r>
            <w:r>
              <w:rPr>
                <w:color w:val="auto"/>
              </w:rPr>
              <w:t>经</w:t>
            </w:r>
            <w:r>
              <w:rPr>
                <w:rFonts w:hint="eastAsia"/>
                <w:color w:val="auto"/>
                <w:lang w:val="en-US" w:eastAsia="zh-CN"/>
              </w:rPr>
              <w:t>吉安市</w:t>
            </w:r>
            <w:r>
              <w:rPr>
                <w:rFonts w:hint="eastAsia"/>
                <w:color w:val="auto"/>
              </w:rPr>
              <w:t>应急管理局</w:t>
            </w:r>
            <w:r>
              <w:rPr>
                <w:color w:val="auto"/>
              </w:rPr>
              <w:t>核准，换发了新的《危险化学品经营许可证》</w:t>
            </w:r>
            <w:r>
              <w:rPr>
                <w:rFonts w:hint="eastAsia"/>
                <w:color w:val="auto"/>
              </w:rPr>
              <w:t>，证书编号：</w:t>
            </w:r>
            <w:r>
              <w:rPr>
                <w:color w:val="auto"/>
              </w:rPr>
              <w:t>赣</w:t>
            </w:r>
            <w:r>
              <w:rPr>
                <w:rFonts w:hint="eastAsia"/>
                <w:color w:val="auto"/>
                <w:lang w:val="en-US" w:eastAsia="zh-CN"/>
              </w:rPr>
              <w:t>吉危化经字</w:t>
            </w:r>
            <w:r>
              <w:rPr>
                <w:color w:val="auto"/>
              </w:rPr>
              <w:t>[</w:t>
            </w:r>
            <w:r>
              <w:rPr>
                <w:rFonts w:hint="eastAsia"/>
                <w:color w:val="auto"/>
                <w:lang w:val="en-US" w:eastAsia="zh-CN"/>
              </w:rPr>
              <w:t>2023</w:t>
            </w:r>
            <w:r>
              <w:rPr>
                <w:color w:val="auto"/>
              </w:rPr>
              <w:t>]</w:t>
            </w:r>
            <w:r>
              <w:rPr>
                <w:rFonts w:hint="eastAsia"/>
                <w:color w:val="auto"/>
                <w:lang w:val="en-US" w:eastAsia="zh-CN"/>
              </w:rPr>
              <w:t>360800000057</w:t>
            </w:r>
            <w:r>
              <w:rPr>
                <w:rFonts w:hint="eastAsia"/>
                <w:color w:val="auto"/>
                <w:lang w:eastAsia="zh-CN"/>
              </w:rPr>
              <w:t>号</w:t>
            </w:r>
            <w:r>
              <w:rPr>
                <w:color w:val="auto"/>
              </w:rPr>
              <w:t>，许可范围：</w:t>
            </w:r>
            <w:r>
              <w:rPr>
                <w:rFonts w:hint="eastAsia"/>
                <w:color w:val="auto"/>
                <w:lang w:val="en-US" w:eastAsia="zh-CN"/>
              </w:rPr>
              <w:t>汽油、柴油</w:t>
            </w:r>
            <w:r>
              <w:rPr>
                <w:rFonts w:hint="eastAsia"/>
                <w:color w:val="auto"/>
              </w:rPr>
              <w:t>。</w:t>
            </w:r>
            <w:r>
              <w:rPr>
                <w:rFonts w:hint="eastAsia"/>
                <w:color w:val="auto"/>
                <w:lang w:eastAsia="zh-CN"/>
              </w:rPr>
              <w:t>有效期</w:t>
            </w:r>
            <w:r>
              <w:rPr>
                <w:rFonts w:hint="eastAsia"/>
                <w:color w:val="auto"/>
                <w:lang w:val="en-US" w:eastAsia="zh-CN"/>
              </w:rPr>
              <w:t>2023</w:t>
            </w:r>
            <w:r>
              <w:rPr>
                <w:rFonts w:hint="eastAsia"/>
                <w:color w:val="auto"/>
                <w:lang w:eastAsia="zh-CN"/>
              </w:rPr>
              <w:t>年</w:t>
            </w:r>
            <w:r>
              <w:rPr>
                <w:rFonts w:hint="eastAsia"/>
                <w:color w:val="auto"/>
                <w:lang w:val="en-US" w:eastAsia="zh-CN"/>
              </w:rPr>
              <w:t>9</w:t>
            </w:r>
            <w:r>
              <w:rPr>
                <w:color w:val="auto"/>
              </w:rPr>
              <w:t>月</w:t>
            </w:r>
            <w:r>
              <w:rPr>
                <w:rFonts w:hint="eastAsia"/>
                <w:color w:val="auto"/>
                <w:lang w:val="en-US" w:eastAsia="zh-CN"/>
              </w:rPr>
              <w:t>8</w:t>
            </w:r>
            <w:r>
              <w:rPr>
                <w:color w:val="auto"/>
              </w:rPr>
              <w:t>日</w:t>
            </w:r>
            <w:r>
              <w:rPr>
                <w:rFonts w:hint="eastAsia"/>
                <w:color w:val="auto"/>
              </w:rPr>
              <w:t>至</w:t>
            </w:r>
            <w:r>
              <w:rPr>
                <w:rFonts w:hint="eastAsia"/>
                <w:color w:val="auto"/>
                <w:lang w:val="en-US" w:eastAsia="zh-CN"/>
              </w:rPr>
              <w:t>2026</w:t>
            </w:r>
            <w:r>
              <w:rPr>
                <w:rFonts w:hint="eastAsia"/>
                <w:color w:val="auto"/>
                <w:lang w:eastAsia="zh-CN"/>
              </w:rPr>
              <w:t>年</w:t>
            </w:r>
            <w:r>
              <w:rPr>
                <w:rFonts w:hint="eastAsia"/>
                <w:color w:val="auto"/>
                <w:lang w:val="en-US" w:eastAsia="zh-CN"/>
              </w:rPr>
              <w:t>9</w:t>
            </w:r>
            <w:r>
              <w:rPr>
                <w:rFonts w:hint="eastAsia"/>
                <w:color w:val="auto"/>
                <w:lang w:eastAsia="zh-CN"/>
              </w:rPr>
              <w:t>月</w:t>
            </w:r>
            <w:r>
              <w:rPr>
                <w:rFonts w:hint="eastAsia"/>
                <w:color w:val="auto"/>
                <w:lang w:val="en-US" w:eastAsia="zh-CN"/>
              </w:rPr>
              <w:t>7</w:t>
            </w:r>
            <w:r>
              <w:rPr>
                <w:rFonts w:hint="eastAsia"/>
                <w:color w:val="auto"/>
                <w:lang w:eastAsia="zh-CN"/>
              </w:rPr>
              <w:t>日</w:t>
            </w:r>
            <w:r>
              <w:rPr>
                <w:rFonts w:hint="eastAsia"/>
                <w:color w:val="auto"/>
              </w:rPr>
              <w:t>。</w:t>
            </w:r>
          </w:p>
          <w:p w14:paraId="26DE4DC8">
            <w:pPr>
              <w:ind w:firstLine="560"/>
              <w:rPr>
                <w:rFonts w:hint="eastAsia"/>
                <w:snapToGrid w:val="0"/>
              </w:rPr>
            </w:pPr>
            <w:r>
              <w:rPr>
                <w:rFonts w:hint="eastAsia"/>
                <w:lang w:val="en-US" w:eastAsia="zh-CN"/>
              </w:rPr>
              <w:t>泰和县水槎加油站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2023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年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9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19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日</w:t>
            </w:r>
            <w:r>
              <w:rPr>
                <w:color w:val="auto"/>
                <w:highlight w:val="none"/>
              </w:rPr>
              <w:t>经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吉安市商务局</w:t>
            </w:r>
            <w:r>
              <w:rPr>
                <w:color w:val="auto"/>
                <w:highlight w:val="none"/>
              </w:rPr>
              <w:t>核准，换取了新的《成品油零售经营批准证书》</w:t>
            </w:r>
            <w:r>
              <w:rPr>
                <w:rFonts w:hint="eastAsia"/>
                <w:color w:val="auto"/>
                <w:highlight w:val="none"/>
              </w:rPr>
              <w:t>，证书编号：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油零售证书第吉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0284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号</w:t>
            </w:r>
            <w:r>
              <w:rPr>
                <w:color w:val="auto"/>
                <w:highlight w:val="none"/>
              </w:rPr>
              <w:t>，</w:t>
            </w:r>
            <w:r>
              <w:rPr>
                <w:rFonts w:hint="eastAsia"/>
                <w:color w:val="auto"/>
                <w:highlight w:val="none"/>
              </w:rPr>
              <w:t>批准从事成品油（汽油、柴油）零售业务。证书</w:t>
            </w:r>
            <w:r>
              <w:rPr>
                <w:color w:val="auto"/>
                <w:highlight w:val="none"/>
              </w:rPr>
              <w:t>有效期至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2023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年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9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19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日至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2028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年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9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18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日</w:t>
            </w:r>
            <w:r>
              <w:rPr>
                <w:color w:val="auto"/>
              </w:rPr>
              <w:t>。</w:t>
            </w:r>
          </w:p>
        </w:tc>
      </w:tr>
      <w:tr w14:paraId="56586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BC4E94">
            <w:pPr>
              <w:widowControl/>
              <w:spacing w:after="150"/>
              <w:jc w:val="center"/>
            </w:pPr>
            <w:r>
              <w:rPr>
                <w:rFonts w:hint="eastAsia"/>
                <w:sz w:val="24"/>
              </w:rPr>
              <w:t>工艺流程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14:paraId="24BED707"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eastAsia="zh-CN"/>
              </w:rPr>
              <w:drawing>
                <wp:inline distT="0" distB="0" distL="114300" distR="114300">
                  <wp:extent cx="4378960" cy="709930"/>
                  <wp:effectExtent l="0" t="0" r="2540" b="13970"/>
                  <wp:docPr id="12" name="图片 12" descr="工艺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工艺图片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8960" cy="70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FABCC0">
            <w:pPr>
              <w:pStyle w:val="21"/>
              <w:ind w:left="0" w:leftChars="0" w:firstLine="0" w:firstLineChars="0"/>
            </w:pPr>
          </w:p>
        </w:tc>
      </w:tr>
      <w:tr w14:paraId="2BDE1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954F8A"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被评价单位信息反馈情况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A8D792"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满意</w:t>
            </w:r>
          </w:p>
        </w:tc>
      </w:tr>
    </w:tbl>
    <w:p w14:paraId="59419F03">
      <w:pPr>
        <w:rPr>
          <w:rFonts w:hint="eastAsia"/>
          <w:lang w:eastAsia="zh-CN"/>
        </w:rPr>
      </w:pPr>
      <w:r>
        <w:rPr>
          <w:rFonts w:hint="eastAsia"/>
          <w:color w:val="FF000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-349250</wp:posOffset>
            </wp:positionH>
            <wp:positionV relativeFrom="paragraph">
              <wp:posOffset>116205</wp:posOffset>
            </wp:positionV>
            <wp:extent cx="5812155" cy="4358640"/>
            <wp:effectExtent l="0" t="0" r="17145" b="3810"/>
            <wp:wrapNone/>
            <wp:docPr id="5" name="图片 1" descr="1e1e198bfdbcb910e6a3a0eec913e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1e1e198bfdbcb910e6a3a0eec913e6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2155" cy="435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br w:type="page"/>
      </w:r>
    </w:p>
    <w:p w14:paraId="4927AB91">
      <w:pPr>
        <w:pStyle w:val="22"/>
        <w:ind w:left="0" w:leftChars="0" w:firstLine="0" w:firstLineChars="0"/>
      </w:pPr>
    </w:p>
    <w:p w14:paraId="19710649">
      <w:pPr>
        <w:pStyle w:val="22"/>
        <w:ind w:left="0" w:leftChars="0" w:firstLine="0" w:firstLineChars="0"/>
      </w:pPr>
      <w:r>
        <w:drawing>
          <wp:inline distT="0" distB="0" distL="114300" distR="114300">
            <wp:extent cx="5760085" cy="7200265"/>
            <wp:effectExtent l="0" t="0" r="5715" b="635"/>
            <wp:docPr id="6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20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9F2B4">
      <w:pPr>
        <w:pStyle w:val="22"/>
        <w:ind w:left="0" w:leftChars="0" w:firstLine="0" w:firstLineChars="0"/>
      </w:pPr>
      <w:r>
        <w:drawing>
          <wp:inline distT="0" distB="0" distL="114300" distR="114300">
            <wp:extent cx="5760085" cy="7200265"/>
            <wp:effectExtent l="0" t="0" r="5715" b="635"/>
            <wp:docPr id="7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20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07670">
      <w:pPr>
        <w:pStyle w:val="22"/>
        <w:ind w:left="0" w:leftChars="0" w:firstLine="0" w:firstLineChars="0"/>
        <w:rPr>
          <w:rFonts w:hint="eastAsia"/>
          <w:lang w:eastAsia="zh-CN"/>
        </w:rPr>
      </w:pPr>
      <w:r>
        <w:drawing>
          <wp:inline distT="0" distB="0" distL="114300" distR="114300">
            <wp:extent cx="5760085" cy="7200265"/>
            <wp:effectExtent l="0" t="0" r="5715" b="635"/>
            <wp:docPr id="8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20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0679C0"/>
    <w:multiLevelType w:val="singleLevel"/>
    <w:tmpl w:val="850679C0"/>
    <w:lvl w:ilvl="0" w:tentative="0">
      <w:start w:val="1"/>
      <w:numFmt w:val="decimal"/>
      <w:pStyle w:val="48"/>
      <w:suff w:val="nothing"/>
      <w:lvlText w:val="%1）"/>
      <w:lvlJc w:val="left"/>
      <w:pPr>
        <w:tabs>
          <w:tab w:val="left" w:pos="312"/>
        </w:tabs>
      </w:pPr>
      <w:rPr>
        <w:rFonts w:hint="default" w:ascii="Times New Roman" w:hAnsi="Times New Roman" w:eastAsia="宋体" w:cs="Times New Roman"/>
        <w:sz w:val="24"/>
        <w:szCs w:val="24"/>
      </w:rPr>
    </w:lvl>
  </w:abstractNum>
  <w:abstractNum w:abstractNumId="1">
    <w:nsid w:val="5183855F"/>
    <w:multiLevelType w:val="singleLevel"/>
    <w:tmpl w:val="5183855F"/>
    <w:lvl w:ilvl="0" w:tentative="0">
      <w:start w:val="1"/>
      <w:numFmt w:val="chineseCounting"/>
      <w:pStyle w:val="43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YmJhMTRkMGU2NWU2MjE0YWI5MWU2ODcxNDk2YTgifQ=="/>
    <w:docVar w:name="KSO_WPS_MARK_KEY" w:val="f0c94484-18bf-41d0-a894-232196517eb0"/>
  </w:docVars>
  <w:rsids>
    <w:rsidRoot w:val="00E3751A"/>
    <w:rsid w:val="00047227"/>
    <w:rsid w:val="00194B7C"/>
    <w:rsid w:val="002012A2"/>
    <w:rsid w:val="00303C12"/>
    <w:rsid w:val="003A7C06"/>
    <w:rsid w:val="004340C8"/>
    <w:rsid w:val="00443349"/>
    <w:rsid w:val="004D1AF7"/>
    <w:rsid w:val="005858BE"/>
    <w:rsid w:val="00727066"/>
    <w:rsid w:val="00756850"/>
    <w:rsid w:val="00787BD2"/>
    <w:rsid w:val="007A2261"/>
    <w:rsid w:val="007C3A9A"/>
    <w:rsid w:val="00802085"/>
    <w:rsid w:val="008F01AE"/>
    <w:rsid w:val="009570B9"/>
    <w:rsid w:val="009A19ED"/>
    <w:rsid w:val="00C341C7"/>
    <w:rsid w:val="00C65B3D"/>
    <w:rsid w:val="00C75118"/>
    <w:rsid w:val="00C82162"/>
    <w:rsid w:val="00D40559"/>
    <w:rsid w:val="00D42B17"/>
    <w:rsid w:val="00D93BC0"/>
    <w:rsid w:val="00E3751A"/>
    <w:rsid w:val="00E95F3C"/>
    <w:rsid w:val="00F46A10"/>
    <w:rsid w:val="00F60933"/>
    <w:rsid w:val="00FF47EE"/>
    <w:rsid w:val="01381A2C"/>
    <w:rsid w:val="01E43C17"/>
    <w:rsid w:val="02A12ECC"/>
    <w:rsid w:val="030516AD"/>
    <w:rsid w:val="03463A74"/>
    <w:rsid w:val="03A1635F"/>
    <w:rsid w:val="03C37305"/>
    <w:rsid w:val="04334FFF"/>
    <w:rsid w:val="04543719"/>
    <w:rsid w:val="045937F4"/>
    <w:rsid w:val="04664971"/>
    <w:rsid w:val="04714B20"/>
    <w:rsid w:val="04D11406"/>
    <w:rsid w:val="04E23328"/>
    <w:rsid w:val="050505ED"/>
    <w:rsid w:val="054F4E8B"/>
    <w:rsid w:val="06007F0A"/>
    <w:rsid w:val="062E2CC9"/>
    <w:rsid w:val="06567547"/>
    <w:rsid w:val="06C510AB"/>
    <w:rsid w:val="06EF6353"/>
    <w:rsid w:val="07D32EB9"/>
    <w:rsid w:val="07E46E00"/>
    <w:rsid w:val="0814540D"/>
    <w:rsid w:val="08300409"/>
    <w:rsid w:val="08302FF8"/>
    <w:rsid w:val="0845254C"/>
    <w:rsid w:val="08E81855"/>
    <w:rsid w:val="08ED0200"/>
    <w:rsid w:val="08FD6983"/>
    <w:rsid w:val="0946657C"/>
    <w:rsid w:val="096769A3"/>
    <w:rsid w:val="096F1B10"/>
    <w:rsid w:val="09806C85"/>
    <w:rsid w:val="09A37E9F"/>
    <w:rsid w:val="0A0E1339"/>
    <w:rsid w:val="0A173A74"/>
    <w:rsid w:val="0A4F7A65"/>
    <w:rsid w:val="0A5B6057"/>
    <w:rsid w:val="0BC750FD"/>
    <w:rsid w:val="0C370800"/>
    <w:rsid w:val="0D0227BA"/>
    <w:rsid w:val="0D073DB5"/>
    <w:rsid w:val="0D081033"/>
    <w:rsid w:val="0E564C35"/>
    <w:rsid w:val="0E770F85"/>
    <w:rsid w:val="0EC817E1"/>
    <w:rsid w:val="0F1C6141"/>
    <w:rsid w:val="0F423341"/>
    <w:rsid w:val="0FE07C54"/>
    <w:rsid w:val="0FFD1618"/>
    <w:rsid w:val="10806817"/>
    <w:rsid w:val="10A546BD"/>
    <w:rsid w:val="10AD0B5D"/>
    <w:rsid w:val="10AE1BD9"/>
    <w:rsid w:val="10D96D50"/>
    <w:rsid w:val="117D68B3"/>
    <w:rsid w:val="11BA5E99"/>
    <w:rsid w:val="13337B71"/>
    <w:rsid w:val="13FA1B12"/>
    <w:rsid w:val="141C622E"/>
    <w:rsid w:val="14732EA1"/>
    <w:rsid w:val="147F5532"/>
    <w:rsid w:val="14D001B2"/>
    <w:rsid w:val="156C314D"/>
    <w:rsid w:val="15BF56EC"/>
    <w:rsid w:val="15CB68F5"/>
    <w:rsid w:val="15F1161D"/>
    <w:rsid w:val="16B10157"/>
    <w:rsid w:val="172B1294"/>
    <w:rsid w:val="17505468"/>
    <w:rsid w:val="1752433D"/>
    <w:rsid w:val="17550DB0"/>
    <w:rsid w:val="17810296"/>
    <w:rsid w:val="17C601C4"/>
    <w:rsid w:val="182061EA"/>
    <w:rsid w:val="18301429"/>
    <w:rsid w:val="18351C95"/>
    <w:rsid w:val="188D103C"/>
    <w:rsid w:val="190E35A0"/>
    <w:rsid w:val="191A70DD"/>
    <w:rsid w:val="19992B53"/>
    <w:rsid w:val="19CE23A1"/>
    <w:rsid w:val="19D014C8"/>
    <w:rsid w:val="19F45335"/>
    <w:rsid w:val="1A330456"/>
    <w:rsid w:val="1A4E76A5"/>
    <w:rsid w:val="1A8C0B4E"/>
    <w:rsid w:val="1ADA1B6B"/>
    <w:rsid w:val="1AF71484"/>
    <w:rsid w:val="1B63147C"/>
    <w:rsid w:val="1C2F6387"/>
    <w:rsid w:val="1C3244B8"/>
    <w:rsid w:val="1C3E4E60"/>
    <w:rsid w:val="1C461987"/>
    <w:rsid w:val="1C4B6410"/>
    <w:rsid w:val="1C67088B"/>
    <w:rsid w:val="1C970306"/>
    <w:rsid w:val="1CD13F56"/>
    <w:rsid w:val="1CD14F1F"/>
    <w:rsid w:val="1CEA3399"/>
    <w:rsid w:val="1DA60EEB"/>
    <w:rsid w:val="1F0F5E71"/>
    <w:rsid w:val="1F142A61"/>
    <w:rsid w:val="1F373426"/>
    <w:rsid w:val="1F642D26"/>
    <w:rsid w:val="1FAC2BD1"/>
    <w:rsid w:val="1FC658C9"/>
    <w:rsid w:val="1FF45CE7"/>
    <w:rsid w:val="20176124"/>
    <w:rsid w:val="2107263D"/>
    <w:rsid w:val="21313216"/>
    <w:rsid w:val="214C4107"/>
    <w:rsid w:val="21A13C43"/>
    <w:rsid w:val="222E1FA2"/>
    <w:rsid w:val="22366385"/>
    <w:rsid w:val="224031F6"/>
    <w:rsid w:val="2282270A"/>
    <w:rsid w:val="229735F9"/>
    <w:rsid w:val="22AD2D70"/>
    <w:rsid w:val="22E73498"/>
    <w:rsid w:val="23532900"/>
    <w:rsid w:val="2359594A"/>
    <w:rsid w:val="237962D0"/>
    <w:rsid w:val="23B37411"/>
    <w:rsid w:val="242E50EF"/>
    <w:rsid w:val="244E33BB"/>
    <w:rsid w:val="24775815"/>
    <w:rsid w:val="24D12D46"/>
    <w:rsid w:val="24EF58C2"/>
    <w:rsid w:val="24FD0CF7"/>
    <w:rsid w:val="25FB3FD9"/>
    <w:rsid w:val="260B2287"/>
    <w:rsid w:val="26134134"/>
    <w:rsid w:val="271635D9"/>
    <w:rsid w:val="27280E94"/>
    <w:rsid w:val="275A1718"/>
    <w:rsid w:val="27F61196"/>
    <w:rsid w:val="28814447"/>
    <w:rsid w:val="29283150"/>
    <w:rsid w:val="297A3C20"/>
    <w:rsid w:val="297A7E50"/>
    <w:rsid w:val="298C1931"/>
    <w:rsid w:val="29925FE1"/>
    <w:rsid w:val="29C972C6"/>
    <w:rsid w:val="2A3E70CF"/>
    <w:rsid w:val="2A571F3F"/>
    <w:rsid w:val="2B944ACD"/>
    <w:rsid w:val="2BD9110B"/>
    <w:rsid w:val="2C9D3BC7"/>
    <w:rsid w:val="2CF2686E"/>
    <w:rsid w:val="2E9E272A"/>
    <w:rsid w:val="2EAE6403"/>
    <w:rsid w:val="2EAF6F46"/>
    <w:rsid w:val="2F5C124E"/>
    <w:rsid w:val="31055C5A"/>
    <w:rsid w:val="3256187C"/>
    <w:rsid w:val="3259568C"/>
    <w:rsid w:val="32A31CA7"/>
    <w:rsid w:val="32A66941"/>
    <w:rsid w:val="334B2415"/>
    <w:rsid w:val="339918AA"/>
    <w:rsid w:val="33BD2F62"/>
    <w:rsid w:val="33C148CD"/>
    <w:rsid w:val="33E01751"/>
    <w:rsid w:val="341F407D"/>
    <w:rsid w:val="34BD4A82"/>
    <w:rsid w:val="351530F3"/>
    <w:rsid w:val="351B1DBB"/>
    <w:rsid w:val="35211925"/>
    <w:rsid w:val="35524794"/>
    <w:rsid w:val="36577381"/>
    <w:rsid w:val="366115C7"/>
    <w:rsid w:val="368F242B"/>
    <w:rsid w:val="36BF474E"/>
    <w:rsid w:val="36E75766"/>
    <w:rsid w:val="37285AB1"/>
    <w:rsid w:val="375C6F30"/>
    <w:rsid w:val="3781684D"/>
    <w:rsid w:val="3823766B"/>
    <w:rsid w:val="396748BA"/>
    <w:rsid w:val="39AC13AD"/>
    <w:rsid w:val="3A751F6D"/>
    <w:rsid w:val="3AAA1C17"/>
    <w:rsid w:val="3AB6680E"/>
    <w:rsid w:val="3AD61658"/>
    <w:rsid w:val="3ADD7367"/>
    <w:rsid w:val="3AF50232"/>
    <w:rsid w:val="3B121167"/>
    <w:rsid w:val="3B251FB8"/>
    <w:rsid w:val="3B3712DA"/>
    <w:rsid w:val="3B516ED3"/>
    <w:rsid w:val="3B622014"/>
    <w:rsid w:val="3BFC6477"/>
    <w:rsid w:val="3C7D28D5"/>
    <w:rsid w:val="3C9506A5"/>
    <w:rsid w:val="3CE43836"/>
    <w:rsid w:val="3D027FC2"/>
    <w:rsid w:val="3D3D4FC4"/>
    <w:rsid w:val="3D4729D1"/>
    <w:rsid w:val="3DEB4A20"/>
    <w:rsid w:val="3E2D53F7"/>
    <w:rsid w:val="3EB62D94"/>
    <w:rsid w:val="3EEC7F81"/>
    <w:rsid w:val="3F0E1560"/>
    <w:rsid w:val="3FA71C20"/>
    <w:rsid w:val="3FDA2F9E"/>
    <w:rsid w:val="40606FB3"/>
    <w:rsid w:val="408A0869"/>
    <w:rsid w:val="40995D81"/>
    <w:rsid w:val="40DC28F6"/>
    <w:rsid w:val="416C231C"/>
    <w:rsid w:val="41B906C9"/>
    <w:rsid w:val="41C84509"/>
    <w:rsid w:val="421E5E45"/>
    <w:rsid w:val="42305ED2"/>
    <w:rsid w:val="42355182"/>
    <w:rsid w:val="43120BD6"/>
    <w:rsid w:val="43B14016"/>
    <w:rsid w:val="43F50190"/>
    <w:rsid w:val="4432163F"/>
    <w:rsid w:val="44476729"/>
    <w:rsid w:val="44915BF6"/>
    <w:rsid w:val="4546743F"/>
    <w:rsid w:val="45A13141"/>
    <w:rsid w:val="46966FC2"/>
    <w:rsid w:val="46E01A3C"/>
    <w:rsid w:val="46F56910"/>
    <w:rsid w:val="47EE36B2"/>
    <w:rsid w:val="485E76F8"/>
    <w:rsid w:val="487A531F"/>
    <w:rsid w:val="48AF6D87"/>
    <w:rsid w:val="49CE6C17"/>
    <w:rsid w:val="4A437992"/>
    <w:rsid w:val="4A657908"/>
    <w:rsid w:val="4BE40D01"/>
    <w:rsid w:val="4CDE060B"/>
    <w:rsid w:val="4E2E60EA"/>
    <w:rsid w:val="4E3D5914"/>
    <w:rsid w:val="4E461B89"/>
    <w:rsid w:val="4E834801"/>
    <w:rsid w:val="4F4C1097"/>
    <w:rsid w:val="4F844CD5"/>
    <w:rsid w:val="4F9D18F3"/>
    <w:rsid w:val="4FB01626"/>
    <w:rsid w:val="4FF32FA8"/>
    <w:rsid w:val="50EA0B03"/>
    <w:rsid w:val="512A57AB"/>
    <w:rsid w:val="515A3854"/>
    <w:rsid w:val="5276471A"/>
    <w:rsid w:val="52AF2333"/>
    <w:rsid w:val="52B20F97"/>
    <w:rsid w:val="52CC47C0"/>
    <w:rsid w:val="52E07D49"/>
    <w:rsid w:val="5374510A"/>
    <w:rsid w:val="53B81EE5"/>
    <w:rsid w:val="53F5005F"/>
    <w:rsid w:val="550C37A2"/>
    <w:rsid w:val="563253F0"/>
    <w:rsid w:val="563D2137"/>
    <w:rsid w:val="565D015E"/>
    <w:rsid w:val="56836AB2"/>
    <w:rsid w:val="56BC2DE3"/>
    <w:rsid w:val="56D42C4D"/>
    <w:rsid w:val="56E90F5B"/>
    <w:rsid w:val="56EF512A"/>
    <w:rsid w:val="57301D47"/>
    <w:rsid w:val="573B211D"/>
    <w:rsid w:val="57487036"/>
    <w:rsid w:val="575D6537"/>
    <w:rsid w:val="57800B40"/>
    <w:rsid w:val="57CD2DFE"/>
    <w:rsid w:val="58244FE5"/>
    <w:rsid w:val="583628E4"/>
    <w:rsid w:val="584B13F6"/>
    <w:rsid w:val="59217B49"/>
    <w:rsid w:val="59656964"/>
    <w:rsid w:val="59A860E0"/>
    <w:rsid w:val="59D926D2"/>
    <w:rsid w:val="5A034680"/>
    <w:rsid w:val="5A611546"/>
    <w:rsid w:val="5AA52A54"/>
    <w:rsid w:val="5B070568"/>
    <w:rsid w:val="5B856EE5"/>
    <w:rsid w:val="5BC05975"/>
    <w:rsid w:val="5BD743DE"/>
    <w:rsid w:val="5C3A1541"/>
    <w:rsid w:val="5CA15F65"/>
    <w:rsid w:val="5D63281F"/>
    <w:rsid w:val="5D706898"/>
    <w:rsid w:val="5D731EE5"/>
    <w:rsid w:val="5D7C7100"/>
    <w:rsid w:val="5D89238E"/>
    <w:rsid w:val="5D8C28DB"/>
    <w:rsid w:val="5DA30A1C"/>
    <w:rsid w:val="5E1A42E3"/>
    <w:rsid w:val="5E3F6556"/>
    <w:rsid w:val="5E4A7A0E"/>
    <w:rsid w:val="5E8C3C37"/>
    <w:rsid w:val="5EBC6D64"/>
    <w:rsid w:val="5ED03402"/>
    <w:rsid w:val="5F182B4A"/>
    <w:rsid w:val="5FD163AE"/>
    <w:rsid w:val="60057BEA"/>
    <w:rsid w:val="60912DAE"/>
    <w:rsid w:val="6098413C"/>
    <w:rsid w:val="60B44CEE"/>
    <w:rsid w:val="60B460AF"/>
    <w:rsid w:val="60CF38D6"/>
    <w:rsid w:val="60EB5DD7"/>
    <w:rsid w:val="619747AF"/>
    <w:rsid w:val="621C336D"/>
    <w:rsid w:val="62864468"/>
    <w:rsid w:val="629E5C56"/>
    <w:rsid w:val="62A05F08"/>
    <w:rsid w:val="62B17737"/>
    <w:rsid w:val="62EA5BC6"/>
    <w:rsid w:val="630737FB"/>
    <w:rsid w:val="638C3AFD"/>
    <w:rsid w:val="63C25DAA"/>
    <w:rsid w:val="64126CC6"/>
    <w:rsid w:val="64640401"/>
    <w:rsid w:val="648F0582"/>
    <w:rsid w:val="64CB581A"/>
    <w:rsid w:val="64F540D9"/>
    <w:rsid w:val="6559245A"/>
    <w:rsid w:val="65622F6B"/>
    <w:rsid w:val="658C415A"/>
    <w:rsid w:val="65BD6D5B"/>
    <w:rsid w:val="65EA6D2F"/>
    <w:rsid w:val="66415650"/>
    <w:rsid w:val="66C53C4A"/>
    <w:rsid w:val="673B297E"/>
    <w:rsid w:val="678F323C"/>
    <w:rsid w:val="67F105D6"/>
    <w:rsid w:val="67FD6F7B"/>
    <w:rsid w:val="68233EA0"/>
    <w:rsid w:val="68A30209"/>
    <w:rsid w:val="68C86C57"/>
    <w:rsid w:val="69C2222A"/>
    <w:rsid w:val="6AA57F27"/>
    <w:rsid w:val="6AAB5B80"/>
    <w:rsid w:val="6BEE37AA"/>
    <w:rsid w:val="6CC37EB5"/>
    <w:rsid w:val="6D1139EB"/>
    <w:rsid w:val="6D27066C"/>
    <w:rsid w:val="6D3457FF"/>
    <w:rsid w:val="6E0E1EE1"/>
    <w:rsid w:val="6E2A4841"/>
    <w:rsid w:val="6EEF19E2"/>
    <w:rsid w:val="6F3D1DEF"/>
    <w:rsid w:val="6F963F3C"/>
    <w:rsid w:val="6FB940CF"/>
    <w:rsid w:val="6FE54B28"/>
    <w:rsid w:val="71276AD1"/>
    <w:rsid w:val="7160445C"/>
    <w:rsid w:val="71630B2A"/>
    <w:rsid w:val="71697143"/>
    <w:rsid w:val="716C6A50"/>
    <w:rsid w:val="717476DC"/>
    <w:rsid w:val="717958C4"/>
    <w:rsid w:val="719C7804"/>
    <w:rsid w:val="71BE777B"/>
    <w:rsid w:val="7207397B"/>
    <w:rsid w:val="729E3A33"/>
    <w:rsid w:val="72C43B37"/>
    <w:rsid w:val="73670AB5"/>
    <w:rsid w:val="737D1DEA"/>
    <w:rsid w:val="74150FF5"/>
    <w:rsid w:val="748B2EA1"/>
    <w:rsid w:val="74AE0F56"/>
    <w:rsid w:val="751122B7"/>
    <w:rsid w:val="76391AC6"/>
    <w:rsid w:val="7672193D"/>
    <w:rsid w:val="770403EE"/>
    <w:rsid w:val="771C50B0"/>
    <w:rsid w:val="771E190D"/>
    <w:rsid w:val="77832F9B"/>
    <w:rsid w:val="77C519A6"/>
    <w:rsid w:val="78063C29"/>
    <w:rsid w:val="78312522"/>
    <w:rsid w:val="784004D1"/>
    <w:rsid w:val="78725E9B"/>
    <w:rsid w:val="7877129B"/>
    <w:rsid w:val="787B0173"/>
    <w:rsid w:val="79302291"/>
    <w:rsid w:val="797D7F1B"/>
    <w:rsid w:val="79CB65A5"/>
    <w:rsid w:val="79F44E86"/>
    <w:rsid w:val="79FE7AE0"/>
    <w:rsid w:val="7A083C89"/>
    <w:rsid w:val="7AA15E8B"/>
    <w:rsid w:val="7B424553"/>
    <w:rsid w:val="7BB96559"/>
    <w:rsid w:val="7BF25D18"/>
    <w:rsid w:val="7C304A31"/>
    <w:rsid w:val="7C6520EB"/>
    <w:rsid w:val="7C85225C"/>
    <w:rsid w:val="7D1943FF"/>
    <w:rsid w:val="7D7347EF"/>
    <w:rsid w:val="7D9755D5"/>
    <w:rsid w:val="7D9B14E2"/>
    <w:rsid w:val="7DB761A8"/>
    <w:rsid w:val="7DD52B5A"/>
    <w:rsid w:val="7E522673"/>
    <w:rsid w:val="7E81400A"/>
    <w:rsid w:val="7EA63A70"/>
    <w:rsid w:val="7F3040A4"/>
    <w:rsid w:val="7FE7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qFormat="1" w:unhideWhenUsed="0" w:uiPriority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4"/>
    <w:next w:val="1"/>
    <w:qFormat/>
    <w:uiPriority w:val="0"/>
    <w:pPr>
      <w:keepNext/>
      <w:keepLines/>
      <w:snapToGrid w:val="0"/>
      <w:spacing w:beforeLines="50" w:afterLines="50"/>
      <w:outlineLvl w:val="1"/>
    </w:pPr>
    <w:rPr>
      <w:rFonts w:eastAsia="楷体_GB2312" w:cs="MS Gothic"/>
      <w:snapToGrid w:val="0"/>
      <w:kern w:val="0"/>
      <w:sz w:val="32"/>
      <w:szCs w:val="28"/>
    </w:rPr>
  </w:style>
  <w:style w:type="paragraph" w:styleId="4">
    <w:name w:val="heading 3"/>
    <w:basedOn w:val="1"/>
    <w:next w:val="1"/>
    <w:unhideWhenUsed/>
    <w:qFormat/>
    <w:uiPriority w:val="0"/>
    <w:pPr>
      <w:outlineLvl w:val="2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outlineLvl w:val="3"/>
    </w:pPr>
    <w:rPr>
      <w:b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eastAsia="仿宋_GB2312"/>
      <w:kern w:val="0"/>
      <w:sz w:val="28"/>
      <w:szCs w:val="20"/>
    </w:rPr>
  </w:style>
  <w:style w:type="paragraph" w:styleId="7">
    <w:name w:val="Body Text"/>
    <w:basedOn w:val="1"/>
    <w:next w:val="1"/>
    <w:qFormat/>
    <w:uiPriority w:val="99"/>
    <w:rPr>
      <w:sz w:val="28"/>
      <w:szCs w:val="28"/>
    </w:rPr>
  </w:style>
  <w:style w:type="paragraph" w:styleId="8">
    <w:name w:val="Body Text Indent"/>
    <w:basedOn w:val="1"/>
    <w:next w:val="9"/>
    <w:unhideWhenUsed/>
    <w:qFormat/>
    <w:uiPriority w:val="99"/>
    <w:pPr>
      <w:spacing w:after="120"/>
      <w:ind w:left="420" w:leftChars="200"/>
    </w:pPr>
  </w:style>
  <w:style w:type="paragraph" w:styleId="9">
    <w:name w:val="toc 5"/>
    <w:basedOn w:val="1"/>
    <w:next w:val="1"/>
    <w:semiHidden/>
    <w:qFormat/>
    <w:uiPriority w:val="0"/>
    <w:pPr>
      <w:ind w:left="1120"/>
      <w:jc w:val="left"/>
    </w:pPr>
    <w:rPr>
      <w:sz w:val="18"/>
      <w:szCs w:val="18"/>
    </w:rPr>
  </w:style>
  <w:style w:type="paragraph" w:styleId="10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1">
    <w:name w:val="Date"/>
    <w:basedOn w:val="1"/>
    <w:next w:val="1"/>
    <w:link w:val="47"/>
    <w:qFormat/>
    <w:uiPriority w:val="0"/>
    <w:pPr>
      <w:ind w:left="100" w:leftChars="2500"/>
    </w:pPr>
    <w:rPr>
      <w:rFonts w:ascii="Times New Roman" w:hAnsi="Times New Roman"/>
      <w:b/>
      <w:bCs/>
      <w:sz w:val="28"/>
    </w:rPr>
  </w:style>
  <w:style w:type="paragraph" w:styleId="12">
    <w:name w:val="Body Text Indent 2"/>
    <w:basedOn w:val="1"/>
    <w:next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13">
    <w:name w:val="Balloon Text"/>
    <w:basedOn w:val="1"/>
    <w:link w:val="33"/>
    <w:qFormat/>
    <w:uiPriority w:val="0"/>
    <w:rPr>
      <w:sz w:val="18"/>
      <w:szCs w:val="18"/>
    </w:rPr>
  </w:style>
  <w:style w:type="paragraph" w:styleId="14">
    <w:name w:val="footer"/>
    <w:basedOn w:val="1"/>
    <w:next w:val="15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5">
    <w:name w:val="Normal (Web)"/>
    <w:basedOn w:val="1"/>
    <w:next w:val="16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6">
    <w:name w:val="toc 84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39"/>
    <w:pPr>
      <w:jc w:val="left"/>
    </w:pPr>
    <w:rPr>
      <w:rFonts w:ascii="宋体"/>
      <w:b/>
      <w:bCs/>
      <w:caps/>
      <w:sz w:val="20"/>
      <w:szCs w:val="20"/>
    </w:rPr>
  </w:style>
  <w:style w:type="paragraph" w:styleId="19">
    <w:name w:val="Body Text Indent 3"/>
    <w:basedOn w:val="1"/>
    <w:qFormat/>
    <w:uiPriority w:val="0"/>
    <w:pPr>
      <w:ind w:firstLine="630"/>
    </w:pPr>
    <w:rPr>
      <w:rFonts w:ascii="Times New Roman" w:hAnsi="Times New Roman" w:eastAsia="仿宋_GB2312"/>
      <w:sz w:val="28"/>
    </w:rPr>
  </w:style>
  <w:style w:type="paragraph" w:styleId="20">
    <w:name w:val="Body Text First Indent"/>
    <w:basedOn w:val="7"/>
    <w:next w:val="1"/>
    <w:qFormat/>
    <w:uiPriority w:val="0"/>
    <w:pPr>
      <w:spacing w:after="120"/>
      <w:ind w:firstLine="420" w:firstLineChars="100"/>
    </w:pPr>
  </w:style>
  <w:style w:type="paragraph" w:styleId="21">
    <w:name w:val="Body Text First Indent 2"/>
    <w:basedOn w:val="8"/>
    <w:next w:val="22"/>
    <w:unhideWhenUsed/>
    <w:qFormat/>
    <w:uiPriority w:val="99"/>
    <w:pPr>
      <w:ind w:firstLine="420" w:firstLineChars="200"/>
    </w:pPr>
  </w:style>
  <w:style w:type="paragraph" w:customStyle="1" w:styleId="22">
    <w:name w:val="正文2"/>
    <w:basedOn w:val="1"/>
    <w:qFormat/>
    <w:uiPriority w:val="0"/>
    <w:pPr>
      <w:spacing w:line="440" w:lineRule="atLeast"/>
      <w:ind w:firstLine="567"/>
    </w:pPr>
    <w:rPr>
      <w:sz w:val="24"/>
      <w:szCs w:val="20"/>
    </w:rPr>
  </w:style>
  <w:style w:type="paragraph" w:customStyle="1" w:styleId="25">
    <w:name w:val="Default1"/>
    <w:semiHidden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snapToGrid w:val="0"/>
      <w:color w:val="000000"/>
      <w:sz w:val="24"/>
      <w:szCs w:val="24"/>
      <w:lang w:val="en-US" w:eastAsia="zh-CN" w:bidi="ar-SA"/>
    </w:rPr>
  </w:style>
  <w:style w:type="paragraph" w:customStyle="1" w:styleId="26">
    <w:name w:val="样式 首行缩进:  2 字符"/>
    <w:basedOn w:val="1"/>
    <w:qFormat/>
    <w:uiPriority w:val="0"/>
    <w:pPr>
      <w:widowControl/>
      <w:tabs>
        <w:tab w:val="left" w:pos="0"/>
      </w:tabs>
      <w:spacing w:line="560" w:lineRule="exact"/>
      <w:ind w:firstLine="560" w:firstLineChars="200"/>
      <w:jc w:val="left"/>
    </w:pPr>
    <w:rPr>
      <w:rFonts w:ascii="宋体" w:hAnsi="宋体" w:eastAsia="仿宋_GB2312" w:cs="宋体"/>
      <w:spacing w:val="12"/>
      <w:kern w:val="0"/>
      <w:sz w:val="28"/>
      <w:szCs w:val="20"/>
    </w:rPr>
  </w:style>
  <w:style w:type="paragraph" w:customStyle="1" w:styleId="27">
    <w:name w:val="Default"/>
    <w:basedOn w:val="28"/>
    <w:next w:val="21"/>
    <w:qFormat/>
    <w:uiPriority w:val="0"/>
    <w:pPr>
      <w:autoSpaceDE w:val="0"/>
      <w:autoSpaceDN w:val="0"/>
    </w:pPr>
    <w:rPr>
      <w:rFonts w:hint="eastAsia" w:ascii="宋体"/>
      <w:sz w:val="24"/>
    </w:rPr>
  </w:style>
  <w:style w:type="paragraph" w:customStyle="1" w:styleId="28">
    <w:name w:val="批注文字1"/>
    <w:qFormat/>
    <w:uiPriority w:val="0"/>
    <w:pPr>
      <w:widowControl w:val="0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  <w:style w:type="paragraph" w:customStyle="1" w:styleId="29">
    <w:name w:val="li_正文"/>
    <w:basedOn w:val="1"/>
    <w:qFormat/>
    <w:uiPriority w:val="0"/>
    <w:pPr>
      <w:topLinePunct/>
      <w:adjustRightInd w:val="0"/>
      <w:snapToGrid w:val="0"/>
      <w:spacing w:line="360" w:lineRule="auto"/>
      <w:ind w:firstLine="700" w:firstLineChars="250"/>
    </w:pPr>
    <w:rPr>
      <w:rFonts w:ascii="宋体" w:hAnsi="宋体"/>
      <w:sz w:val="28"/>
      <w:szCs w:val="28"/>
    </w:rPr>
  </w:style>
  <w:style w:type="paragraph" w:customStyle="1" w:styleId="30">
    <w:name w:val="样式 标题 2"/>
    <w:basedOn w:val="3"/>
    <w:qFormat/>
    <w:uiPriority w:val="0"/>
    <w:pPr>
      <w:spacing w:beforeLines="0" w:afterLines="0"/>
    </w:pPr>
    <w:rPr>
      <w:rFonts w:ascii="Arial" w:hAnsi="Arial" w:eastAsia="宋体" w:cs="宋体"/>
      <w:snapToGrid/>
      <w:kern w:val="2"/>
      <w:szCs w:val="32"/>
      <w:lang w:val="zh-CN"/>
    </w:rPr>
  </w:style>
  <w:style w:type="paragraph" w:customStyle="1" w:styleId="31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33">
    <w:name w:val="批注框文本 字符"/>
    <w:basedOn w:val="24"/>
    <w:link w:val="13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34">
    <w:name w:val="111"/>
    <w:basedOn w:val="1"/>
    <w:qFormat/>
    <w:uiPriority w:val="99"/>
    <w:pPr>
      <w:widowControl/>
      <w:tabs>
        <w:tab w:val="left" w:pos="0"/>
      </w:tabs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5">
    <w:name w:val="表头 Char Char Char"/>
    <w:basedOn w:val="24"/>
    <w:qFormat/>
    <w:uiPriority w:val="0"/>
    <w:rPr>
      <w:rFonts w:ascii="宋体" w:hAnsi="Tahoma" w:eastAsia="宋体"/>
      <w:snapToGrid w:val="0"/>
      <w:spacing w:val="6"/>
      <w:kern w:val="10"/>
      <w:sz w:val="24"/>
    </w:rPr>
  </w:style>
  <w:style w:type="paragraph" w:customStyle="1" w:styleId="36">
    <w:name w:val="表格居中"/>
    <w:basedOn w:val="37"/>
    <w:qFormat/>
    <w:uiPriority w:val="0"/>
    <w:pPr>
      <w:jc w:val="center"/>
    </w:pPr>
  </w:style>
  <w:style w:type="paragraph" w:customStyle="1" w:styleId="37">
    <w:name w:val="表格一"/>
    <w:basedOn w:val="1"/>
    <w:qFormat/>
    <w:uiPriority w:val="0"/>
    <w:pPr>
      <w:autoSpaceDE w:val="0"/>
      <w:autoSpaceDN w:val="0"/>
      <w:adjustRightInd w:val="0"/>
      <w:snapToGrid w:val="0"/>
      <w:spacing w:line="240" w:lineRule="atLeast"/>
      <w:jc w:val="left"/>
    </w:pPr>
    <w:rPr>
      <w:rFonts w:hAnsi="宋体"/>
      <w:color w:val="000000"/>
      <w:kern w:val="1"/>
      <w:szCs w:val="21"/>
    </w:rPr>
  </w:style>
  <w:style w:type="paragraph" w:customStyle="1" w:styleId="38">
    <w:name w:val="伟灿工贸-表格文字"/>
    <w:basedOn w:val="1"/>
    <w:qFormat/>
    <w:uiPriority w:val="0"/>
    <w:pPr>
      <w:jc w:val="center"/>
    </w:pPr>
    <w:rPr>
      <w:rFonts w:hint="eastAsia" w:ascii="宋体" w:hAnsi="宋体" w:cs="宋体"/>
      <w:szCs w:val="21"/>
    </w:rPr>
  </w:style>
  <w:style w:type="paragraph" w:customStyle="1" w:styleId="39">
    <w:name w:val="QQ表正文"/>
    <w:basedOn w:val="1"/>
    <w:qFormat/>
    <w:uiPriority w:val="0"/>
    <w:pPr>
      <w:widowControl/>
      <w:snapToGrid w:val="0"/>
      <w:spacing w:after="120" w:line="520" w:lineRule="exact"/>
      <w:ind w:firstLine="480" w:firstLineChars="200"/>
    </w:pPr>
    <w:rPr>
      <w:rFonts w:ascii="Times New Roman" w:hAnsiTheme="minorHAnsi" w:eastAsiaTheme="minorEastAsia" w:cstheme="minorBidi"/>
      <w:kern w:val="0"/>
      <w:sz w:val="28"/>
      <w:szCs w:val="21"/>
    </w:rPr>
  </w:style>
  <w:style w:type="paragraph" w:customStyle="1" w:styleId="40">
    <w:name w:val="表名、图名"/>
    <w:basedOn w:val="1"/>
    <w:next w:val="1"/>
    <w:qFormat/>
    <w:uiPriority w:val="0"/>
    <w:pPr>
      <w:jc w:val="center"/>
    </w:pPr>
    <w:rPr>
      <w:b/>
      <w:bCs/>
    </w:rPr>
  </w:style>
  <w:style w:type="paragraph" w:customStyle="1" w:styleId="41">
    <w:name w:val="标题 三"/>
    <w:basedOn w:val="1"/>
    <w:qFormat/>
    <w:uiPriority w:val="0"/>
    <w:pPr>
      <w:tabs>
        <w:tab w:val="left" w:pos="3544"/>
      </w:tabs>
      <w:snapToGrid w:val="0"/>
      <w:spacing w:line="360" w:lineRule="auto"/>
      <w:outlineLvl w:val="2"/>
    </w:pPr>
    <w:rPr>
      <w:rFonts w:ascii="宋体" w:hAnsi="宋体"/>
      <w:b/>
      <w:bCs/>
      <w:sz w:val="28"/>
      <w:szCs w:val="28"/>
    </w:rPr>
  </w:style>
  <w:style w:type="paragraph" w:customStyle="1" w:styleId="42">
    <w:name w:val="ENFI正文"/>
    <w:basedOn w:val="1"/>
    <w:qFormat/>
    <w:uiPriority w:val="0"/>
    <w:pPr>
      <w:adjustRightInd w:val="0"/>
      <w:snapToGrid w:val="0"/>
      <w:ind w:firstLine="567"/>
    </w:pPr>
    <w:rPr>
      <w:rFonts w:eastAsia="仿宋_GB2312"/>
      <w:snapToGrid w:val="0"/>
      <w:color w:val="000000"/>
      <w:kern w:val="0"/>
      <w:sz w:val="28"/>
    </w:rPr>
  </w:style>
  <w:style w:type="paragraph" w:customStyle="1" w:styleId="43">
    <w:name w:val="工艺序号"/>
    <w:basedOn w:val="1"/>
    <w:qFormat/>
    <w:uiPriority w:val="0"/>
    <w:pPr>
      <w:numPr>
        <w:ilvl w:val="0"/>
        <w:numId w:val="1"/>
      </w:numPr>
    </w:pPr>
    <w:rPr>
      <w:b/>
      <w:bCs/>
    </w:rPr>
  </w:style>
  <w:style w:type="paragraph" w:customStyle="1" w:styleId="44">
    <w:name w:val="伟灿-表格文字"/>
    <w:basedOn w:val="1"/>
    <w:qFormat/>
    <w:uiPriority w:val="0"/>
    <w:pPr>
      <w:jc w:val="center"/>
    </w:pPr>
    <w:rPr>
      <w:rFonts w:hint="eastAsia" w:ascii="宋体" w:hAnsi="宋体" w:cs="宋体"/>
      <w:szCs w:val="21"/>
    </w:rPr>
  </w:style>
  <w:style w:type="paragraph" w:styleId="45">
    <w:name w:val="List Paragraph"/>
    <w:basedOn w:val="1"/>
    <w:qFormat/>
    <w:uiPriority w:val="99"/>
    <w:pPr>
      <w:ind w:firstLine="420" w:firstLineChars="200"/>
    </w:pPr>
  </w:style>
  <w:style w:type="paragraph" w:customStyle="1" w:styleId="46">
    <w:name w:val="表格1（标题）"/>
    <w:basedOn w:val="1"/>
    <w:qFormat/>
    <w:uiPriority w:val="0"/>
    <w:pPr>
      <w:widowControl/>
      <w:suppressAutoHyphens/>
      <w:adjustRightInd w:val="0"/>
      <w:snapToGrid w:val="0"/>
      <w:spacing w:line="360" w:lineRule="auto"/>
      <w:jc w:val="center"/>
      <w:textAlignment w:val="center"/>
      <w:outlineLvl w:val="8"/>
    </w:pPr>
    <w:rPr>
      <w:rFonts w:ascii="Times New Roman" w:hAnsi="Times New Roman" w:cs="黑体"/>
      <w:b/>
      <w:bCs/>
      <w:color w:val="000000"/>
      <w:kern w:val="21"/>
      <w:sz w:val="24"/>
    </w:rPr>
  </w:style>
  <w:style w:type="character" w:customStyle="1" w:styleId="47">
    <w:name w:val="日期 字符"/>
    <w:basedOn w:val="24"/>
    <w:link w:val="11"/>
    <w:qFormat/>
    <w:uiPriority w:val="0"/>
    <w:rPr>
      <w:b/>
      <w:bCs/>
      <w:kern w:val="2"/>
      <w:sz w:val="28"/>
      <w:szCs w:val="24"/>
    </w:rPr>
  </w:style>
  <w:style w:type="paragraph" w:customStyle="1" w:styleId="48">
    <w:name w:val="k-正文序列"/>
    <w:basedOn w:val="1"/>
    <w:qFormat/>
    <w:uiPriority w:val="0"/>
    <w:pPr>
      <w:numPr>
        <w:ilvl w:val="0"/>
        <w:numId w:val="2"/>
      </w:numPr>
    </w:pPr>
    <w:rPr>
      <w:rFonts w:hint="eastAsia"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798</Words>
  <Characters>1074</Characters>
  <Lines>8</Lines>
  <Paragraphs>2</Paragraphs>
  <TotalTime>1</TotalTime>
  <ScaleCrop>false</ScaleCrop>
  <LinksUpToDate>false</LinksUpToDate>
  <CharactersWithSpaces>1074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2020-04-30T03:42:00Z</dcterms:created>
  <dc:creator>Administrator</dc:creator>
  <cp:lastModifiedBy>叶子</cp:lastModifiedBy>
  <dcterms:modified xsi:type="dcterms:W3CDTF">2026-07-16T03:02:54Z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FE172B9D59254FFB847A0FE2C91B4972_13</vt:lpwstr>
  </property>
  <property fmtid="{D5CDD505-2E9C-101B-9397-08002B2CF9AE}" pid="4" name="KSOTemplateDocerSaveRecord">
    <vt:lpwstr>eyJoZGlkIjoiNDgzMjdiZTZhYWEwMDUyMzMwMzdhZWM2ZmNjMGMzMDkiLCJ1c2VySWQiOiI1NzcyNjAwMzgifQ==</vt:lpwstr>
  </property>
</Properties>
</file>