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1015"/>
        <w:gridCol w:w="4674"/>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4"/>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安远县双芫乡昌顺加油站安全设施诊断设计整改项目安全验收评价</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4"/>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6</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620" w:type="dxa"/>
            <w:gridSpan w:val="5"/>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gridSpan w:val="2"/>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auto"/>
            <w:vAlign w:val="center"/>
          </w:tcPr>
          <w:p w14:paraId="56565DEB">
            <w:pPr>
              <w:spacing w:before="156" w:beforeLines="50" w:after="156" w:afterLines="50" w:line="400" w:lineRule="exact"/>
              <w:ind w:firstLine="0" w:firstLineChars="0"/>
              <w:jc w:val="center"/>
              <w:rPr>
                <w:rFonts w:hint="default" w:ascii="Calibri" w:hAnsi="Calibri" w:eastAsia="宋体" w:cs="Times New Roman"/>
                <w:color w:val="auto"/>
                <w:kern w:val="2"/>
                <w:sz w:val="24"/>
                <w:szCs w:val="24"/>
                <w:lang w:val="en-US" w:eastAsia="zh-CN" w:bidi="ar-SA"/>
              </w:rPr>
            </w:pPr>
            <w:r>
              <w:rPr>
                <w:rFonts w:hint="eastAsia" w:ascii="Calibri" w:hAnsi="Calibri" w:eastAsia="宋体" w:cs="Times New Roman"/>
                <w:color w:val="auto"/>
                <w:sz w:val="24"/>
                <w:szCs w:val="24"/>
                <w:lang w:val="en-US" w:eastAsia="zh-CN"/>
              </w:rPr>
              <w:t>蓝家财</w:t>
            </w:r>
          </w:p>
        </w:tc>
        <w:tc>
          <w:tcPr>
            <w:tcW w:w="5689" w:type="dxa"/>
            <w:gridSpan w:val="2"/>
            <w:tcBorders>
              <w:tl2br w:val="nil"/>
              <w:tr2bl w:val="nil"/>
            </w:tcBorders>
            <w:shd w:val="clear" w:color="auto" w:fill="FFFFFF"/>
            <w:vAlign w:val="center"/>
          </w:tcPr>
          <w:p w14:paraId="74203271">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CAWS530000230200862</w:t>
            </w:r>
          </w:p>
        </w:tc>
        <w:tc>
          <w:tcPr>
            <w:tcW w:w="2508" w:type="dxa"/>
            <w:tcBorders>
              <w:tl2br w:val="nil"/>
              <w:tr2bl w:val="nil"/>
            </w:tcBorders>
            <w:shd w:val="clear" w:color="auto" w:fill="FFFFFF"/>
            <w:vAlign w:val="center"/>
          </w:tcPr>
          <w:p w14:paraId="3EA9A323">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乔贯德</w:t>
            </w:r>
          </w:p>
        </w:tc>
        <w:tc>
          <w:tcPr>
            <w:tcW w:w="5689" w:type="dxa"/>
            <w:gridSpan w:val="2"/>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1700000000300087</w:t>
            </w:r>
          </w:p>
        </w:tc>
        <w:tc>
          <w:tcPr>
            <w:tcW w:w="2508"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程冬红</w:t>
            </w:r>
          </w:p>
        </w:tc>
        <w:tc>
          <w:tcPr>
            <w:tcW w:w="5689" w:type="dxa"/>
            <w:gridSpan w:val="2"/>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1500000000301714</w:t>
            </w:r>
          </w:p>
        </w:tc>
        <w:tc>
          <w:tcPr>
            <w:tcW w:w="2508"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026812</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auto"/>
            <w:vAlign w:val="center"/>
          </w:tcPr>
          <w:p w14:paraId="07C8D395">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于志勇</w:t>
            </w:r>
          </w:p>
        </w:tc>
        <w:tc>
          <w:tcPr>
            <w:tcW w:w="5689" w:type="dxa"/>
            <w:gridSpan w:val="2"/>
            <w:tcBorders>
              <w:tl2br w:val="nil"/>
              <w:tr2bl w:val="nil"/>
            </w:tcBorders>
            <w:shd w:val="clear" w:color="auto" w:fill="auto"/>
            <w:vAlign w:val="center"/>
          </w:tcPr>
          <w:p w14:paraId="1F79760F">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2014033230330000003310230030</w:t>
            </w:r>
          </w:p>
        </w:tc>
        <w:tc>
          <w:tcPr>
            <w:tcW w:w="2508" w:type="dxa"/>
            <w:tcBorders>
              <w:tl2br w:val="nil"/>
              <w:tr2bl w:val="nil"/>
            </w:tcBorders>
            <w:shd w:val="clear" w:color="auto" w:fill="auto"/>
            <w:vAlign w:val="center"/>
          </w:tcPr>
          <w:p w14:paraId="05E42F8E">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51190209624</w:t>
            </w:r>
          </w:p>
        </w:tc>
      </w:tr>
      <w:tr w14:paraId="2E47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F732C06">
            <w:pPr>
              <w:jc w:val="center"/>
              <w:rPr>
                <w:rFonts w:ascii="宋体" w:hAnsi="宋体" w:cs="宋体"/>
                <w:sz w:val="24"/>
              </w:rPr>
            </w:pPr>
          </w:p>
        </w:tc>
        <w:tc>
          <w:tcPr>
            <w:tcW w:w="817" w:type="dxa"/>
            <w:tcBorders>
              <w:tl2br w:val="nil"/>
              <w:tr2bl w:val="nil"/>
            </w:tcBorders>
            <w:shd w:val="clear" w:color="auto" w:fill="auto"/>
            <w:vAlign w:val="center"/>
          </w:tcPr>
          <w:p w14:paraId="54F4E8F4">
            <w:pPr>
              <w:spacing w:before="156" w:beforeLines="50" w:after="156" w:afterLines="50" w:line="400" w:lineRule="exact"/>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刘二平</w:t>
            </w:r>
          </w:p>
        </w:tc>
        <w:tc>
          <w:tcPr>
            <w:tcW w:w="5689" w:type="dxa"/>
            <w:gridSpan w:val="2"/>
            <w:tcBorders>
              <w:tl2br w:val="nil"/>
              <w:tr2bl w:val="nil"/>
            </w:tcBorders>
            <w:shd w:val="clear" w:color="auto" w:fill="auto"/>
            <w:vAlign w:val="center"/>
          </w:tcPr>
          <w:p w14:paraId="00C17882">
            <w:pPr>
              <w:spacing w:before="156" w:beforeLines="50" w:after="156" w:afterLines="50" w:line="400" w:lineRule="exact"/>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03320241036000000887</w:t>
            </w:r>
          </w:p>
        </w:tc>
        <w:tc>
          <w:tcPr>
            <w:tcW w:w="2508" w:type="dxa"/>
            <w:tcBorders>
              <w:tl2br w:val="nil"/>
              <w:tr2bl w:val="nil"/>
            </w:tcBorders>
            <w:shd w:val="clear" w:color="auto" w:fill="auto"/>
            <w:vAlign w:val="center"/>
          </w:tcPr>
          <w:p w14:paraId="3D85FB31">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37250438462</w:t>
            </w:r>
          </w:p>
        </w:tc>
      </w:tr>
      <w:tr w14:paraId="3109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AC23D0">
            <w:pPr>
              <w:jc w:val="center"/>
              <w:rPr>
                <w:rFonts w:ascii="宋体" w:hAnsi="宋体" w:cs="宋体"/>
                <w:sz w:val="24"/>
              </w:rPr>
            </w:pPr>
          </w:p>
        </w:tc>
        <w:tc>
          <w:tcPr>
            <w:tcW w:w="817" w:type="dxa"/>
            <w:tcBorders>
              <w:tl2br w:val="nil"/>
              <w:tr2bl w:val="nil"/>
            </w:tcBorders>
            <w:shd w:val="clear" w:color="auto" w:fill="auto"/>
            <w:vAlign w:val="center"/>
          </w:tcPr>
          <w:p w14:paraId="4FE08C8F">
            <w:pPr>
              <w:spacing w:before="156" w:beforeLines="50" w:after="156" w:afterLines="50" w:line="400" w:lineRule="exact"/>
              <w:ind w:firstLine="0" w:firstLineChars="0"/>
              <w:jc w:val="center"/>
              <w:rPr>
                <w:rFonts w:hint="eastAsia"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徐顺星</w:t>
            </w:r>
          </w:p>
        </w:tc>
        <w:tc>
          <w:tcPr>
            <w:tcW w:w="5689" w:type="dxa"/>
            <w:gridSpan w:val="2"/>
            <w:tcBorders>
              <w:tl2br w:val="nil"/>
              <w:tr2bl w:val="nil"/>
            </w:tcBorders>
            <w:shd w:val="clear" w:color="auto" w:fill="auto"/>
            <w:vAlign w:val="center"/>
          </w:tcPr>
          <w:p w14:paraId="2F53413F">
            <w:pPr>
              <w:spacing w:before="156" w:beforeLines="50" w:after="156" w:afterLines="50" w:line="400" w:lineRule="exact"/>
              <w:ind w:firstLine="0" w:firstLineChars="0"/>
              <w:jc w:val="center"/>
              <w:rPr>
                <w:rFonts w:hint="eastAsia"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S011041000110192002229</w:t>
            </w:r>
          </w:p>
        </w:tc>
        <w:tc>
          <w:tcPr>
            <w:tcW w:w="2508" w:type="dxa"/>
            <w:tcBorders>
              <w:tl2br w:val="nil"/>
              <w:tr2bl w:val="nil"/>
            </w:tcBorders>
            <w:shd w:val="clear" w:color="auto" w:fill="auto"/>
            <w:vAlign w:val="center"/>
          </w:tcPr>
          <w:p w14:paraId="31B47B28">
            <w:pPr>
              <w:spacing w:before="156" w:beforeLines="50" w:after="156" w:afterLines="50" w:line="400" w:lineRule="exact"/>
              <w:ind w:firstLine="0" w:firstLineChars="0"/>
              <w:jc w:val="center"/>
              <w:rPr>
                <w:rFonts w:hint="default" w:ascii="宋体" w:hAnsi="宋体" w:eastAsia="宋体" w:cs="宋体"/>
                <w:color w:val="auto"/>
                <w:kern w:val="2"/>
                <w:sz w:val="24"/>
                <w:szCs w:val="24"/>
                <w:lang w:val="en-US" w:eastAsia="zh-CN" w:bidi="ar-SA"/>
              </w:rPr>
            </w:pPr>
            <w:r>
              <w:rPr>
                <w:rFonts w:hint="default" w:ascii="宋体" w:hAnsi="宋体" w:eastAsia="宋体" w:cs="宋体"/>
                <w:color w:val="auto"/>
                <w:kern w:val="2"/>
                <w:sz w:val="24"/>
                <w:szCs w:val="24"/>
                <w:lang w:val="en-US" w:eastAsia="zh-CN" w:bidi="ar-SA"/>
              </w:rPr>
              <w:t>018803</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4"/>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9" w:hRule="atLeast"/>
          <w:jc w:val="center"/>
        </w:trPr>
        <w:tc>
          <w:tcPr>
            <w:tcW w:w="2438" w:type="dxa"/>
            <w:gridSpan w:val="3"/>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7182" w:type="dxa"/>
            <w:gridSpan w:val="2"/>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2026年5月24日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2" w:hRule="atLeast"/>
          <w:jc w:val="center"/>
        </w:trPr>
        <w:tc>
          <w:tcPr>
            <w:tcW w:w="2438" w:type="dxa"/>
            <w:gridSpan w:val="3"/>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7182" w:type="dxa"/>
            <w:gridSpan w:val="2"/>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2026年5月29日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4"/>
            <w:tcBorders>
              <w:tl2br w:val="nil"/>
              <w:tr2bl w:val="nil"/>
            </w:tcBorders>
            <w:shd w:val="clear" w:color="auto" w:fill="FFFFFF"/>
          </w:tcPr>
          <w:p w14:paraId="5F8AA606">
            <w:pPr>
              <w:pStyle w:val="8"/>
              <w:ind w:firstLine="480" w:firstLineChars="200"/>
              <w:rPr>
                <w:rFonts w:hint="eastAsia"/>
                <w:sz w:val="24"/>
                <w:szCs w:val="24"/>
                <w:lang w:val="en-US" w:eastAsia="zh-CN"/>
              </w:rPr>
            </w:pPr>
            <w:r>
              <w:rPr>
                <w:rFonts w:hint="eastAsia"/>
                <w:sz w:val="24"/>
                <w:szCs w:val="24"/>
                <w:lang w:val="en-US" w:eastAsia="zh-CN"/>
              </w:rPr>
              <w:t>安远县双芫乡昌顺加油站是从事成品油储存、经营的企业，位于安远县双芫乡双芫村猫脑塅，成立日期：2012年8月6日，统一社会信用代码：91360726054430436B，投资人刘仁昌，企业类型为个人独资企业，许可项目：成品油（汽油、柴油）零售。</w:t>
            </w:r>
          </w:p>
          <w:p w14:paraId="45549F87">
            <w:pPr>
              <w:pStyle w:val="8"/>
              <w:ind w:firstLine="480" w:firstLineChars="200"/>
              <w:rPr>
                <w:rFonts w:hint="eastAsia"/>
                <w:lang w:val="en-US" w:eastAsia="zh-CN"/>
              </w:rPr>
            </w:pPr>
            <w:r>
              <w:rPr>
                <w:rFonts w:hint="eastAsia"/>
                <w:sz w:val="24"/>
                <w:szCs w:val="24"/>
                <w:lang w:val="en-US" w:eastAsia="zh-CN"/>
              </w:rPr>
              <w:t>2023年7月25日，该加油站取得了安远县行政审批局下发的《危险化学品经营许可证》，证书编号：赣安安经（甲）字［2020］000001号，证书有效期至2026年7月24日止，许可经营范围：汽油、柴油，经营方式：零售（带储存设施经营）。</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4"/>
            <w:tcBorders>
              <w:tl2br w:val="nil"/>
              <w:tr2bl w:val="nil"/>
            </w:tcBorders>
            <w:shd w:val="clear" w:color="auto" w:fill="FFFFFF"/>
          </w:tcPr>
          <w:p w14:paraId="3CCE545A">
            <w:pPr>
              <w:adjustRightInd w:val="0"/>
              <w:snapToGrid w:val="0"/>
              <w:spacing w:line="500" w:lineRule="exact"/>
              <w:ind w:firstLine="420" w:firstLineChars="200"/>
              <w:rPr>
                <w:rFonts w:hint="eastAsia"/>
                <w:szCs w:val="20"/>
              </w:rPr>
            </w:pPr>
            <w:bookmarkStart w:id="0" w:name="_Toc240859955"/>
            <w:r>
              <w:rPr>
                <w:rFonts w:hint="eastAsia"/>
                <w:szCs w:val="20"/>
              </w:rPr>
              <w:t>1、汽油、柴油工艺流程</w:t>
            </w:r>
          </w:p>
          <w:bookmarkEnd w:id="0"/>
          <w:p w14:paraId="484D63B2">
            <w:pPr>
              <w:adjustRightInd w:val="0"/>
              <w:snapToGrid w:val="0"/>
              <w:spacing w:line="500" w:lineRule="exact"/>
              <w:ind w:firstLine="420" w:firstLineChars="200"/>
              <w:rPr>
                <w:rFonts w:hint="eastAsia"/>
                <w:szCs w:val="20"/>
              </w:rPr>
            </w:pPr>
            <w:r>
              <w:rPr>
                <w:rFonts w:hint="eastAsia"/>
                <w:szCs w:val="20"/>
              </w:rPr>
              <w:t>本项目工艺流程主要分为卸油及卸油油气回收、储油、加油及加油油气回收、量油五部分。</w:t>
            </w:r>
          </w:p>
          <w:p w14:paraId="523E7520">
            <w:pPr>
              <w:adjustRightInd w:val="0"/>
              <w:snapToGrid w:val="0"/>
              <w:spacing w:line="500" w:lineRule="exact"/>
              <w:ind w:firstLine="420" w:firstLineChars="200"/>
              <w:rPr>
                <w:rFonts w:hint="eastAsia"/>
                <w:szCs w:val="20"/>
              </w:rPr>
            </w:pPr>
            <w:r>
              <w:rPr>
                <w:rFonts w:hint="eastAsia"/>
                <w:szCs w:val="20"/>
              </w:rPr>
              <w:t>工艺流程必须保证卸油畅通，储油时间合理，加油无阻，避免脱销、积压现象。</w:t>
            </w:r>
          </w:p>
          <w:p w14:paraId="142D1383">
            <w:pPr>
              <w:suppressAutoHyphens/>
              <w:adjustRightInd w:val="0"/>
              <w:snapToGrid w:val="0"/>
              <w:spacing w:line="500" w:lineRule="exact"/>
              <w:ind w:firstLine="420" w:firstLineChars="200"/>
              <w:textAlignment w:val="center"/>
              <w:rPr>
                <w:kern w:val="28"/>
              </w:rPr>
            </w:pPr>
            <w:bookmarkStart w:id="1" w:name="_Toc240859956"/>
            <w:r>
              <w:rPr>
                <w:rFonts w:hint="eastAsia"/>
                <w:kern w:val="28"/>
              </w:rPr>
              <w:t>卸油及卸油油气回收：核对卸油罐与罐车所装油品是否相符。通过液位计或人工计量检测确认卸油罐的空容量，防止跑、冒事故的发生。检查确认油罐计量孔密闭良好。</w:t>
            </w:r>
          </w:p>
          <w:p w14:paraId="03A783D1">
            <w:pPr>
              <w:suppressAutoHyphens/>
              <w:adjustRightInd w:val="0"/>
              <w:snapToGrid w:val="0"/>
              <w:spacing w:line="500" w:lineRule="exact"/>
              <w:ind w:firstLine="420" w:firstLineChars="200"/>
              <w:textAlignment w:val="center"/>
              <w:rPr>
                <w:kern w:val="28"/>
              </w:rPr>
            </w:pPr>
            <w:r>
              <w:rPr>
                <w:rFonts w:hint="eastAsia"/>
                <w:kern w:val="28"/>
              </w:rPr>
              <w:t>该站采用油罐车经连通软管与油罐卸油孔连通卸油的方式卸油。装满汽油、柴油的油槽车到达加油站后，在卸油口附近停稳熄火，将连通软管与油罐车的卸油口、储罐的进油口与密闭快速接头连接好，接好静电接地报警装置，静止5min后开始卸油。油品卸完后，拆除连通软管，人工封闭好卸油口和罐车卸油口，拆除静电接地报警装置，发动油品罐车缓慢离开罐区。</w:t>
            </w:r>
          </w:p>
          <w:p w14:paraId="2BC7994F">
            <w:pPr>
              <w:suppressAutoHyphens/>
              <w:adjustRightInd w:val="0"/>
              <w:snapToGrid w:val="0"/>
              <w:spacing w:line="500" w:lineRule="exact"/>
              <w:ind w:firstLine="420" w:firstLineChars="200"/>
              <w:textAlignment w:val="center"/>
              <w:rPr>
                <w:kern w:val="28"/>
              </w:rPr>
            </w:pPr>
            <w:r>
              <w:rPr>
                <w:rFonts w:hint="eastAsia"/>
                <w:kern w:val="28"/>
              </w:rPr>
              <w:t>汽油罐卸油油气回收：当汽油油罐车卸油时，油罐内的油气通过卸油油气回收管线进入油罐车，完成密闭式卸油过程。回收到油罐车内的油气，可由油罐车带回油库后，再经油库安装的油气回收设施回收处理。</w:t>
            </w:r>
          </w:p>
          <w:p w14:paraId="3E0F0267">
            <w:pPr>
              <w:suppressAutoHyphens/>
              <w:adjustRightInd w:val="0"/>
              <w:snapToGrid w:val="0"/>
              <w:spacing w:line="500" w:lineRule="exact"/>
              <w:ind w:firstLine="420" w:firstLineChars="200"/>
              <w:textAlignment w:val="center"/>
              <w:rPr>
                <w:rFonts w:hint="eastAsia" w:ascii="宋体" w:hAnsi="宋体" w:cs="Tahoma"/>
                <w:kern w:val="28"/>
              </w:rPr>
            </w:pPr>
            <w:r>
              <w:rPr>
                <w:rFonts w:ascii="宋体" w:hAnsi="宋体" w:cs="Tahoma"/>
                <w:kern w:val="28"/>
              </w:rPr>
              <w:t>汽油卸油工艺框图如下：</w:t>
            </w:r>
          </w:p>
          <w:p w14:paraId="039A0596">
            <w:pPr>
              <w:suppressAutoHyphens/>
              <w:adjustRightInd w:val="0"/>
              <w:snapToGrid w:val="0"/>
              <w:spacing w:line="360" w:lineRule="auto"/>
              <w:ind w:firstLine="420" w:firstLineChars="200"/>
              <w:textAlignment w:val="center"/>
              <w:rPr>
                <w:rFonts w:hint="eastAsia" w:ascii="宋体" w:hAnsi="宋体" w:cs="Tahoma"/>
                <w:kern w:val="28"/>
              </w:rPr>
            </w:pPr>
            <w:r>
              <w:rPr>
                <w:rFonts w:ascii="宋体" w:hAnsi="宋体" w:cs="Tahoma"/>
                <w:kern w:val="28"/>
              </w:rPr>
              <w:object>
                <v:shape id="_x0000_i1025" o:spt="75" type="#_x0000_t75" style="height:57.05pt;width:424.5pt;" o:ole="t" filled="f" o:preferrelative="t" stroked="f" coordsize="21600,21600">
                  <v:path/>
                  <v:fill on="f" focussize="0,0"/>
                  <v:stroke on="f"/>
                  <v:imagedata r:id="rId5" o:title=""/>
                  <o:lock v:ext="edit" aspectratio="t"/>
                  <w10:wrap type="none"/>
                  <w10:anchorlock/>
                </v:shape>
                <o:OLEObject Type="Embed" ProgID="Visio.Drawing.11" ShapeID="_x0000_i1025" DrawAspect="Content" ObjectID="_1468075725" r:id="rId4">
                  <o:LockedField>false</o:LockedField>
                </o:OLEObject>
              </w:object>
            </w:r>
          </w:p>
          <w:p w14:paraId="2145FE49">
            <w:pPr>
              <w:suppressAutoHyphens/>
              <w:adjustRightInd w:val="0"/>
              <w:snapToGrid w:val="0"/>
              <w:spacing w:line="520" w:lineRule="exact"/>
              <w:ind w:firstLine="420" w:firstLineChars="200"/>
              <w:textAlignment w:val="center"/>
              <w:rPr>
                <w:rFonts w:hint="eastAsia" w:ascii="宋体" w:hAnsi="宋体" w:cs="Tahoma"/>
                <w:kern w:val="28"/>
                <w:szCs w:val="28"/>
              </w:rPr>
            </w:pPr>
            <w:r>
              <w:rPr>
                <w:rFonts w:ascii="宋体" w:hAnsi="宋体" w:cs="Tahoma"/>
                <w:kern w:val="28"/>
                <w:szCs w:val="28"/>
              </w:rPr>
              <w:t>柴油卸油工艺框图如下：</w:t>
            </w:r>
          </w:p>
          <w:p w14:paraId="5BD84872">
            <w:pPr>
              <w:suppressAutoHyphens/>
              <w:adjustRightInd w:val="0"/>
              <w:snapToGrid w:val="0"/>
              <w:spacing w:line="520" w:lineRule="exact"/>
              <w:ind w:firstLine="420" w:firstLineChars="200"/>
              <w:textAlignment w:val="center"/>
              <w:rPr>
                <w:rFonts w:hint="eastAsia" w:ascii="宋体" w:hAnsi="宋体" w:cs="Tahoma"/>
                <w:kern w:val="28"/>
              </w:rPr>
            </w:pPr>
            <w:r>
              <w:rPr>
                <w:rFonts w:ascii="宋体" w:hAnsi="宋体" w:cs="Tahoma"/>
                <w:kern w:val="28"/>
              </w:rPr>
              <w:object>
                <v:shape id="_x0000_i1026" o:spt="75" type="#_x0000_t75" style="height:27.1pt;width:427.3pt;" o:ole="t" filled="f" o:preferrelative="t" stroked="f" coordsize="21600,21600">
                  <v:path/>
                  <v:fill on="f" focussize="0,0"/>
                  <v:stroke on="f"/>
                  <v:imagedata r:id="rId7" o:title=""/>
                  <o:lock v:ext="edit" aspectratio="t"/>
                  <w10:wrap type="none"/>
                  <w10:anchorlock/>
                </v:shape>
                <o:OLEObject Type="Embed" ProgID="Visio.Drawing.11" ShapeID="_x0000_i1026" DrawAspect="Content" ObjectID="_1468075726" r:id="rId6">
                  <o:LockedField>false</o:LockedField>
                </o:OLEObject>
              </w:object>
            </w:r>
          </w:p>
          <w:p w14:paraId="5DF036D7">
            <w:pPr>
              <w:suppressAutoHyphens/>
              <w:adjustRightInd w:val="0"/>
              <w:snapToGrid w:val="0"/>
              <w:spacing w:line="520" w:lineRule="exact"/>
              <w:ind w:firstLine="420" w:firstLineChars="200"/>
              <w:textAlignment w:val="center"/>
              <w:rPr>
                <w:kern w:val="28"/>
              </w:rPr>
            </w:pPr>
            <w:r>
              <w:rPr>
                <w:rFonts w:hint="eastAsia"/>
                <w:kern w:val="28"/>
              </w:rPr>
              <w:t>储油：对油罐车送来的油品在相应的油罐内进行储存，储存时间为2至3天，从而保证加油站不会出现脱销现象。</w:t>
            </w:r>
          </w:p>
          <w:p w14:paraId="440EA708">
            <w:pPr>
              <w:suppressAutoHyphens/>
              <w:adjustRightInd w:val="0"/>
              <w:snapToGrid w:val="0"/>
              <w:spacing w:line="520" w:lineRule="exact"/>
              <w:ind w:firstLine="420" w:firstLineChars="200"/>
              <w:textAlignment w:val="center"/>
              <w:rPr>
                <w:kern w:val="28"/>
              </w:rPr>
            </w:pPr>
            <w:r>
              <w:rPr>
                <w:rFonts w:hint="eastAsia"/>
                <w:kern w:val="28"/>
              </w:rPr>
              <w:t>加油：0#、92#和95#加油作业时，采用自吸泵提供的动力，油品通过加油管道至加油机，进入受油容器。同时，加汽油作业时，设有油气回收系统，汽油蒸汽通过油气回收管道回至汽油罐。加油过程中加油流量柴油（大流量）不大于80L/min，汽油不大于50L/min。</w:t>
            </w:r>
          </w:p>
          <w:p w14:paraId="5522A3C6">
            <w:pPr>
              <w:suppressAutoHyphens/>
              <w:adjustRightInd w:val="0"/>
              <w:snapToGrid w:val="0"/>
              <w:spacing w:line="520" w:lineRule="exact"/>
              <w:ind w:firstLine="420" w:firstLineChars="200"/>
              <w:textAlignment w:val="center"/>
              <w:rPr>
                <w:kern w:val="28"/>
              </w:rPr>
            </w:pPr>
            <w:r>
              <w:rPr>
                <w:rFonts w:hint="eastAsia"/>
                <w:kern w:val="28"/>
              </w:rPr>
              <w:t>汽油加油油气回收：汽车加油过程中，将汽车油箱口散溢的油气，通过油气回收专用加油枪收集，利用动力设备（如真空泵）经油气回收管线输送至低标号汽油储罐，实现加油过程中无油气外溢污染环境，本站采用分散式加油油气回收，真空泵设置在加油机内。</w:t>
            </w:r>
          </w:p>
          <w:p w14:paraId="412101E2">
            <w:pPr>
              <w:suppressAutoHyphens/>
              <w:adjustRightInd w:val="0"/>
              <w:snapToGrid w:val="0"/>
              <w:spacing w:line="520" w:lineRule="exact"/>
              <w:ind w:firstLine="420" w:firstLineChars="200"/>
              <w:textAlignment w:val="center"/>
              <w:rPr>
                <w:kern w:val="28"/>
              </w:rPr>
            </w:pPr>
            <w:r>
              <w:rPr>
                <w:rFonts w:hint="eastAsia"/>
                <w:kern w:val="28"/>
              </w:rPr>
              <w:t>量油：采用液位仪和人工量油检尺相结合的方法进行测量。</w:t>
            </w:r>
          </w:p>
          <w:p w14:paraId="20B13A7F">
            <w:pPr>
              <w:suppressAutoHyphens/>
              <w:adjustRightInd w:val="0"/>
              <w:snapToGrid w:val="0"/>
              <w:spacing w:line="520" w:lineRule="exact"/>
              <w:ind w:firstLine="420" w:firstLineChars="200"/>
              <w:textAlignment w:val="center"/>
              <w:rPr>
                <w:kern w:val="28"/>
              </w:rPr>
            </w:pPr>
            <w:r>
              <w:rPr>
                <w:rFonts w:hint="eastAsia"/>
                <w:kern w:val="28"/>
              </w:rPr>
              <w:t>汽油、柴油加油工艺框图如下：</w:t>
            </w:r>
          </w:p>
          <w:bookmarkEnd w:id="1"/>
          <w:p w14:paraId="62950128">
            <w:pPr>
              <w:jc w:val="center"/>
            </w:pPr>
            <w:r>
              <w:drawing>
                <wp:inline distT="0" distB="0" distL="114300" distR="114300">
                  <wp:extent cx="5565775" cy="2275840"/>
                  <wp:effectExtent l="0" t="0" r="15875" b="1016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rcRect t="2702" r="43"/>
                          <a:stretch>
                            <a:fillRect/>
                          </a:stretch>
                        </pic:blipFill>
                        <pic:spPr>
                          <a:xfrm>
                            <a:off x="0" y="0"/>
                            <a:ext cx="5565775" cy="2275840"/>
                          </a:xfrm>
                          <a:prstGeom prst="rect">
                            <a:avLst/>
                          </a:prstGeom>
                          <a:noFill/>
                          <a:ln>
                            <a:noFill/>
                          </a:ln>
                        </pic:spPr>
                      </pic:pic>
                    </a:graphicData>
                  </a:graphic>
                </wp:inline>
              </w:drawing>
            </w:r>
          </w:p>
          <w:p w14:paraId="509DE261">
            <w:pPr>
              <w:spacing w:line="360" w:lineRule="auto"/>
              <w:ind w:firstLine="560"/>
              <w:rPr>
                <w:rFonts w:hint="eastAsia" w:ascii="宋体" w:hAnsi="宋体"/>
              </w:rPr>
            </w:pPr>
            <w:r>
              <w:rPr>
                <w:rFonts w:hint="eastAsia" w:ascii="宋体" w:hAnsi="宋体"/>
              </w:rPr>
              <w:t>2、油气回收工艺</w:t>
            </w:r>
          </w:p>
          <w:p w14:paraId="714EFF5C">
            <w:pPr>
              <w:spacing w:line="360" w:lineRule="auto"/>
              <w:ind w:firstLine="560"/>
              <w:rPr>
                <w:rFonts w:hint="eastAsia"/>
              </w:rPr>
            </w:pPr>
            <w:r>
              <w:rPr>
                <w:rFonts w:hint="eastAsia"/>
              </w:rPr>
              <w:t>1）</w:t>
            </w:r>
            <w:r>
              <w:t>卸</w:t>
            </w:r>
            <w:r>
              <w:rPr>
                <w:rFonts w:hint="eastAsia"/>
              </w:rPr>
              <w:t>油作业油气回收系统：</w:t>
            </w:r>
          </w:p>
          <w:p w14:paraId="6FE7F88B">
            <w:pPr>
              <w:spacing w:line="360" w:lineRule="auto"/>
              <w:ind w:firstLine="560"/>
              <w:rPr>
                <w:rFonts w:hint="eastAsia" w:ascii="Arial" w:hAnsi="Arial" w:cs="Arial"/>
                <w:shd w:val="clear" w:color="auto" w:fill="FFFFFF"/>
              </w:rPr>
            </w:pPr>
            <w:r>
              <w:fldChar w:fldCharType="begin"/>
            </w:r>
            <w:r>
              <w:instrText xml:space="preserve"> HYPERLINK "http://baike.baidu.com/view/328137.htm" \t "_blank" </w:instrText>
            </w:r>
            <w:r>
              <w:fldChar w:fldCharType="separate"/>
            </w:r>
            <w:r>
              <w:rPr>
                <w:rStyle w:val="25"/>
                <w:rFonts w:ascii="Arial" w:hAnsi="Arial" w:cs="Arial"/>
                <w:color w:val="auto"/>
                <w:u w:val="none"/>
                <w:shd w:val="clear" w:color="auto" w:fill="FFFFFF"/>
              </w:rPr>
              <w:t>油罐</w:t>
            </w:r>
            <w:r>
              <w:fldChar w:fldCharType="end"/>
            </w:r>
            <w:r>
              <w:rPr>
                <w:rFonts w:ascii="Arial" w:hAnsi="Arial" w:cs="Arial"/>
                <w:shd w:val="clear" w:color="auto" w:fill="FFFFFF"/>
              </w:rPr>
              <w:t>的油气回收系统作用是在油罐车装卸过程中，实现全封闭气体回收，限制油气向大气中排放。即是在油罐车与储油槽之输油管及油气回收管连接成一密闭之油气回收管路。油罐车通过卸油管路卸油的同时，加油站油罐中的油气通过回气管路回到油罐车中。油罐车将油气带回油库进行处理，达到油气回收的目的。油品输入时会因液面震荡起伏而增加油气的挥发与逸散，因此注油管必须深入油面下方，以减少液面扰动。油气回收管开口处是装置有特殊开启功能设备，当油罐车的油气回收管线正确连接至油槽时，回收口才会开启，同时将排气管关闭，使油槽的油气能由回收口回油罐车内。</w:t>
            </w:r>
          </w:p>
          <w:p w14:paraId="03C98DAE">
            <w:pPr>
              <w:spacing w:line="360" w:lineRule="auto"/>
              <w:ind w:firstLine="560"/>
              <w:rPr>
                <w:rFonts w:hint="eastAsia"/>
              </w:rPr>
            </w:pPr>
            <w:r>
              <w:rPr>
                <w:rFonts w:hint="eastAsia"/>
              </w:rPr>
              <w:t>当油罐压力上升至启动设定值时，监测油罐的压力传感器会启动主机压缩机从储油罐中抽油气/空气混合物（饱和油气），油气被压缩，导致油气流的温度升高，温度升高的油气通过冷却器，温度降至室温，冷却过程使液体汽油冷凝，油气混合物和液体汽油进入分离器，液体汽油从油气混合物中分离出来后，暂存在分离器中等待后续阶段的排液并回流至油罐内。剩下的油气/空气混合物，继续进入膜分离，膜分离装置一侧为正压，另一侧为真空。当碳氢化合物分子通过膜分离装置时，会被吸附在膜材料中，空气分子被膜表面所排斥，并继续从主机中被作为干净空气（尾气）释放出来。在正压侧与真空侧之间的压力差使碳氢化合物分子被抽过膜分离装置。真空泵将超饱和油气返回至油罐。在那儿，其中一些将冷凝成液体汽油。</w:t>
            </w:r>
          </w:p>
          <w:p w14:paraId="545876DF">
            <w:pPr>
              <w:spacing w:line="360" w:lineRule="auto"/>
              <w:ind w:firstLine="560"/>
              <w:rPr>
                <w:rFonts w:hint="eastAsia"/>
              </w:rPr>
            </w:pPr>
            <w:r>
              <w:rPr>
                <w:rFonts w:hint="eastAsia"/>
              </w:rPr>
              <w:t>2）加油作业油气回收系统</w:t>
            </w:r>
          </w:p>
          <w:p w14:paraId="79FF6E62">
            <w:pPr>
              <w:spacing w:line="360" w:lineRule="auto"/>
              <w:ind w:firstLine="560"/>
              <w:rPr>
                <w:rFonts w:hint="eastAsia"/>
              </w:rPr>
            </w:pPr>
            <w:r>
              <w:rPr>
                <w:rFonts w:hint="eastAsia"/>
              </w:rPr>
              <w:t>加油时，控制台获得任意一台被连接的自吸泵继电器电流信号后，启动真空泵，系统进入工作状态，开始回收油气；所有被连接的油泵继电器电流信号中断时（即所有油枪停止加油后），真空泵关闭。</w:t>
            </w:r>
          </w:p>
          <w:p w14:paraId="53AEB6AD">
            <w:pPr>
              <w:spacing w:line="360" w:lineRule="auto"/>
              <w:ind w:firstLine="560"/>
              <w:rPr>
                <w:rFonts w:hint="eastAsia"/>
              </w:rPr>
            </w:pPr>
            <w:r>
              <w:rPr>
                <w:rFonts w:hint="eastAsia"/>
              </w:rPr>
              <w:t>系统组成：油气回收型加油枪、反向同轴长胶管、拉断阀、反向同轴短胶管、油气分离调节阀、油气回收管线、集中式油气回收泵（控制器）、排液单向阀、压力真空阀。</w:t>
            </w:r>
          </w:p>
          <w:p w14:paraId="6CD62FFA">
            <w:pPr>
              <w:spacing w:line="360" w:lineRule="auto"/>
              <w:ind w:firstLine="560"/>
              <w:rPr>
                <w:rFonts w:hint="eastAsia"/>
              </w:rPr>
            </w:pPr>
            <w:r>
              <w:rPr>
                <w:rFonts w:hint="eastAsia"/>
              </w:rPr>
              <w:drawing>
                <wp:anchor distT="0" distB="0" distL="114300" distR="114300" simplePos="0" relativeHeight="251659264" behindDoc="0" locked="0" layoutInCell="1" allowOverlap="1">
                  <wp:simplePos x="0" y="0"/>
                  <wp:positionH relativeFrom="column">
                    <wp:posOffset>571500</wp:posOffset>
                  </wp:positionH>
                  <wp:positionV relativeFrom="paragraph">
                    <wp:posOffset>216535</wp:posOffset>
                  </wp:positionV>
                  <wp:extent cx="4829175" cy="2674620"/>
                  <wp:effectExtent l="0" t="0" r="9525" b="11430"/>
                  <wp:wrapNone/>
                  <wp:docPr id="1" name="图片 3" descr="2013021610414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20130216104142961"/>
                          <pic:cNvPicPr>
                            <a:picLocks noChangeAspect="1"/>
                          </pic:cNvPicPr>
                        </pic:nvPicPr>
                        <pic:blipFill>
                          <a:blip r:embed="rId9"/>
                          <a:stretch>
                            <a:fillRect/>
                          </a:stretch>
                        </pic:blipFill>
                        <pic:spPr>
                          <a:xfrm>
                            <a:off x="0" y="0"/>
                            <a:ext cx="4829175" cy="2674620"/>
                          </a:xfrm>
                          <a:prstGeom prst="rect">
                            <a:avLst/>
                          </a:prstGeom>
                          <a:noFill/>
                          <a:ln>
                            <a:noFill/>
                          </a:ln>
                        </pic:spPr>
                      </pic:pic>
                    </a:graphicData>
                  </a:graphic>
                </wp:anchor>
              </w:drawing>
            </w:r>
          </w:p>
          <w:p w14:paraId="6EF312AF">
            <w:pPr>
              <w:spacing w:line="360" w:lineRule="auto"/>
              <w:ind w:firstLine="560"/>
              <w:rPr>
                <w:rFonts w:hint="eastAsia"/>
              </w:rPr>
            </w:pPr>
          </w:p>
          <w:p w14:paraId="737AA0F7">
            <w:pPr>
              <w:spacing w:line="360" w:lineRule="auto"/>
              <w:ind w:firstLine="560"/>
              <w:rPr>
                <w:rFonts w:hint="eastAsia"/>
              </w:rPr>
            </w:pPr>
          </w:p>
          <w:p w14:paraId="541E56B0">
            <w:pPr>
              <w:spacing w:line="360" w:lineRule="auto"/>
              <w:ind w:firstLine="560"/>
              <w:rPr>
                <w:rFonts w:hint="eastAsia"/>
              </w:rPr>
            </w:pPr>
          </w:p>
          <w:p w14:paraId="2E218180">
            <w:pPr>
              <w:spacing w:line="360" w:lineRule="auto"/>
              <w:ind w:firstLine="560"/>
              <w:rPr>
                <w:rFonts w:hint="eastAsia"/>
              </w:rPr>
            </w:pPr>
          </w:p>
          <w:p w14:paraId="650AC240">
            <w:pPr>
              <w:spacing w:line="360" w:lineRule="auto"/>
              <w:ind w:firstLine="560"/>
              <w:rPr>
                <w:rFonts w:hint="eastAsia"/>
              </w:rPr>
            </w:pPr>
          </w:p>
          <w:p w14:paraId="59B6F7B0">
            <w:pPr>
              <w:spacing w:line="360" w:lineRule="auto"/>
              <w:ind w:firstLine="560"/>
              <w:rPr>
                <w:rFonts w:hint="eastAsia"/>
              </w:rPr>
            </w:pPr>
          </w:p>
          <w:p w14:paraId="132884A9">
            <w:pPr>
              <w:jc w:val="center"/>
            </w:pPr>
          </w:p>
          <w:p w14:paraId="256576AF">
            <w:pPr>
              <w:wordWrap w:val="0"/>
              <w:ind w:left="2975"/>
              <w:rPr>
                <w:rFonts w:ascii="Times New Roman" w:hAnsi="Times New Roman" w:eastAsia="宋体" w:cs="Times New Roman"/>
                <w:szCs w:val="22"/>
              </w:rPr>
            </w:pPr>
          </w:p>
          <w:p w14:paraId="374ACF81">
            <w:pPr>
              <w:adjustRightInd w:val="0"/>
              <w:snapToGrid w:val="0"/>
              <w:spacing w:line="500" w:lineRule="exact"/>
              <w:ind w:firstLine="560" w:firstLineChars="200"/>
              <w:rPr>
                <w:rFonts w:ascii="Times New Roman" w:hAnsi="Times New Roman" w:eastAsia="宋体" w:cs="Times New Roman"/>
                <w:sz w:val="28"/>
              </w:rPr>
            </w:pPr>
          </w:p>
          <w:p w14:paraId="45917190">
            <w:pPr>
              <w:tabs>
                <w:tab w:val="center" w:pos="4153"/>
                <w:tab w:val="right" w:pos="8306"/>
              </w:tabs>
              <w:adjustRightInd w:val="0"/>
              <w:snapToGrid w:val="0"/>
              <w:spacing w:line="500" w:lineRule="exact"/>
              <w:ind w:firstLine="360" w:firstLineChars="200"/>
              <w:jc w:val="left"/>
              <w:rPr>
                <w:rFonts w:ascii="Times New Roman" w:hAnsi="Times New Roman" w:eastAsia="宋体" w:cs="Times New Roman"/>
                <w:sz w:val="18"/>
                <w:szCs w:val="18"/>
              </w:rPr>
            </w:pPr>
          </w:p>
          <w:p w14:paraId="23481AF5">
            <w:pPr>
              <w:keepNext w:val="0"/>
              <w:keepLines w:val="0"/>
              <w:pageBreakBefore w:val="0"/>
              <w:widowControl/>
              <w:kinsoku/>
              <w:wordWrap/>
              <w:overflowPunct/>
              <w:topLinePunct w:val="0"/>
              <w:autoSpaceDE/>
              <w:autoSpaceDN/>
              <w:bidi w:val="0"/>
              <w:adjustRightInd/>
              <w:snapToGrid/>
              <w:ind w:firstLine="480" w:firstLineChars="200"/>
              <w:jc w:val="left"/>
              <w:textAlignment w:val="auto"/>
              <w:rPr>
                <w:b w:val="0"/>
                <w:bCs/>
                <w:sz w:val="24"/>
                <w:szCs w:val="24"/>
              </w:rPr>
            </w:pPr>
          </w:p>
          <w:p w14:paraId="0240F373">
            <w:pPr>
              <w:bidi w:val="0"/>
              <w:ind w:firstLine="532" w:firstLineChars="0"/>
              <w:jc w:val="left"/>
              <w:rPr>
                <w:rFonts w:hint="eastAsia"/>
                <w:b/>
                <w:bCs/>
                <w:szCs w:val="28"/>
                <w:lang w:val="en-US" w:eastAsia="zh-CN"/>
              </w:rPr>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4"/>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43C137D6">
      <w:pPr>
        <w:rPr>
          <w:rFonts w:hint="eastAsia" w:eastAsia="宋体"/>
          <w:lang w:eastAsia="zh-CN"/>
        </w:rPr>
        <w:sectPr>
          <w:pgSz w:w="11906" w:h="16838"/>
          <w:pgMar w:top="1440" w:right="1800" w:bottom="1440" w:left="1800" w:header="851" w:footer="992" w:gutter="0"/>
          <w:cols w:space="720" w:num="1"/>
          <w:docGrid w:type="lines" w:linePitch="312" w:charSpace="0"/>
        </w:sectPr>
      </w:pPr>
    </w:p>
    <w:p w14:paraId="2A9DFABB"/>
    <w:p w14:paraId="15BAEE2D">
      <w:pPr>
        <w:pStyle w:val="8"/>
      </w:pPr>
    </w:p>
    <w:p w14:paraId="28AB43C3">
      <w:pPr>
        <w:rPr>
          <w:rFonts w:hint="eastAsia" w:eastAsia="宋体"/>
          <w:lang w:eastAsia="zh-CN"/>
        </w:rPr>
      </w:pPr>
    </w:p>
    <w:p w14:paraId="48AFF16E">
      <w:r>
        <w:drawing>
          <wp:inline distT="0" distB="0" distL="114300" distR="114300">
            <wp:extent cx="5233670" cy="3924935"/>
            <wp:effectExtent l="0" t="0" r="5080" b="18415"/>
            <wp:docPr id="6" name="图片 6" descr="IMG_20260524_14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60524_144512"/>
                    <pic:cNvPicPr>
                      <a:picLocks noChangeAspect="1"/>
                    </pic:cNvPicPr>
                  </pic:nvPicPr>
                  <pic:blipFill>
                    <a:blip r:embed="rId10"/>
                    <a:stretch>
                      <a:fillRect/>
                    </a:stretch>
                  </pic:blipFill>
                  <pic:spPr>
                    <a:xfrm>
                      <a:off x="0" y="0"/>
                      <a:ext cx="5233670" cy="3924935"/>
                    </a:xfrm>
                    <a:prstGeom prst="rect">
                      <a:avLst/>
                    </a:prstGeom>
                  </pic:spPr>
                </pic:pic>
              </a:graphicData>
            </a:graphic>
          </wp:inline>
        </w:drawing>
      </w:r>
      <w:r>
        <w:rPr>
          <w:rFonts w:hint="eastAsia" w:eastAsia="宋体"/>
          <w:lang w:eastAsia="zh-CN"/>
        </w:rPr>
        <w:drawing>
          <wp:inline distT="0" distB="0" distL="114300" distR="114300">
            <wp:extent cx="5233670" cy="3924935"/>
            <wp:effectExtent l="0" t="0" r="5080" b="18415"/>
            <wp:docPr id="5" name="图片 5" descr="IMG_20260524_14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60524_144656"/>
                    <pic:cNvPicPr>
                      <a:picLocks noChangeAspect="1"/>
                    </pic:cNvPicPr>
                  </pic:nvPicPr>
                  <pic:blipFill>
                    <a:blip r:embed="rId11"/>
                    <a:stretch>
                      <a:fillRect/>
                    </a:stretch>
                  </pic:blipFill>
                  <pic:spPr>
                    <a:xfrm>
                      <a:off x="0" y="0"/>
                      <a:ext cx="5233670" cy="3924935"/>
                    </a:xfrm>
                    <a:prstGeom prst="rect">
                      <a:avLst/>
                    </a:prstGeom>
                  </pic:spPr>
                </pic:pic>
              </a:graphicData>
            </a:graphic>
          </wp:inline>
        </w:drawing>
      </w:r>
      <w:r>
        <w:br w:type="page"/>
      </w:r>
    </w:p>
    <w:p w14:paraId="7B5ED8B3">
      <w:pPr>
        <w:rPr>
          <w:rFonts w:hint="eastAsia" w:eastAsia="宋体"/>
          <w:lang w:eastAsia="zh-CN"/>
        </w:rPr>
      </w:pPr>
    </w:p>
    <w:p w14:paraId="76F6EF7C">
      <w:r>
        <w:drawing>
          <wp:inline distT="0" distB="0" distL="114300" distR="114300">
            <wp:extent cx="5086350" cy="71437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086350" cy="7143750"/>
                    </a:xfrm>
                    <a:prstGeom prst="rect">
                      <a:avLst/>
                    </a:prstGeom>
                    <a:noFill/>
                    <a:ln>
                      <a:noFill/>
                    </a:ln>
                  </pic:spPr>
                </pic:pic>
              </a:graphicData>
            </a:graphic>
          </wp:inline>
        </w:drawing>
      </w:r>
    </w:p>
    <w:p w14:paraId="3063B77D">
      <w:r>
        <w:br w:type="page"/>
      </w:r>
    </w:p>
    <w:p w14:paraId="16D620A9">
      <w:pPr>
        <w:pStyle w:val="8"/>
      </w:pPr>
      <w:r>
        <w:drawing>
          <wp:inline distT="0" distB="0" distL="114300" distR="114300">
            <wp:extent cx="5259070" cy="7450455"/>
            <wp:effectExtent l="0" t="0" r="1778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59070" cy="7450455"/>
                    </a:xfrm>
                    <a:prstGeom prst="rect">
                      <a:avLst/>
                    </a:prstGeom>
                    <a:noFill/>
                    <a:ln>
                      <a:noFill/>
                    </a:ln>
                  </pic:spPr>
                </pic:pic>
              </a:graphicData>
            </a:graphic>
          </wp:inline>
        </w:drawing>
      </w:r>
    </w:p>
    <w:p w14:paraId="21C9E949">
      <w:r>
        <w:br w:type="page"/>
      </w:r>
    </w:p>
    <w:p w14:paraId="79870BEA">
      <w:r>
        <w:drawing>
          <wp:inline distT="0" distB="0" distL="114300" distR="114300">
            <wp:extent cx="5259070" cy="7450455"/>
            <wp:effectExtent l="0" t="0" r="1778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59070" cy="7450455"/>
                    </a:xfrm>
                    <a:prstGeom prst="rect">
                      <a:avLst/>
                    </a:prstGeom>
                    <a:noFill/>
                    <a:ln>
                      <a:noFill/>
                    </a:ln>
                  </pic:spPr>
                </pic:pic>
              </a:graphicData>
            </a:graphic>
          </wp:inline>
        </w:drawing>
      </w:r>
    </w:p>
    <w:p w14:paraId="35896E0A"/>
    <w:p w14:paraId="52C77DD7"/>
    <w:p w14:paraId="1F27B3AC"/>
    <w:p w14:paraId="53376419"/>
    <w:p w14:paraId="5EF9F870"/>
    <w:p w14:paraId="750033FA"/>
    <w:p w14:paraId="41ECB9AA">
      <w:pPr>
        <w:rPr>
          <w:rFonts w:hint="eastAsia"/>
          <w:lang w:eastAsia="zh-CN"/>
        </w:rPr>
      </w:pPr>
      <w:r>
        <w:drawing>
          <wp:inline distT="0" distB="0" distL="114300" distR="114300">
            <wp:extent cx="5259070" cy="7450455"/>
            <wp:effectExtent l="0" t="0" r="17780" b="1714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5"/>
                    <a:stretch>
                      <a:fillRect/>
                    </a:stretch>
                  </pic:blipFill>
                  <pic:spPr>
                    <a:xfrm>
                      <a:off x="0" y="0"/>
                      <a:ext cx="5259070" cy="7450455"/>
                    </a:xfrm>
                    <a:prstGeom prst="rect">
                      <a:avLst/>
                    </a:prstGeom>
                    <a:noFill/>
                    <a:ln>
                      <a:noFill/>
                    </a:ln>
                  </pic:spPr>
                </pic:pic>
              </a:graphicData>
            </a:graphic>
          </wp:inline>
        </w:drawing>
      </w:r>
      <w:bookmarkStart w:id="2" w:name="_GoBack"/>
      <w:bookmarkEnd w:id="2"/>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7"/>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6B2B55"/>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9D91C34"/>
    <w:rsid w:val="2AB26CD9"/>
    <w:rsid w:val="2BD9110B"/>
    <w:rsid w:val="2C9D3BC7"/>
    <w:rsid w:val="2CF2686E"/>
    <w:rsid w:val="2CFD4E2E"/>
    <w:rsid w:val="2E925474"/>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5583A15"/>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F50190"/>
    <w:rsid w:val="4432163F"/>
    <w:rsid w:val="44476729"/>
    <w:rsid w:val="4546743F"/>
    <w:rsid w:val="45A13141"/>
    <w:rsid w:val="46966FC2"/>
    <w:rsid w:val="47EE36B2"/>
    <w:rsid w:val="485E76F8"/>
    <w:rsid w:val="48AF6D87"/>
    <w:rsid w:val="49CE6C17"/>
    <w:rsid w:val="4A046907"/>
    <w:rsid w:val="4CDE060B"/>
    <w:rsid w:val="4E3D5914"/>
    <w:rsid w:val="4E461B89"/>
    <w:rsid w:val="4F4C1097"/>
    <w:rsid w:val="4F540982"/>
    <w:rsid w:val="4F844CD5"/>
    <w:rsid w:val="4FF32FA8"/>
    <w:rsid w:val="50EA0B03"/>
    <w:rsid w:val="512A57AB"/>
    <w:rsid w:val="515A3854"/>
    <w:rsid w:val="5276471A"/>
    <w:rsid w:val="52CC47C0"/>
    <w:rsid w:val="52E07D49"/>
    <w:rsid w:val="534122A6"/>
    <w:rsid w:val="5374510A"/>
    <w:rsid w:val="53F5005F"/>
    <w:rsid w:val="54BA1C16"/>
    <w:rsid w:val="561327C0"/>
    <w:rsid w:val="56183FCE"/>
    <w:rsid w:val="563D2137"/>
    <w:rsid w:val="56836AB2"/>
    <w:rsid w:val="56BC2DE3"/>
    <w:rsid w:val="56D42C4D"/>
    <w:rsid w:val="57301D47"/>
    <w:rsid w:val="57487036"/>
    <w:rsid w:val="575D6537"/>
    <w:rsid w:val="577B3C9E"/>
    <w:rsid w:val="57800B40"/>
    <w:rsid w:val="57CD2DFE"/>
    <w:rsid w:val="5815058C"/>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1"/>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7"/>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8"/>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Hyperlink"/>
    <w:qFormat/>
    <w:uiPriority w:val="99"/>
    <w:rPr>
      <w:rFonts w:cs="Times New Roman"/>
      <w:color w:val="0000FF"/>
      <w:u w:val="single"/>
    </w:rPr>
  </w:style>
  <w:style w:type="character" w:styleId="26">
    <w:name w:val="annotation reference"/>
    <w:qFormat/>
    <w:uiPriority w:val="0"/>
    <w:rPr>
      <w:sz w:val="21"/>
      <w:szCs w:val="21"/>
    </w:rPr>
  </w:style>
  <w:style w:type="paragraph" w:customStyle="1" w:styleId="27">
    <w:name w:val="Default1"/>
    <w:basedOn w:val="28"/>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8">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9">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Default"/>
    <w:basedOn w:val="31"/>
    <w:next w:val="22"/>
    <w:autoRedefine/>
    <w:qFormat/>
    <w:uiPriority w:val="0"/>
    <w:pPr>
      <w:autoSpaceDE w:val="0"/>
      <w:autoSpaceDN w:val="0"/>
    </w:pPr>
    <w:rPr>
      <w:rFonts w:hint="eastAsia" w:ascii="宋体"/>
      <w:sz w:val="24"/>
    </w:rPr>
  </w:style>
  <w:style w:type="paragraph" w:customStyle="1" w:styleId="31">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2">
    <w:name w:val="正文2"/>
    <w:basedOn w:val="1"/>
    <w:autoRedefine/>
    <w:qFormat/>
    <w:uiPriority w:val="0"/>
    <w:pPr>
      <w:spacing w:line="440" w:lineRule="atLeast"/>
      <w:ind w:firstLine="567"/>
    </w:pPr>
    <w:rPr>
      <w:sz w:val="24"/>
      <w:szCs w:val="20"/>
    </w:rPr>
  </w:style>
  <w:style w:type="paragraph" w:customStyle="1" w:styleId="33">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4">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5">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6">
    <w:name w:val="p0"/>
    <w:basedOn w:val="1"/>
    <w:autoRedefine/>
    <w:qFormat/>
    <w:uiPriority w:val="0"/>
    <w:pPr>
      <w:widowControl/>
    </w:pPr>
    <w:rPr>
      <w:kern w:val="0"/>
      <w:szCs w:val="21"/>
    </w:rPr>
  </w:style>
  <w:style w:type="character" w:customStyle="1" w:styleId="37">
    <w:name w:val="批注框文本 字符"/>
    <w:basedOn w:val="24"/>
    <w:link w:val="14"/>
    <w:autoRedefine/>
    <w:qFormat/>
    <w:uiPriority w:val="0"/>
    <w:rPr>
      <w:rFonts w:ascii="Calibri" w:hAnsi="Calibri"/>
      <w:kern w:val="2"/>
      <w:sz w:val="18"/>
      <w:szCs w:val="18"/>
    </w:rPr>
  </w:style>
  <w:style w:type="paragraph" w:customStyle="1" w:styleId="38">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9">
    <w:name w:val="表头 Char Char Char"/>
    <w:basedOn w:val="24"/>
    <w:autoRedefine/>
    <w:qFormat/>
    <w:uiPriority w:val="0"/>
    <w:rPr>
      <w:rFonts w:ascii="宋体" w:hAnsi="Tahoma" w:eastAsia="宋体"/>
      <w:snapToGrid w:val="0"/>
      <w:spacing w:val="6"/>
      <w:kern w:val="10"/>
      <w:sz w:val="24"/>
    </w:rPr>
  </w:style>
  <w:style w:type="paragraph" w:customStyle="1" w:styleId="40">
    <w:name w:val="表格居中"/>
    <w:basedOn w:val="41"/>
    <w:autoRedefine/>
    <w:qFormat/>
    <w:uiPriority w:val="0"/>
    <w:pPr>
      <w:jc w:val="center"/>
    </w:pPr>
  </w:style>
  <w:style w:type="paragraph" w:customStyle="1" w:styleId="41">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2">
    <w:name w:val="伟灿工贸-表格文字"/>
    <w:basedOn w:val="1"/>
    <w:autoRedefine/>
    <w:qFormat/>
    <w:uiPriority w:val="0"/>
    <w:pPr>
      <w:jc w:val="center"/>
    </w:pPr>
    <w:rPr>
      <w:rFonts w:hint="eastAsia" w:ascii="宋体" w:hAnsi="宋体" w:cs="宋体"/>
      <w:szCs w:val="21"/>
    </w:rPr>
  </w:style>
  <w:style w:type="paragraph" w:customStyle="1" w:styleId="43">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4">
    <w:name w:val="表名、图名"/>
    <w:basedOn w:val="1"/>
    <w:next w:val="1"/>
    <w:autoRedefine/>
    <w:qFormat/>
    <w:uiPriority w:val="0"/>
    <w:pPr>
      <w:jc w:val="center"/>
    </w:pPr>
    <w:rPr>
      <w:b/>
      <w:bCs/>
    </w:rPr>
  </w:style>
  <w:style w:type="paragraph" w:customStyle="1" w:styleId="45">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6">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7">
    <w:name w:val="工艺序号"/>
    <w:basedOn w:val="1"/>
    <w:autoRedefine/>
    <w:qFormat/>
    <w:uiPriority w:val="0"/>
    <w:pPr>
      <w:numPr>
        <w:ilvl w:val="0"/>
        <w:numId w:val="1"/>
      </w:numPr>
    </w:pPr>
    <w:rPr>
      <w:b/>
      <w:bCs/>
    </w:rPr>
  </w:style>
  <w:style w:type="paragraph" w:customStyle="1" w:styleId="48">
    <w:name w:val="伟灿-表格文字"/>
    <w:basedOn w:val="1"/>
    <w:autoRedefine/>
    <w:qFormat/>
    <w:uiPriority w:val="0"/>
    <w:pPr>
      <w:jc w:val="center"/>
    </w:pPr>
    <w:rPr>
      <w:rFonts w:hint="eastAsia" w:ascii="宋体" w:hAnsi="宋体" w:cs="宋体"/>
      <w:szCs w:val="21"/>
    </w:rPr>
  </w:style>
  <w:style w:type="paragraph" w:styleId="49">
    <w:name w:val="List Paragraph"/>
    <w:basedOn w:val="1"/>
    <w:autoRedefine/>
    <w:qFormat/>
    <w:uiPriority w:val="99"/>
    <w:pPr>
      <w:ind w:firstLine="420" w:firstLineChars="200"/>
    </w:pPr>
  </w:style>
  <w:style w:type="paragraph" w:customStyle="1" w:styleId="50">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1">
    <w:name w:val="日期 字符"/>
    <w:basedOn w:val="24"/>
    <w:link w:val="12"/>
    <w:autoRedefine/>
    <w:qFormat/>
    <w:uiPriority w:val="0"/>
    <w:rPr>
      <w:b/>
      <w:bCs/>
      <w:kern w:val="2"/>
      <w:sz w:val="28"/>
      <w:szCs w:val="24"/>
    </w:rPr>
  </w:style>
  <w:style w:type="paragraph" w:customStyle="1" w:styleId="52">
    <w:name w:val="AAA"/>
    <w:basedOn w:val="1"/>
    <w:qFormat/>
    <w:uiPriority w:val="0"/>
    <w:pPr>
      <w:ind w:firstLine="200" w:firstLineChars="200"/>
      <w:contextualSpacing/>
    </w:pPr>
    <w:rPr>
      <w:color w:val="000000"/>
      <w:szCs w:val="24"/>
    </w:rPr>
  </w:style>
  <w:style w:type="paragraph" w:customStyle="1" w:styleId="53">
    <w:name w:val="BBB"/>
    <w:qFormat/>
    <w:uiPriority w:val="99"/>
    <w:pPr>
      <w:spacing w:after="160" w:line="278" w:lineRule="auto"/>
      <w:jc w:val="center"/>
    </w:pPr>
    <w:rPr>
      <w:rFonts w:ascii="宋体" w:hAnsi="宋体" w:eastAsia="宋体" w:cs="Times New Roman"/>
      <w:bCs/>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1908</Words>
  <Characters>2130</Characters>
  <Lines>8</Lines>
  <Paragraphs>2</Paragraphs>
  <TotalTime>0</TotalTime>
  <ScaleCrop>false</ScaleCrop>
  <LinksUpToDate>false</LinksUpToDate>
  <CharactersWithSpaces>2133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2026-07-10T08:03:48Z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90474473440B444D80DDE77347D630AA_13</vt:lpwstr>
  </property>
  <property fmtid="{D5CDD505-2E9C-101B-9397-08002B2CF9AE}" pid="4" name="KSOTemplateDocerSaveRecord">
    <vt:lpwstr>eyJoZGlkIjoiNDgzMjdiZTZhYWEwMDUyMzMwMzdhZWM2ZmNjMGMzMDkiLCJ1c2VySWQiOiI1NzcyNjAwMzgifQ==</vt:lpwstr>
  </property>
</Properties>
</file>