
<file path=[Content_Types].xml><?xml version="1.0" encoding="utf-8"?>
<Types xmlns="http://schemas.openxmlformats.org/package/2006/content-types">
  <Default Extension="emf" ContentType="image/x-emf"/>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2003-2010___1.vsd" ContentType="application/vnd.visio"/>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A34740">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3"/>
        <w:tblW w:w="96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665"/>
        <w:gridCol w:w="758"/>
        <w:gridCol w:w="1015"/>
        <w:gridCol w:w="4674"/>
        <w:gridCol w:w="2508"/>
      </w:tblGrid>
      <w:tr w14:paraId="76507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665" w:type="dxa"/>
            <w:tcBorders>
              <w:tl2br w:val="nil"/>
              <w:tr2bl w:val="nil"/>
            </w:tcBorders>
            <w:shd w:val="clear" w:color="auto" w:fill="FFFFFF"/>
            <w:vAlign w:val="center"/>
          </w:tcPr>
          <w:p w14:paraId="182FB0BF">
            <w:pPr>
              <w:widowControl/>
              <w:spacing w:after="150"/>
              <w:jc w:val="center"/>
              <w:rPr>
                <w:rFonts w:ascii="宋体" w:hAnsi="宋体" w:cs="宋体"/>
                <w:sz w:val="24"/>
              </w:rPr>
            </w:pPr>
            <w:r>
              <w:rPr>
                <w:rFonts w:hint="eastAsia" w:ascii="宋体" w:hAnsi="宋体" w:cs="宋体"/>
                <w:kern w:val="0"/>
                <w:sz w:val="24"/>
                <w:shd w:val="clear" w:color="auto" w:fill="FFFFFF"/>
              </w:rPr>
              <w:t>项目名称</w:t>
            </w:r>
          </w:p>
        </w:tc>
        <w:tc>
          <w:tcPr>
            <w:tcW w:w="8955" w:type="dxa"/>
            <w:gridSpan w:val="4"/>
            <w:tcBorders>
              <w:tl2br w:val="nil"/>
              <w:tr2bl w:val="nil"/>
            </w:tcBorders>
            <w:shd w:val="clear" w:color="auto" w:fill="FFFFFF"/>
            <w:vAlign w:val="center"/>
          </w:tcPr>
          <w:p w14:paraId="61A650FF">
            <w:pPr>
              <w:widowControl/>
              <w:spacing w:after="150"/>
              <w:jc w:val="center"/>
              <w:rPr>
                <w:rFonts w:ascii="宋体" w:hAnsi="宋体" w:cs="宋体"/>
                <w:sz w:val="24"/>
              </w:rPr>
            </w:pPr>
            <w:r>
              <w:rPr>
                <w:rFonts w:hint="eastAsia" w:ascii="宋体" w:hAnsi="宋体" w:eastAsia="宋体" w:cs="宋体"/>
                <w:kern w:val="0"/>
                <w:sz w:val="24"/>
                <w:shd w:val="clear" w:color="auto" w:fill="FFFFFF"/>
                <w:lang w:eastAsia="zh-CN"/>
              </w:rPr>
              <w:t>会昌县盘古加油站经营危险化学品（成品油）项目安全现状评价报告</w:t>
            </w:r>
          </w:p>
        </w:tc>
      </w:tr>
      <w:tr w14:paraId="54265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665" w:type="dxa"/>
            <w:tcBorders>
              <w:tl2br w:val="nil"/>
              <w:tr2bl w:val="nil"/>
            </w:tcBorders>
            <w:shd w:val="clear" w:color="auto" w:fill="FFFFFF"/>
            <w:vAlign w:val="center"/>
          </w:tcPr>
          <w:p w14:paraId="232A0674">
            <w:pPr>
              <w:widowControl/>
              <w:spacing w:after="150"/>
              <w:jc w:val="center"/>
              <w:rPr>
                <w:rFonts w:ascii="宋体" w:hAnsi="宋体" w:cs="宋体"/>
                <w:sz w:val="24"/>
              </w:rPr>
            </w:pPr>
            <w:r>
              <w:rPr>
                <w:rFonts w:hint="eastAsia" w:ascii="宋体" w:hAnsi="宋体" w:cs="宋体"/>
                <w:kern w:val="0"/>
                <w:sz w:val="24"/>
                <w:shd w:val="clear" w:color="auto" w:fill="FFFFFF"/>
              </w:rPr>
              <w:t>完成时间</w:t>
            </w:r>
          </w:p>
        </w:tc>
        <w:tc>
          <w:tcPr>
            <w:tcW w:w="8955" w:type="dxa"/>
            <w:gridSpan w:val="4"/>
            <w:tcBorders>
              <w:tl2br w:val="nil"/>
              <w:tr2bl w:val="nil"/>
            </w:tcBorders>
            <w:shd w:val="clear" w:color="auto" w:fill="FFFFFF"/>
            <w:vAlign w:val="center"/>
          </w:tcPr>
          <w:p w14:paraId="0D6A2948">
            <w:pPr>
              <w:widowControl/>
              <w:spacing w:after="150"/>
              <w:jc w:val="center"/>
              <w:rPr>
                <w:rFonts w:hint="default" w:ascii="宋体" w:hAnsi="宋体" w:eastAsia="宋体" w:cs="宋体"/>
                <w:sz w:val="24"/>
                <w:lang w:val="en-US" w:eastAsia="zh-CN"/>
              </w:rPr>
            </w:pPr>
            <w:r>
              <w:rPr>
                <w:rFonts w:hint="eastAsia" w:ascii="宋体" w:hAnsi="宋体" w:cs="宋体"/>
                <w:sz w:val="24"/>
              </w:rPr>
              <w:t>202</w:t>
            </w:r>
            <w:r>
              <w:rPr>
                <w:rFonts w:hint="eastAsia" w:ascii="宋体" w:hAnsi="宋体" w:cs="宋体"/>
                <w:sz w:val="24"/>
                <w:lang w:val="en-US" w:eastAsia="zh-CN"/>
              </w:rPr>
              <w:t>6</w:t>
            </w:r>
            <w:r>
              <w:rPr>
                <w:rFonts w:hint="eastAsia" w:ascii="宋体" w:hAnsi="宋体" w:cs="宋体"/>
                <w:sz w:val="24"/>
              </w:rPr>
              <w:t>年</w:t>
            </w:r>
            <w:r>
              <w:rPr>
                <w:rFonts w:hint="eastAsia" w:ascii="宋体" w:hAnsi="宋体" w:cs="宋体"/>
                <w:sz w:val="24"/>
                <w:lang w:val="en-US" w:eastAsia="zh-CN"/>
              </w:rPr>
              <w:t>6</w:t>
            </w:r>
            <w:r>
              <w:rPr>
                <w:rFonts w:hint="eastAsia" w:ascii="宋体" w:hAnsi="宋体" w:cs="宋体"/>
                <w:sz w:val="24"/>
              </w:rPr>
              <w:t>月</w:t>
            </w:r>
          </w:p>
        </w:tc>
      </w:tr>
      <w:tr w14:paraId="2AD87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620" w:type="dxa"/>
            <w:gridSpan w:val="5"/>
            <w:tcBorders>
              <w:tl2br w:val="nil"/>
              <w:tr2bl w:val="nil"/>
            </w:tcBorders>
            <w:shd w:val="clear" w:color="auto" w:fill="FFFFFF"/>
            <w:vAlign w:val="center"/>
          </w:tcPr>
          <w:p w14:paraId="3EE647F2">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评价人员</w:t>
            </w:r>
          </w:p>
        </w:tc>
      </w:tr>
      <w:tr w14:paraId="316E0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665" w:type="dxa"/>
            <w:tcBorders>
              <w:tl2br w:val="nil"/>
              <w:tr2bl w:val="nil"/>
            </w:tcBorders>
            <w:shd w:val="clear" w:color="auto" w:fill="FFFFFF"/>
            <w:vAlign w:val="center"/>
          </w:tcPr>
          <w:p w14:paraId="10B93473">
            <w:pPr>
              <w:jc w:val="center"/>
              <w:rPr>
                <w:rFonts w:ascii="宋体" w:hAnsi="宋体" w:cs="宋体"/>
                <w:sz w:val="24"/>
              </w:rPr>
            </w:pPr>
          </w:p>
        </w:tc>
        <w:tc>
          <w:tcPr>
            <w:tcW w:w="758" w:type="dxa"/>
            <w:tcBorders>
              <w:tl2br w:val="nil"/>
              <w:tr2bl w:val="nil"/>
            </w:tcBorders>
            <w:shd w:val="clear" w:color="auto" w:fill="FFFFFF"/>
            <w:vAlign w:val="center"/>
          </w:tcPr>
          <w:p w14:paraId="476FDDF2">
            <w:pPr>
              <w:widowControl/>
              <w:spacing w:after="150"/>
              <w:jc w:val="center"/>
              <w:rPr>
                <w:rFonts w:ascii="宋体" w:hAnsi="宋体" w:cs="宋体"/>
                <w:sz w:val="24"/>
              </w:rPr>
            </w:pPr>
            <w:r>
              <w:rPr>
                <w:rFonts w:hint="eastAsia" w:ascii="宋体" w:hAnsi="宋体" w:cs="宋体"/>
                <w:kern w:val="0"/>
                <w:sz w:val="24"/>
                <w:shd w:val="clear" w:color="auto" w:fill="FFFFFF"/>
              </w:rPr>
              <w:t>姓名</w:t>
            </w:r>
          </w:p>
        </w:tc>
        <w:tc>
          <w:tcPr>
            <w:tcW w:w="5689" w:type="dxa"/>
            <w:gridSpan w:val="2"/>
            <w:tcBorders>
              <w:tl2br w:val="nil"/>
              <w:tr2bl w:val="nil"/>
            </w:tcBorders>
            <w:shd w:val="clear" w:color="auto" w:fill="FFFFFF"/>
            <w:vAlign w:val="center"/>
          </w:tcPr>
          <w:p w14:paraId="41DE2DD7">
            <w:pPr>
              <w:widowControl/>
              <w:spacing w:after="150"/>
              <w:jc w:val="center"/>
              <w:rPr>
                <w:rFonts w:ascii="宋体" w:hAnsi="宋体" w:cs="宋体"/>
                <w:sz w:val="24"/>
              </w:rPr>
            </w:pPr>
            <w:r>
              <w:rPr>
                <w:rFonts w:hint="eastAsia" w:ascii="宋体" w:hAnsi="宋体" w:cs="宋体"/>
                <w:kern w:val="0"/>
                <w:sz w:val="24"/>
                <w:shd w:val="clear" w:color="auto" w:fill="FFFFFF"/>
              </w:rPr>
              <w:t>资格证书号</w:t>
            </w:r>
          </w:p>
        </w:tc>
        <w:tc>
          <w:tcPr>
            <w:tcW w:w="2508" w:type="dxa"/>
            <w:tcBorders>
              <w:tl2br w:val="nil"/>
              <w:tr2bl w:val="nil"/>
            </w:tcBorders>
            <w:shd w:val="clear" w:color="auto" w:fill="FFFFFF"/>
            <w:vAlign w:val="center"/>
          </w:tcPr>
          <w:p w14:paraId="48A34EEA">
            <w:pPr>
              <w:widowControl/>
              <w:spacing w:after="150"/>
              <w:jc w:val="center"/>
              <w:rPr>
                <w:rFonts w:ascii="宋体" w:hAnsi="宋体" w:cs="宋体"/>
                <w:sz w:val="24"/>
              </w:rPr>
            </w:pPr>
            <w:r>
              <w:rPr>
                <w:rFonts w:hint="eastAsia" w:ascii="宋体" w:hAnsi="宋体" w:cs="宋体"/>
                <w:kern w:val="0"/>
                <w:sz w:val="24"/>
                <w:shd w:val="clear" w:color="auto" w:fill="FFFFFF"/>
              </w:rPr>
              <w:t>从业号</w:t>
            </w:r>
          </w:p>
        </w:tc>
      </w:tr>
      <w:tr w14:paraId="29A83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32" w:hRule="atLeast"/>
          <w:jc w:val="center"/>
        </w:trPr>
        <w:tc>
          <w:tcPr>
            <w:tcW w:w="665" w:type="dxa"/>
            <w:tcBorders>
              <w:tl2br w:val="nil"/>
              <w:tr2bl w:val="nil"/>
            </w:tcBorders>
            <w:shd w:val="clear" w:color="auto" w:fill="FFFFFF"/>
            <w:vAlign w:val="center"/>
          </w:tcPr>
          <w:p w14:paraId="1FB23008">
            <w:pPr>
              <w:jc w:val="center"/>
              <w:rPr>
                <w:rFonts w:ascii="宋体" w:hAnsi="宋体" w:cs="宋体"/>
                <w:sz w:val="24"/>
              </w:rPr>
            </w:pPr>
            <w:r>
              <w:rPr>
                <w:rFonts w:hint="eastAsia" w:ascii="宋体" w:hAnsi="宋体" w:cs="宋体"/>
                <w:sz w:val="24"/>
              </w:rPr>
              <w:t>项目负责人</w:t>
            </w:r>
          </w:p>
        </w:tc>
        <w:tc>
          <w:tcPr>
            <w:tcW w:w="758" w:type="dxa"/>
            <w:tcBorders>
              <w:tl2br w:val="nil"/>
              <w:tr2bl w:val="nil"/>
            </w:tcBorders>
            <w:shd w:val="clear" w:color="auto" w:fill="auto"/>
            <w:vAlign w:val="center"/>
          </w:tcPr>
          <w:p w14:paraId="56565DEB">
            <w:pPr>
              <w:spacing w:before="156" w:beforeLines="50" w:after="156" w:afterLines="50" w:line="400" w:lineRule="exact"/>
              <w:jc w:val="center"/>
              <w:rPr>
                <w:rFonts w:hint="default" w:ascii="宋体" w:hAnsi="宋体" w:eastAsia="宋体" w:cs="宋体"/>
                <w:kern w:val="2"/>
                <w:sz w:val="24"/>
                <w:szCs w:val="24"/>
                <w:lang w:val="en-US" w:eastAsia="zh-CN" w:bidi="ar-SA"/>
              </w:rPr>
            </w:pPr>
            <w:r>
              <w:rPr>
                <w:rFonts w:hint="eastAsia" w:ascii="宋体" w:hAnsi="宋体" w:eastAsia="宋体" w:cs="宋体"/>
                <w:sz w:val="24"/>
              </w:rPr>
              <w:t>蓝家财</w:t>
            </w:r>
          </w:p>
        </w:tc>
        <w:tc>
          <w:tcPr>
            <w:tcW w:w="5689" w:type="dxa"/>
            <w:gridSpan w:val="2"/>
            <w:tcBorders>
              <w:tl2br w:val="nil"/>
              <w:tr2bl w:val="nil"/>
            </w:tcBorders>
            <w:shd w:val="clear" w:color="auto" w:fill="FFFFFF"/>
            <w:vAlign w:val="center"/>
          </w:tcPr>
          <w:p w14:paraId="74203271">
            <w:pPr>
              <w:spacing w:line="360" w:lineRule="exact"/>
              <w:jc w:val="center"/>
              <w:rPr>
                <w:rFonts w:hint="default" w:ascii="宋体" w:hAnsi="宋体" w:eastAsia="宋体" w:cs="宋体"/>
                <w:kern w:val="2"/>
                <w:sz w:val="24"/>
                <w:szCs w:val="24"/>
                <w:lang w:val="en-US" w:eastAsia="zh-CN" w:bidi="zh-TW"/>
              </w:rPr>
            </w:pPr>
            <w:r>
              <w:rPr>
                <w:rFonts w:hint="eastAsia" w:ascii="宋体" w:hAnsi="宋体" w:eastAsia="宋体" w:cs="宋体"/>
                <w:sz w:val="24"/>
                <w:lang w:bidi="zh-TW"/>
              </w:rPr>
              <w:t>CAWS530000230200862</w:t>
            </w:r>
          </w:p>
        </w:tc>
        <w:tc>
          <w:tcPr>
            <w:tcW w:w="2508" w:type="dxa"/>
            <w:tcBorders>
              <w:tl2br w:val="nil"/>
              <w:tr2bl w:val="nil"/>
            </w:tcBorders>
            <w:shd w:val="clear" w:color="auto" w:fill="FFFFFF"/>
            <w:vAlign w:val="center"/>
          </w:tcPr>
          <w:p w14:paraId="3EA9A323">
            <w:pPr>
              <w:spacing w:line="360" w:lineRule="exact"/>
              <w:jc w:val="center"/>
              <w:rPr>
                <w:rFonts w:hint="default" w:ascii="宋体" w:hAnsi="宋体" w:eastAsia="宋体" w:cs="宋体"/>
                <w:kern w:val="2"/>
                <w:sz w:val="24"/>
                <w:szCs w:val="24"/>
                <w:lang w:val="en-US" w:eastAsia="zh-CN" w:bidi="zh-TW"/>
              </w:rPr>
            </w:pPr>
            <w:r>
              <w:rPr>
                <w:rFonts w:hint="eastAsia" w:ascii="宋体" w:hAnsi="宋体" w:eastAsia="宋体" w:cs="宋体"/>
                <w:sz w:val="24"/>
                <w:lang w:bidi="zh-TW"/>
              </w:rPr>
              <w:t>042916</w:t>
            </w:r>
          </w:p>
        </w:tc>
      </w:tr>
      <w:tr w14:paraId="42A37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9" w:hRule="atLeast"/>
          <w:jc w:val="center"/>
        </w:trPr>
        <w:tc>
          <w:tcPr>
            <w:tcW w:w="665" w:type="dxa"/>
            <w:vMerge w:val="restart"/>
            <w:tcBorders>
              <w:tl2br w:val="nil"/>
              <w:tr2bl w:val="nil"/>
            </w:tcBorders>
            <w:shd w:val="clear" w:color="auto" w:fill="FFFFFF"/>
            <w:vAlign w:val="center"/>
          </w:tcPr>
          <w:p w14:paraId="4A4D7CCA">
            <w:pPr>
              <w:jc w:val="center"/>
              <w:rPr>
                <w:rFonts w:ascii="宋体" w:hAnsi="宋体" w:cs="宋体"/>
                <w:sz w:val="24"/>
              </w:rPr>
            </w:pPr>
            <w:r>
              <w:rPr>
                <w:rFonts w:hint="eastAsia" w:ascii="宋体" w:hAnsi="宋体" w:cs="宋体"/>
                <w:sz w:val="24"/>
              </w:rPr>
              <w:t>项目组成员</w:t>
            </w:r>
          </w:p>
        </w:tc>
        <w:tc>
          <w:tcPr>
            <w:tcW w:w="758" w:type="dxa"/>
            <w:tcBorders>
              <w:tl2br w:val="nil"/>
              <w:tr2bl w:val="nil"/>
            </w:tcBorders>
            <w:shd w:val="clear" w:color="auto" w:fill="FFFFFF"/>
            <w:vAlign w:val="center"/>
          </w:tcPr>
          <w:p w14:paraId="2D36C39E">
            <w:pPr>
              <w:spacing w:before="156" w:beforeLines="50" w:after="156" w:afterLines="50" w:line="400" w:lineRule="exact"/>
              <w:jc w:val="center"/>
              <w:rPr>
                <w:rFonts w:hint="default" w:ascii="宋体" w:hAnsi="宋体" w:eastAsia="宋体" w:cs="宋体"/>
                <w:kern w:val="2"/>
                <w:sz w:val="24"/>
                <w:szCs w:val="24"/>
                <w:lang w:val="en-US" w:eastAsia="zh-CN" w:bidi="ar-SA"/>
              </w:rPr>
            </w:pPr>
            <w:r>
              <w:rPr>
                <w:rFonts w:hint="eastAsia" w:ascii="宋体" w:hAnsi="宋体" w:eastAsia="宋体" w:cs="宋体"/>
                <w:sz w:val="24"/>
              </w:rPr>
              <w:t>徐顺星</w:t>
            </w:r>
          </w:p>
        </w:tc>
        <w:tc>
          <w:tcPr>
            <w:tcW w:w="5689" w:type="dxa"/>
            <w:gridSpan w:val="2"/>
            <w:tcBorders>
              <w:tl2br w:val="nil"/>
              <w:tr2bl w:val="nil"/>
            </w:tcBorders>
            <w:shd w:val="clear" w:color="auto" w:fill="FFFFFF"/>
            <w:vAlign w:val="center"/>
          </w:tcPr>
          <w:p w14:paraId="652AFC5A">
            <w:pPr>
              <w:spacing w:before="156" w:beforeLines="50" w:after="156" w:afterLines="50" w:line="400" w:lineRule="exact"/>
              <w:jc w:val="center"/>
              <w:rPr>
                <w:rFonts w:hint="default" w:ascii="宋体" w:hAnsi="宋体" w:eastAsia="宋体" w:cs="宋体"/>
                <w:kern w:val="2"/>
                <w:sz w:val="24"/>
                <w:szCs w:val="24"/>
                <w:lang w:val="en-US" w:eastAsia="zh-CN" w:bidi="ar-SA"/>
              </w:rPr>
            </w:pPr>
            <w:r>
              <w:rPr>
                <w:rFonts w:hint="eastAsia" w:ascii="宋体" w:hAnsi="宋体" w:eastAsia="宋体" w:cs="宋体"/>
                <w:sz w:val="24"/>
              </w:rPr>
              <w:t>S011041000110192002229</w:t>
            </w:r>
          </w:p>
        </w:tc>
        <w:tc>
          <w:tcPr>
            <w:tcW w:w="2508" w:type="dxa"/>
            <w:tcBorders>
              <w:tl2br w:val="nil"/>
              <w:tr2bl w:val="nil"/>
            </w:tcBorders>
            <w:shd w:val="clear" w:color="auto" w:fill="FFFFFF"/>
            <w:vAlign w:val="center"/>
          </w:tcPr>
          <w:p w14:paraId="155B3950">
            <w:pPr>
              <w:spacing w:before="156" w:beforeLines="50" w:after="156" w:afterLines="50" w:line="400" w:lineRule="exact"/>
              <w:jc w:val="center"/>
              <w:rPr>
                <w:rFonts w:hint="default" w:ascii="宋体" w:hAnsi="宋体" w:eastAsia="宋体" w:cs="宋体"/>
                <w:kern w:val="2"/>
                <w:sz w:val="24"/>
                <w:szCs w:val="24"/>
                <w:lang w:val="en-US" w:eastAsia="zh-CN" w:bidi="ar-SA"/>
              </w:rPr>
            </w:pPr>
            <w:r>
              <w:rPr>
                <w:rFonts w:hint="eastAsia" w:ascii="宋体" w:hAnsi="宋体" w:eastAsia="宋体" w:cs="宋体"/>
                <w:sz w:val="24"/>
              </w:rPr>
              <w:t>018803</w:t>
            </w:r>
          </w:p>
        </w:tc>
      </w:tr>
      <w:tr w14:paraId="594F2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665" w:type="dxa"/>
            <w:vMerge w:val="continue"/>
            <w:tcBorders>
              <w:tl2br w:val="nil"/>
              <w:tr2bl w:val="nil"/>
            </w:tcBorders>
            <w:shd w:val="clear" w:color="auto" w:fill="FFFFFF"/>
            <w:vAlign w:val="center"/>
          </w:tcPr>
          <w:p w14:paraId="1894849F">
            <w:pPr>
              <w:jc w:val="center"/>
              <w:rPr>
                <w:rFonts w:ascii="宋体" w:hAnsi="宋体" w:cs="宋体"/>
                <w:sz w:val="24"/>
              </w:rPr>
            </w:pPr>
          </w:p>
        </w:tc>
        <w:tc>
          <w:tcPr>
            <w:tcW w:w="758" w:type="dxa"/>
            <w:tcBorders>
              <w:tl2br w:val="nil"/>
              <w:tr2bl w:val="nil"/>
            </w:tcBorders>
            <w:shd w:val="clear" w:color="auto" w:fill="FFFFFF"/>
            <w:vAlign w:val="center"/>
          </w:tcPr>
          <w:p w14:paraId="4A9331A7">
            <w:pPr>
              <w:spacing w:before="156" w:beforeLines="50" w:after="156" w:afterLines="50" w:line="400" w:lineRule="exact"/>
              <w:jc w:val="center"/>
              <w:rPr>
                <w:rFonts w:hint="default" w:ascii="宋体" w:hAnsi="宋体" w:eastAsia="宋体" w:cs="宋体"/>
                <w:kern w:val="2"/>
                <w:sz w:val="24"/>
                <w:szCs w:val="24"/>
                <w:lang w:val="en-US" w:eastAsia="zh-CN" w:bidi="ar-SA"/>
              </w:rPr>
            </w:pPr>
            <w:r>
              <w:rPr>
                <w:rFonts w:hint="eastAsia" w:ascii="宋体" w:hAnsi="宋体" w:eastAsia="宋体" w:cs="宋体"/>
                <w:sz w:val="24"/>
              </w:rPr>
              <w:t>乔贯德</w:t>
            </w:r>
          </w:p>
        </w:tc>
        <w:tc>
          <w:tcPr>
            <w:tcW w:w="5689" w:type="dxa"/>
            <w:gridSpan w:val="2"/>
            <w:tcBorders>
              <w:tl2br w:val="nil"/>
              <w:tr2bl w:val="nil"/>
            </w:tcBorders>
            <w:shd w:val="clear" w:color="auto" w:fill="FFFFFF"/>
            <w:vAlign w:val="center"/>
          </w:tcPr>
          <w:p w14:paraId="3E4AF7D5">
            <w:pPr>
              <w:spacing w:before="156" w:beforeLines="50" w:after="156" w:afterLines="50" w:line="400" w:lineRule="exact"/>
              <w:jc w:val="center"/>
              <w:rPr>
                <w:rFonts w:hint="default" w:ascii="宋体" w:hAnsi="宋体" w:eastAsia="宋体" w:cs="宋体"/>
                <w:kern w:val="2"/>
                <w:sz w:val="24"/>
                <w:szCs w:val="24"/>
                <w:lang w:val="en-US" w:eastAsia="zh-CN" w:bidi="ar-SA"/>
              </w:rPr>
            </w:pPr>
            <w:r>
              <w:rPr>
                <w:rFonts w:hint="eastAsia" w:ascii="宋体" w:hAnsi="宋体" w:eastAsia="宋体" w:cs="宋体"/>
                <w:sz w:val="24"/>
              </w:rPr>
              <w:t>1700000000300087</w:t>
            </w:r>
          </w:p>
        </w:tc>
        <w:tc>
          <w:tcPr>
            <w:tcW w:w="2508" w:type="dxa"/>
            <w:tcBorders>
              <w:tl2br w:val="nil"/>
              <w:tr2bl w:val="nil"/>
            </w:tcBorders>
            <w:shd w:val="clear" w:color="auto" w:fill="FFFFFF"/>
            <w:vAlign w:val="center"/>
          </w:tcPr>
          <w:p w14:paraId="097E9CF2">
            <w:pPr>
              <w:spacing w:before="156" w:beforeLines="50" w:after="156" w:afterLines="50" w:line="400" w:lineRule="exact"/>
              <w:jc w:val="center"/>
              <w:rPr>
                <w:rFonts w:hint="default" w:ascii="宋体" w:hAnsi="宋体" w:eastAsia="宋体" w:cs="宋体"/>
                <w:kern w:val="2"/>
                <w:sz w:val="24"/>
                <w:szCs w:val="24"/>
                <w:lang w:val="en-US" w:eastAsia="zh-CN" w:bidi="ar-SA"/>
              </w:rPr>
            </w:pPr>
            <w:r>
              <w:rPr>
                <w:rFonts w:hint="eastAsia" w:ascii="宋体" w:hAnsi="宋体" w:eastAsia="宋体" w:cs="宋体"/>
                <w:sz w:val="24"/>
              </w:rPr>
              <w:t>030797</w:t>
            </w:r>
          </w:p>
        </w:tc>
      </w:tr>
      <w:tr w14:paraId="75184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665" w:type="dxa"/>
            <w:vMerge w:val="continue"/>
            <w:tcBorders>
              <w:tl2br w:val="nil"/>
              <w:tr2bl w:val="nil"/>
            </w:tcBorders>
            <w:shd w:val="clear" w:color="auto" w:fill="FFFFFF"/>
            <w:vAlign w:val="center"/>
          </w:tcPr>
          <w:p w14:paraId="218282FC">
            <w:pPr>
              <w:jc w:val="center"/>
              <w:rPr>
                <w:rFonts w:ascii="宋体" w:hAnsi="宋体" w:cs="宋体"/>
                <w:sz w:val="24"/>
              </w:rPr>
            </w:pPr>
          </w:p>
        </w:tc>
        <w:tc>
          <w:tcPr>
            <w:tcW w:w="758" w:type="dxa"/>
            <w:tcBorders>
              <w:tl2br w:val="nil"/>
              <w:tr2bl w:val="nil"/>
            </w:tcBorders>
            <w:shd w:val="clear" w:color="auto" w:fill="FFFFFF"/>
            <w:vAlign w:val="center"/>
          </w:tcPr>
          <w:p w14:paraId="07C8D395">
            <w:pPr>
              <w:spacing w:before="156" w:beforeLines="50" w:after="156" w:afterLines="50" w:line="400" w:lineRule="exact"/>
              <w:jc w:val="center"/>
              <w:rPr>
                <w:rFonts w:hint="default" w:ascii="宋体" w:hAnsi="宋体" w:eastAsia="宋体" w:cs="宋体"/>
                <w:kern w:val="2"/>
                <w:sz w:val="24"/>
                <w:szCs w:val="24"/>
                <w:lang w:val="en-US" w:eastAsia="zh-CN" w:bidi="ar-SA"/>
              </w:rPr>
            </w:pPr>
            <w:r>
              <w:rPr>
                <w:rFonts w:hint="eastAsia" w:ascii="宋体" w:hAnsi="宋体" w:eastAsia="宋体" w:cs="宋体"/>
                <w:sz w:val="24"/>
                <w:lang w:val="en-US" w:eastAsia="zh-CN"/>
              </w:rPr>
              <w:t>于志勇</w:t>
            </w:r>
          </w:p>
        </w:tc>
        <w:tc>
          <w:tcPr>
            <w:tcW w:w="5689" w:type="dxa"/>
            <w:gridSpan w:val="2"/>
            <w:tcBorders>
              <w:tl2br w:val="nil"/>
              <w:tr2bl w:val="nil"/>
            </w:tcBorders>
            <w:shd w:val="clear" w:color="auto" w:fill="FFFFFF"/>
            <w:vAlign w:val="center"/>
          </w:tcPr>
          <w:p w14:paraId="1F79760F">
            <w:pPr>
              <w:spacing w:before="156" w:beforeLines="50" w:after="156" w:afterLines="50" w:line="400" w:lineRule="exact"/>
              <w:jc w:val="center"/>
              <w:rPr>
                <w:rFonts w:hint="default" w:ascii="宋体" w:hAnsi="宋体" w:eastAsia="宋体" w:cs="宋体"/>
                <w:kern w:val="2"/>
                <w:sz w:val="24"/>
                <w:szCs w:val="24"/>
                <w:lang w:val="en-US" w:eastAsia="zh-CN" w:bidi="ar-SA"/>
              </w:rPr>
            </w:pPr>
            <w:r>
              <w:rPr>
                <w:rFonts w:hint="eastAsia" w:ascii="宋体" w:hAnsi="宋体" w:eastAsia="宋体" w:cs="宋体"/>
                <w:sz w:val="24"/>
              </w:rPr>
              <w:t xml:space="preserve">2014033230330000003310230030  </w:t>
            </w:r>
          </w:p>
        </w:tc>
        <w:tc>
          <w:tcPr>
            <w:tcW w:w="2508" w:type="dxa"/>
            <w:tcBorders>
              <w:tl2br w:val="nil"/>
              <w:tr2bl w:val="nil"/>
            </w:tcBorders>
            <w:shd w:val="clear" w:color="auto" w:fill="FFFFFF"/>
            <w:vAlign w:val="center"/>
          </w:tcPr>
          <w:p w14:paraId="05E42F8E">
            <w:pPr>
              <w:spacing w:before="156" w:beforeLines="50" w:after="156" w:afterLines="50" w:line="400" w:lineRule="exact"/>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51190209624</w:t>
            </w:r>
          </w:p>
        </w:tc>
      </w:tr>
      <w:tr w14:paraId="2E47C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665" w:type="dxa"/>
            <w:vMerge w:val="continue"/>
            <w:tcBorders>
              <w:tl2br w:val="nil"/>
              <w:tr2bl w:val="nil"/>
            </w:tcBorders>
            <w:shd w:val="clear" w:color="auto" w:fill="FFFFFF"/>
            <w:vAlign w:val="center"/>
          </w:tcPr>
          <w:p w14:paraId="1F732C06">
            <w:pPr>
              <w:jc w:val="center"/>
              <w:rPr>
                <w:rFonts w:ascii="宋体" w:hAnsi="宋体" w:cs="宋体"/>
                <w:sz w:val="24"/>
              </w:rPr>
            </w:pPr>
          </w:p>
        </w:tc>
        <w:tc>
          <w:tcPr>
            <w:tcW w:w="758" w:type="dxa"/>
            <w:tcBorders>
              <w:tl2br w:val="nil"/>
              <w:tr2bl w:val="nil"/>
            </w:tcBorders>
            <w:shd w:val="clear" w:color="auto" w:fill="FFFFFF"/>
            <w:vAlign w:val="center"/>
          </w:tcPr>
          <w:p w14:paraId="54F4E8F4">
            <w:pPr>
              <w:spacing w:before="156" w:beforeLines="50" w:after="156" w:afterLines="50" w:line="4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lang w:val="en-US" w:eastAsia="zh-CN"/>
              </w:rPr>
              <w:t>程冬红</w:t>
            </w:r>
          </w:p>
        </w:tc>
        <w:tc>
          <w:tcPr>
            <w:tcW w:w="5689" w:type="dxa"/>
            <w:gridSpan w:val="2"/>
            <w:tcBorders>
              <w:tl2br w:val="nil"/>
              <w:tr2bl w:val="nil"/>
            </w:tcBorders>
            <w:shd w:val="clear" w:color="auto" w:fill="FFFFFF"/>
            <w:vAlign w:val="center"/>
          </w:tcPr>
          <w:p w14:paraId="00C17882">
            <w:pPr>
              <w:spacing w:before="156" w:beforeLines="50" w:after="156" w:afterLines="50" w:line="4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1500000000301714</w:t>
            </w:r>
          </w:p>
        </w:tc>
        <w:tc>
          <w:tcPr>
            <w:tcW w:w="2508" w:type="dxa"/>
            <w:tcBorders>
              <w:tl2br w:val="nil"/>
              <w:tr2bl w:val="nil"/>
            </w:tcBorders>
            <w:shd w:val="clear" w:color="auto" w:fill="FFFFFF"/>
            <w:vAlign w:val="center"/>
          </w:tcPr>
          <w:p w14:paraId="3D85FB31">
            <w:pPr>
              <w:spacing w:before="156" w:beforeLines="50" w:after="156" w:afterLines="50" w:line="400" w:lineRule="exact"/>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026812</w:t>
            </w:r>
          </w:p>
        </w:tc>
      </w:tr>
      <w:tr w14:paraId="31090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665" w:type="dxa"/>
            <w:vMerge w:val="continue"/>
            <w:tcBorders>
              <w:tl2br w:val="nil"/>
              <w:tr2bl w:val="nil"/>
            </w:tcBorders>
            <w:shd w:val="clear" w:color="auto" w:fill="FFFFFF"/>
            <w:vAlign w:val="center"/>
          </w:tcPr>
          <w:p w14:paraId="21AC23D0">
            <w:pPr>
              <w:jc w:val="center"/>
              <w:rPr>
                <w:rFonts w:ascii="宋体" w:hAnsi="宋体" w:cs="宋体"/>
                <w:sz w:val="24"/>
              </w:rPr>
            </w:pPr>
          </w:p>
        </w:tc>
        <w:tc>
          <w:tcPr>
            <w:tcW w:w="758" w:type="dxa"/>
            <w:tcBorders>
              <w:tl2br w:val="nil"/>
              <w:tr2bl w:val="nil"/>
            </w:tcBorders>
            <w:shd w:val="clear" w:color="auto" w:fill="FFFFFF"/>
            <w:vAlign w:val="center"/>
          </w:tcPr>
          <w:p w14:paraId="4FE08C8F">
            <w:pPr>
              <w:spacing w:before="156" w:beforeLines="50" w:after="156" w:afterLines="50" w:line="400" w:lineRule="exac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刘二平</w:t>
            </w:r>
          </w:p>
        </w:tc>
        <w:tc>
          <w:tcPr>
            <w:tcW w:w="5689" w:type="dxa"/>
            <w:gridSpan w:val="2"/>
            <w:tcBorders>
              <w:tl2br w:val="nil"/>
              <w:tr2bl w:val="nil"/>
            </w:tcBorders>
            <w:shd w:val="clear" w:color="auto" w:fill="FFFFFF"/>
            <w:vAlign w:val="center"/>
          </w:tcPr>
          <w:p w14:paraId="2F53413F">
            <w:pPr>
              <w:spacing w:before="156" w:beforeLines="50" w:after="156" w:afterLines="50" w:line="400" w:lineRule="exac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03320241036000000887</w:t>
            </w:r>
          </w:p>
        </w:tc>
        <w:tc>
          <w:tcPr>
            <w:tcW w:w="2508" w:type="dxa"/>
            <w:tcBorders>
              <w:tl2br w:val="nil"/>
              <w:tr2bl w:val="nil"/>
            </w:tcBorders>
            <w:shd w:val="clear" w:color="auto" w:fill="FFFFFF"/>
            <w:vAlign w:val="center"/>
          </w:tcPr>
          <w:p w14:paraId="31B47B28">
            <w:pPr>
              <w:spacing w:before="156" w:beforeLines="50" w:after="156" w:afterLines="50" w:line="400" w:lineRule="exact"/>
              <w:ind w:firstLine="0" w:firstLineChars="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37250438462</w:t>
            </w:r>
          </w:p>
        </w:tc>
      </w:tr>
      <w:tr w14:paraId="1968C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61" w:hRule="atLeast"/>
          <w:jc w:val="center"/>
        </w:trPr>
        <w:tc>
          <w:tcPr>
            <w:tcW w:w="665" w:type="dxa"/>
            <w:tcBorders>
              <w:tl2br w:val="nil"/>
              <w:tr2bl w:val="nil"/>
            </w:tcBorders>
            <w:shd w:val="clear" w:color="auto" w:fill="FFFFFF"/>
            <w:vAlign w:val="center"/>
          </w:tcPr>
          <w:p w14:paraId="1393FDAF">
            <w:pPr>
              <w:widowControl/>
              <w:spacing w:after="150"/>
              <w:jc w:val="center"/>
              <w:rPr>
                <w:rFonts w:ascii="宋体" w:hAnsi="宋体" w:cs="宋体"/>
                <w:sz w:val="24"/>
              </w:rPr>
            </w:pPr>
            <w:r>
              <w:rPr>
                <w:rFonts w:hint="eastAsia" w:ascii="宋体" w:hAnsi="宋体" w:cs="宋体"/>
                <w:kern w:val="0"/>
                <w:sz w:val="24"/>
                <w:shd w:val="clear" w:color="auto" w:fill="FFFFFF"/>
              </w:rPr>
              <w:t>技术专家</w:t>
            </w:r>
          </w:p>
        </w:tc>
        <w:tc>
          <w:tcPr>
            <w:tcW w:w="8955" w:type="dxa"/>
            <w:gridSpan w:val="4"/>
            <w:tcBorders>
              <w:tl2br w:val="nil"/>
              <w:tr2bl w:val="nil"/>
            </w:tcBorders>
            <w:shd w:val="clear" w:color="auto" w:fill="FFFFFF"/>
            <w:vAlign w:val="center"/>
          </w:tcPr>
          <w:p w14:paraId="06BC571F">
            <w:pPr>
              <w:jc w:val="center"/>
              <w:rPr>
                <w:rFonts w:ascii="宋体" w:hAnsi="宋体" w:cs="宋体"/>
                <w:sz w:val="24"/>
              </w:rPr>
            </w:pPr>
            <w:r>
              <w:rPr>
                <w:rFonts w:hint="eastAsia" w:ascii="宋体" w:hAnsi="宋体" w:cs="宋体"/>
                <w:sz w:val="24"/>
              </w:rPr>
              <w:t>/</w:t>
            </w:r>
          </w:p>
        </w:tc>
      </w:tr>
      <w:tr w14:paraId="4F7E4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09" w:hRule="atLeast"/>
          <w:jc w:val="center"/>
        </w:trPr>
        <w:tc>
          <w:tcPr>
            <w:tcW w:w="2438" w:type="dxa"/>
            <w:gridSpan w:val="3"/>
            <w:tcBorders>
              <w:tl2br w:val="nil"/>
              <w:tr2bl w:val="nil"/>
            </w:tcBorders>
            <w:shd w:val="clear" w:color="auto" w:fill="FFFFFF"/>
            <w:vAlign w:val="center"/>
          </w:tcPr>
          <w:p w14:paraId="29ED6B3E">
            <w:pPr>
              <w:widowControl/>
              <w:spacing w:after="150"/>
              <w:jc w:val="center"/>
              <w:rPr>
                <w:rFonts w:ascii="宋体" w:hAnsi="宋体" w:cs="宋体"/>
                <w:sz w:val="24"/>
              </w:rPr>
            </w:pPr>
            <w:r>
              <w:rPr>
                <w:rFonts w:hint="eastAsia" w:ascii="宋体" w:hAnsi="宋体" w:cs="宋体"/>
                <w:kern w:val="0"/>
                <w:sz w:val="24"/>
                <w:shd w:val="clear" w:color="auto" w:fill="FFFFFF"/>
              </w:rPr>
              <w:t>现场勘察人员及时间</w:t>
            </w:r>
          </w:p>
        </w:tc>
        <w:tc>
          <w:tcPr>
            <w:tcW w:w="7182" w:type="dxa"/>
            <w:gridSpan w:val="2"/>
            <w:tcBorders>
              <w:tl2br w:val="nil"/>
              <w:tr2bl w:val="nil"/>
            </w:tcBorders>
            <w:shd w:val="clear" w:color="auto" w:fill="FFFFFF"/>
            <w:vAlign w:val="center"/>
          </w:tcPr>
          <w:p w14:paraId="0A9BD943">
            <w:pPr>
              <w:widowControl/>
              <w:spacing w:after="150"/>
              <w:jc w:val="center"/>
              <w:rPr>
                <w:rFonts w:hint="default" w:ascii="Times New Roman" w:hAnsi="Times New Roman" w:eastAsia="宋体"/>
                <w:sz w:val="24"/>
                <w:lang w:val="en-US" w:eastAsia="zh-CN"/>
              </w:rPr>
            </w:pPr>
            <w:r>
              <w:rPr>
                <w:rFonts w:hint="eastAsia" w:ascii="Calibri" w:hAnsi="Calibri" w:eastAsia="宋体" w:cs="Times New Roman"/>
                <w:sz w:val="24"/>
                <w:szCs w:val="24"/>
                <w:lang w:val="en-US" w:eastAsia="zh-CN"/>
              </w:rPr>
              <w:t>蓝家财</w:t>
            </w:r>
            <w:r>
              <w:rPr>
                <w:rFonts w:hint="eastAsia" w:cs="Times New Roman"/>
                <w:sz w:val="24"/>
                <w:szCs w:val="24"/>
                <w:lang w:val="en-US" w:eastAsia="zh-CN"/>
              </w:rPr>
              <w:t>、</w:t>
            </w:r>
            <w:r>
              <w:rPr>
                <w:rFonts w:ascii="宋体" w:hAnsi="宋体" w:eastAsia="宋体" w:cs="宋体"/>
                <w:sz w:val="24"/>
                <w:szCs w:val="24"/>
              </w:rPr>
              <w:t>刘二平</w:t>
            </w:r>
            <w:r>
              <w:rPr>
                <w:rFonts w:hint="eastAsia"/>
                <w:sz w:val="24"/>
              </w:rPr>
              <w:t xml:space="preserve"> </w:t>
            </w:r>
            <w:r>
              <w:rPr>
                <w:rFonts w:hint="eastAsia"/>
                <w:sz w:val="24"/>
                <w:lang w:val="en-US" w:eastAsia="zh-CN"/>
              </w:rPr>
              <w:t>2026年6月19日</w:t>
            </w:r>
          </w:p>
        </w:tc>
      </w:tr>
      <w:tr w14:paraId="0A655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2" w:hRule="atLeast"/>
          <w:jc w:val="center"/>
        </w:trPr>
        <w:tc>
          <w:tcPr>
            <w:tcW w:w="2438" w:type="dxa"/>
            <w:gridSpan w:val="3"/>
            <w:tcBorders>
              <w:tl2br w:val="nil"/>
              <w:tr2bl w:val="nil"/>
            </w:tcBorders>
            <w:shd w:val="clear" w:color="auto" w:fill="FFFFFF"/>
            <w:vAlign w:val="center"/>
          </w:tcPr>
          <w:p w14:paraId="716803F2">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现场核查的人员和时间</w:t>
            </w:r>
          </w:p>
        </w:tc>
        <w:tc>
          <w:tcPr>
            <w:tcW w:w="7182" w:type="dxa"/>
            <w:gridSpan w:val="2"/>
            <w:tcBorders>
              <w:tl2br w:val="nil"/>
              <w:tr2bl w:val="nil"/>
            </w:tcBorders>
            <w:shd w:val="clear" w:color="auto" w:fill="FFFFFF"/>
            <w:vAlign w:val="center"/>
          </w:tcPr>
          <w:p w14:paraId="0C6652F1">
            <w:pPr>
              <w:widowControl/>
              <w:spacing w:after="150"/>
              <w:jc w:val="center"/>
              <w:rPr>
                <w:rFonts w:hint="default" w:ascii="Times New Roman" w:hAnsi="Times New Roman" w:eastAsia="宋体"/>
                <w:color w:val="FF0000"/>
                <w:sz w:val="24"/>
                <w:lang w:val="en-US" w:eastAsia="zh-CN"/>
              </w:rPr>
            </w:pPr>
            <w:r>
              <w:rPr>
                <w:rFonts w:hint="eastAsia" w:ascii="Calibri" w:hAnsi="Calibri" w:eastAsia="宋体" w:cs="Times New Roman"/>
                <w:sz w:val="24"/>
                <w:szCs w:val="24"/>
                <w:lang w:val="en-US" w:eastAsia="zh-CN"/>
              </w:rPr>
              <w:t>蓝家财</w:t>
            </w:r>
            <w:r>
              <w:rPr>
                <w:rFonts w:hint="eastAsia" w:cs="Times New Roman"/>
                <w:sz w:val="24"/>
                <w:szCs w:val="24"/>
                <w:lang w:val="en-US" w:eastAsia="zh-CN"/>
              </w:rPr>
              <w:t>、</w:t>
            </w:r>
            <w:r>
              <w:rPr>
                <w:rFonts w:ascii="宋体" w:hAnsi="宋体" w:eastAsia="宋体" w:cs="宋体"/>
                <w:sz w:val="24"/>
                <w:szCs w:val="24"/>
              </w:rPr>
              <w:t>刘二平</w:t>
            </w:r>
            <w:r>
              <w:rPr>
                <w:rFonts w:hint="eastAsia"/>
                <w:sz w:val="24"/>
              </w:rPr>
              <w:t xml:space="preserve"> </w:t>
            </w:r>
            <w:r>
              <w:rPr>
                <w:rFonts w:hint="eastAsia"/>
                <w:sz w:val="24"/>
                <w:lang w:val="en-US" w:eastAsia="zh-CN"/>
              </w:rPr>
              <w:t>2026年6月21日</w:t>
            </w:r>
          </w:p>
        </w:tc>
      </w:tr>
      <w:tr w14:paraId="7F3ED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665" w:type="dxa"/>
            <w:tcBorders>
              <w:tl2br w:val="nil"/>
              <w:tr2bl w:val="nil"/>
            </w:tcBorders>
            <w:shd w:val="clear" w:color="auto" w:fill="FFFFFF"/>
            <w:vAlign w:val="center"/>
          </w:tcPr>
          <w:p w14:paraId="79FDD196">
            <w:pPr>
              <w:widowControl/>
              <w:spacing w:after="150"/>
              <w:jc w:val="center"/>
              <w:rPr>
                <w:rFonts w:ascii="宋体" w:hAnsi="宋体" w:cs="宋体"/>
                <w:sz w:val="24"/>
              </w:rPr>
            </w:pPr>
            <w:r>
              <w:rPr>
                <w:rFonts w:hint="eastAsia" w:ascii="宋体" w:hAnsi="宋体" w:cs="宋体"/>
                <w:color w:val="FF0000"/>
                <w:kern w:val="0"/>
                <w:sz w:val="24"/>
                <w:shd w:val="clear" w:color="auto" w:fill="FFFFFF"/>
              </w:rPr>
              <w:t>项目简介</w:t>
            </w:r>
          </w:p>
        </w:tc>
        <w:tc>
          <w:tcPr>
            <w:tcW w:w="8955" w:type="dxa"/>
            <w:gridSpan w:val="4"/>
            <w:tcBorders>
              <w:tl2br w:val="nil"/>
              <w:tr2bl w:val="nil"/>
            </w:tcBorders>
            <w:shd w:val="clear" w:color="auto" w:fill="FFFFFF"/>
          </w:tcPr>
          <w:p w14:paraId="5F8AA606">
            <w:pPr>
              <w:pStyle w:val="8"/>
              <w:ind w:firstLine="480" w:firstLineChars="200"/>
              <w:rPr>
                <w:rFonts w:hint="eastAsia"/>
                <w:sz w:val="24"/>
                <w:szCs w:val="24"/>
                <w:lang w:val="en-US" w:eastAsia="zh-CN"/>
              </w:rPr>
            </w:pPr>
            <w:r>
              <w:rPr>
                <w:rFonts w:hint="eastAsia"/>
                <w:sz w:val="24"/>
                <w:szCs w:val="24"/>
                <w:lang w:val="en-US" w:eastAsia="zh-CN"/>
              </w:rPr>
              <w:t>会昌县盘古加油站是从事成品油储存、经营的企业，位于江西省赣州市会昌县筠门岭镇盘古村，投资人：曾庆星。本站设有3台双枪单油品加油机与1台双枪双油品加油机；非承重埋地卧式SF双层油罐4台，其中50m392#、95#汽油隔仓储罐1台（92#汽油、95#汽油各25m³），30m392#汽油储罐1台，30m30#柴油2台，油罐总容积为140m³，柴油折半计入汽油后为110m³，该加油站经营规模为二级加油站。</w:t>
            </w:r>
          </w:p>
          <w:p w14:paraId="45549F87">
            <w:pPr>
              <w:pStyle w:val="8"/>
              <w:ind w:firstLine="480" w:firstLineChars="200"/>
              <w:rPr>
                <w:rFonts w:hint="eastAsia"/>
                <w:lang w:val="en-US" w:eastAsia="zh-CN"/>
              </w:rPr>
            </w:pPr>
            <w:r>
              <w:rPr>
                <w:rFonts w:hint="eastAsia"/>
                <w:sz w:val="24"/>
                <w:szCs w:val="24"/>
                <w:lang w:val="en-US" w:eastAsia="zh-CN"/>
              </w:rPr>
              <w:t>2023年08月24日，该加油站换发了赣州市行政审批局颁发的《危险化学品经营许可证》，证书编号：赣虔经（甲）字[2023]000001号，有效期2023年08月24日至2026年08月23日。许可经营范围：汽油、柴油。经营方式：零售。</w:t>
            </w:r>
          </w:p>
        </w:tc>
      </w:tr>
      <w:tr w14:paraId="7E28E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665" w:type="dxa"/>
            <w:tcBorders>
              <w:tl2br w:val="nil"/>
              <w:tr2bl w:val="nil"/>
            </w:tcBorders>
            <w:shd w:val="clear" w:color="auto" w:fill="FFFFFF"/>
            <w:vAlign w:val="center"/>
          </w:tcPr>
          <w:p w14:paraId="20115CC1">
            <w:pPr>
              <w:widowControl/>
              <w:spacing w:after="150"/>
              <w:jc w:val="center"/>
            </w:pPr>
            <w:r>
              <w:rPr>
                <w:rFonts w:hint="eastAsia"/>
                <w:color w:val="FF0000"/>
                <w:sz w:val="24"/>
              </w:rPr>
              <w:t>工艺流程</w:t>
            </w:r>
          </w:p>
        </w:tc>
        <w:tc>
          <w:tcPr>
            <w:tcW w:w="8955" w:type="dxa"/>
            <w:gridSpan w:val="4"/>
            <w:tcBorders>
              <w:tl2br w:val="nil"/>
              <w:tr2bl w:val="nil"/>
            </w:tcBorders>
            <w:shd w:val="clear" w:color="auto" w:fill="FFFFFF"/>
          </w:tcPr>
          <w:p w14:paraId="0C3DC81A">
            <w:pPr>
              <w:pStyle w:val="3"/>
              <w:ind w:firstLine="602"/>
              <w:rPr>
                <w:b/>
                <w:bCs/>
                <w:sz w:val="24"/>
                <w:szCs w:val="24"/>
              </w:rPr>
            </w:pPr>
            <w:bookmarkStart w:id="0" w:name="_Toc28277"/>
            <w:bookmarkStart w:id="1" w:name="_Toc8258"/>
            <w:r>
              <w:rPr>
                <w:rFonts w:hint="eastAsia"/>
                <w:b/>
                <w:bCs/>
                <w:sz w:val="24"/>
                <w:szCs w:val="24"/>
              </w:rPr>
              <w:t>2.9工艺流程</w:t>
            </w:r>
            <w:bookmarkEnd w:id="0"/>
            <w:bookmarkEnd w:id="1"/>
          </w:p>
          <w:p w14:paraId="09164C49">
            <w:pPr>
              <w:ind w:firstLine="560"/>
              <w:rPr>
                <w:sz w:val="24"/>
                <w:szCs w:val="24"/>
              </w:rPr>
            </w:pPr>
            <w:bookmarkStart w:id="2" w:name="_Toc240859955"/>
            <w:r>
              <w:rPr>
                <w:sz w:val="24"/>
                <w:szCs w:val="24"/>
              </w:rPr>
              <w:t>加油站经营</w:t>
            </w:r>
            <w:r>
              <w:rPr>
                <w:rFonts w:hint="eastAsia"/>
                <w:sz w:val="24"/>
                <w:szCs w:val="24"/>
              </w:rPr>
              <w:t>的</w:t>
            </w:r>
            <w:r>
              <w:rPr>
                <w:sz w:val="24"/>
                <w:szCs w:val="24"/>
              </w:rPr>
              <w:t>汽油</w:t>
            </w:r>
            <w:r>
              <w:rPr>
                <w:rFonts w:hint="eastAsia"/>
                <w:sz w:val="24"/>
                <w:szCs w:val="24"/>
              </w:rPr>
              <w:t>、柴油</w:t>
            </w:r>
            <w:r>
              <w:rPr>
                <w:sz w:val="24"/>
                <w:szCs w:val="24"/>
              </w:rPr>
              <w:t>，其来料运输由专业</w:t>
            </w:r>
            <w:r>
              <w:rPr>
                <w:rFonts w:hint="eastAsia"/>
                <w:sz w:val="24"/>
                <w:szCs w:val="24"/>
              </w:rPr>
              <w:t>柴油、</w:t>
            </w:r>
            <w:r>
              <w:rPr>
                <w:sz w:val="24"/>
                <w:szCs w:val="24"/>
              </w:rPr>
              <w:t>汽油运输单位及车辆负责到站，加油站不负责化学品（汽油</w:t>
            </w:r>
            <w:r>
              <w:rPr>
                <w:rFonts w:hint="eastAsia"/>
                <w:sz w:val="24"/>
                <w:szCs w:val="24"/>
              </w:rPr>
              <w:t>、柴油</w:t>
            </w:r>
            <w:r>
              <w:rPr>
                <w:sz w:val="24"/>
                <w:szCs w:val="24"/>
              </w:rPr>
              <w:t>）的道路运输。其经营工艺如下：</w:t>
            </w:r>
            <w:bookmarkEnd w:id="2"/>
          </w:p>
          <w:p w14:paraId="4F87BD5E">
            <w:pPr>
              <w:pStyle w:val="4"/>
              <w:ind w:firstLine="562"/>
              <w:rPr>
                <w:sz w:val="24"/>
                <w:szCs w:val="24"/>
              </w:rPr>
            </w:pPr>
            <w:bookmarkStart w:id="3" w:name="_Toc17023"/>
            <w:r>
              <w:rPr>
                <w:rFonts w:hint="eastAsia"/>
                <w:sz w:val="24"/>
                <w:szCs w:val="24"/>
              </w:rPr>
              <w:t>2.9.</w:t>
            </w:r>
            <w:r>
              <w:rPr>
                <w:sz w:val="24"/>
                <w:szCs w:val="24"/>
              </w:rPr>
              <w:t>1卸油工艺</w:t>
            </w:r>
            <w:r>
              <w:rPr>
                <w:rFonts w:hint="eastAsia"/>
                <w:sz w:val="24"/>
                <w:szCs w:val="24"/>
              </w:rPr>
              <w:t>流程</w:t>
            </w:r>
            <w:bookmarkEnd w:id="3"/>
          </w:p>
          <w:p w14:paraId="750F28F2">
            <w:pPr>
              <w:ind w:firstLine="560"/>
              <w:rPr>
                <w:rFonts w:ascii="宋体" w:hAnsi="宋体" w:cs="宋体"/>
                <w:sz w:val="24"/>
                <w:szCs w:val="24"/>
              </w:rPr>
            </w:pPr>
            <w:r>
              <w:rPr>
                <w:rFonts w:hint="eastAsia" w:ascii="宋体" w:hAnsi="宋体" w:cs="宋体"/>
                <w:sz w:val="24"/>
                <w:szCs w:val="24"/>
              </w:rPr>
              <w:t>该站采用密闭自流卸油方式。先检查静电接地装置是否完好，当油品用油罐车拉到加油站后，在卸油口附近停稳熄火，先用加油站的静电接地导线与油罐车的静电导出接点跨接在一起，静置5分钟后导除静电。然后用快速接头将油罐车的卸油软管与储油罐的快速密闭卸油口连接在一起（汽油要同步连接油气回收软管），开始卸油。油品卸完后，先关闭油罐车的阀门，再拆除连通软管及静电接地装置。检查没有溢油、漏油后，人工封闭好卸油口，静置5分钟以后发动油品罐车缓慢离开油罐区。卸油中注意观察管线、阀门等相关设备的运行情况。卸油结束时，检查并确认没有溢油、漏油后，关好阀门，断开卸油快速接头，盖好口盖，清理现场。卸油过程采用卸油油气回收系统。</w:t>
            </w:r>
          </w:p>
          <w:p w14:paraId="0D98524E">
            <w:pPr>
              <w:ind w:firstLine="560"/>
              <w:rPr>
                <w:rFonts w:ascii="宋体" w:hAnsi="宋体" w:cs="宋体"/>
                <w:sz w:val="24"/>
                <w:szCs w:val="24"/>
              </w:rPr>
            </w:pPr>
            <w:r>
              <w:rPr>
                <w:rFonts w:hint="eastAsia" w:ascii="宋体" w:hAnsi="宋体" w:cs="宋体"/>
                <w:sz w:val="24"/>
                <w:szCs w:val="24"/>
              </w:rPr>
              <w:t>汽油卸油工艺框图如下：</w:t>
            </w:r>
          </w:p>
          <w:p w14:paraId="5102FF3D">
            <w:pPr>
              <w:suppressAutoHyphens/>
              <w:spacing w:line="360" w:lineRule="auto"/>
              <w:ind w:firstLine="480"/>
              <w:textAlignment w:val="center"/>
              <w:rPr>
                <w:rFonts w:ascii="宋体" w:hAnsi="宋体" w:cs="宋体"/>
                <w:snapToGrid w:val="0"/>
                <w:kern w:val="0"/>
                <w:sz w:val="24"/>
                <w:szCs w:val="24"/>
              </w:rPr>
            </w:pPr>
            <w:r>
              <w:rPr>
                <w:snapToGrid w:val="0"/>
                <w:kern w:val="0"/>
                <w:sz w:val="24"/>
                <w:szCs w:val="24"/>
                <w:lang w:val="zh-CN"/>
              </w:rPr>
              <w:object>
                <v:shape id="_x0000_i1025" o:spt="75" type="#_x0000_t75" style="height:77.05pt;width:373.2pt;" o:ole="t" filled="f" o:preferrelative="t" stroked="f" coordsize="21600,21600">
                  <v:path/>
                  <v:fill on="f" focussize="0,0"/>
                  <v:stroke on="f"/>
                  <v:imagedata r:id="rId5" o:title=""/>
                  <o:lock v:ext="edit" aspectratio="f"/>
                  <w10:wrap type="none"/>
                  <w10:anchorlock/>
                </v:shape>
                <o:OLEObject Type="Embed" ProgID="Visio.Drawing.11" ShapeID="_x0000_i1025" DrawAspect="Content" ObjectID="_1468075725" r:id="rId4">
                  <o:LockedField>false</o:LockedField>
                </o:OLEObject>
              </w:object>
            </w:r>
          </w:p>
          <w:p w14:paraId="0F9EA818">
            <w:pPr>
              <w:spacing w:after="240" w:afterLines="100"/>
              <w:ind w:firstLine="560"/>
              <w:rPr>
                <w:sz w:val="24"/>
                <w:szCs w:val="24"/>
              </w:rPr>
            </w:pPr>
            <w:r>
              <w:rPr>
                <w:rFonts w:hint="eastAsia"/>
                <w:sz w:val="24"/>
                <w:szCs w:val="24"/>
              </w:rPr>
              <w:t>柴油卸油工艺框图如下：</w:t>
            </w:r>
          </w:p>
          <w:p w14:paraId="08C1D33D">
            <w:pPr>
              <w:suppressAutoHyphens/>
              <w:ind w:firstLine="560"/>
              <w:jc w:val="center"/>
              <w:textAlignment w:val="center"/>
              <w:rPr>
                <w:rFonts w:ascii="宋体" w:hAnsi="宋体" w:cs="Tahoma"/>
                <w:kern w:val="28"/>
                <w:sz w:val="24"/>
                <w:szCs w:val="24"/>
              </w:rPr>
            </w:pPr>
            <w:bookmarkStart w:id="4" w:name="_Toc240859956"/>
            <w:r>
              <w:rPr>
                <w:sz w:val="24"/>
                <w:szCs w:val="24"/>
              </w:rPr>
              <w:drawing>
                <wp:inline distT="0" distB="0" distL="0" distR="0">
                  <wp:extent cx="5102225" cy="418465"/>
                  <wp:effectExtent l="0" t="0" r="3175" b="63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102225" cy="418465"/>
                          </a:xfrm>
                          <a:prstGeom prst="rect">
                            <a:avLst/>
                          </a:prstGeom>
                          <a:noFill/>
                          <a:ln>
                            <a:noFill/>
                          </a:ln>
                        </pic:spPr>
                      </pic:pic>
                    </a:graphicData>
                  </a:graphic>
                </wp:inline>
              </w:drawing>
            </w:r>
          </w:p>
          <w:p w14:paraId="0A47AA74">
            <w:pPr>
              <w:pStyle w:val="4"/>
              <w:ind w:firstLine="562"/>
              <w:rPr>
                <w:sz w:val="24"/>
                <w:szCs w:val="24"/>
              </w:rPr>
            </w:pPr>
            <w:bookmarkStart w:id="5" w:name="_Toc22102"/>
            <w:r>
              <w:rPr>
                <w:rFonts w:hint="eastAsia"/>
                <w:sz w:val="24"/>
                <w:szCs w:val="24"/>
              </w:rPr>
              <w:t>2.9.2</w:t>
            </w:r>
            <w:bookmarkEnd w:id="4"/>
            <w:r>
              <w:rPr>
                <w:rFonts w:hint="eastAsia"/>
                <w:sz w:val="24"/>
                <w:szCs w:val="24"/>
              </w:rPr>
              <w:t>加油工艺流程</w:t>
            </w:r>
            <w:bookmarkEnd w:id="5"/>
          </w:p>
          <w:p w14:paraId="19D8753D">
            <w:pPr>
              <w:spacing w:after="240" w:afterLines="100"/>
              <w:ind w:firstLine="560"/>
              <w:rPr>
                <w:sz w:val="24"/>
                <w:szCs w:val="24"/>
              </w:rPr>
            </w:pPr>
            <w:r>
              <w:rPr>
                <w:sz w:val="24"/>
                <w:szCs w:val="24"/>
              </w:rPr>
              <w:drawing>
                <wp:anchor distT="0" distB="0" distL="114300" distR="114300" simplePos="0" relativeHeight="251659264" behindDoc="0" locked="0" layoutInCell="1" allowOverlap="1">
                  <wp:simplePos x="0" y="0"/>
                  <wp:positionH relativeFrom="column">
                    <wp:posOffset>378460</wp:posOffset>
                  </wp:positionH>
                  <wp:positionV relativeFrom="paragraph">
                    <wp:posOffset>603250</wp:posOffset>
                  </wp:positionV>
                  <wp:extent cx="4845050" cy="1343025"/>
                  <wp:effectExtent l="0" t="0" r="12700" b="9525"/>
                  <wp:wrapNone/>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7"/>
                          <a:stretch>
                            <a:fillRect/>
                          </a:stretch>
                        </pic:blipFill>
                        <pic:spPr>
                          <a:xfrm>
                            <a:off x="0" y="0"/>
                            <a:ext cx="4845050" cy="1343025"/>
                          </a:xfrm>
                          <a:prstGeom prst="rect">
                            <a:avLst/>
                          </a:prstGeom>
                          <a:noFill/>
                          <a:ln>
                            <a:noFill/>
                          </a:ln>
                        </pic:spPr>
                      </pic:pic>
                    </a:graphicData>
                  </a:graphic>
                </wp:anchor>
              </w:drawing>
            </w:r>
            <w:r>
              <w:rPr>
                <w:rFonts w:hint="eastAsia"/>
                <w:sz w:val="24"/>
                <w:szCs w:val="24"/>
              </w:rPr>
              <w:t>加油作业时，采用潜油泵提供的动力，油品通过加油管道至加油机，油品通过加油管道至加油机，进入受油容器。同时，加汽油作业时，设有油气回收系统，汽油蒸汽通过油气回收管道回至汽油罐。</w:t>
            </w:r>
          </w:p>
          <w:p w14:paraId="08F3D054">
            <w:pPr>
              <w:ind w:firstLine="560"/>
              <w:rPr>
                <w:sz w:val="24"/>
                <w:szCs w:val="24"/>
              </w:rPr>
            </w:pPr>
          </w:p>
          <w:p w14:paraId="3FE62D20">
            <w:pPr>
              <w:ind w:firstLine="560"/>
              <w:rPr>
                <w:sz w:val="24"/>
                <w:szCs w:val="24"/>
              </w:rPr>
            </w:pPr>
          </w:p>
          <w:p w14:paraId="3283F98C">
            <w:pPr>
              <w:pStyle w:val="15"/>
              <w:ind w:firstLine="360"/>
              <w:rPr>
                <w:sz w:val="24"/>
                <w:szCs w:val="24"/>
              </w:rPr>
            </w:pPr>
          </w:p>
          <w:p w14:paraId="62F070C4">
            <w:pPr>
              <w:pStyle w:val="16"/>
              <w:ind w:firstLine="480"/>
              <w:rPr>
                <w:sz w:val="24"/>
                <w:szCs w:val="24"/>
              </w:rPr>
            </w:pPr>
            <w:r>
              <w:drawing>
                <wp:anchor distT="0" distB="0" distL="114300" distR="114300" simplePos="0" relativeHeight="251660288" behindDoc="0" locked="0" layoutInCell="1" allowOverlap="1">
                  <wp:simplePos x="0" y="0"/>
                  <wp:positionH relativeFrom="column">
                    <wp:posOffset>311785</wp:posOffset>
                  </wp:positionH>
                  <wp:positionV relativeFrom="paragraph">
                    <wp:posOffset>528320</wp:posOffset>
                  </wp:positionV>
                  <wp:extent cx="4895850" cy="1158875"/>
                  <wp:effectExtent l="0" t="0" r="0" b="3175"/>
                  <wp:wrapNone/>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8"/>
                          <a:stretch>
                            <a:fillRect/>
                          </a:stretch>
                        </pic:blipFill>
                        <pic:spPr>
                          <a:xfrm>
                            <a:off x="0" y="0"/>
                            <a:ext cx="4895850" cy="1158875"/>
                          </a:xfrm>
                          <a:prstGeom prst="rect">
                            <a:avLst/>
                          </a:prstGeom>
                          <a:noFill/>
                          <a:ln>
                            <a:noFill/>
                          </a:ln>
                        </pic:spPr>
                      </pic:pic>
                    </a:graphicData>
                  </a:graphic>
                </wp:anchor>
              </w:drawing>
            </w:r>
          </w:p>
          <w:p w14:paraId="38DFDA07">
            <w:pPr>
              <w:pStyle w:val="17"/>
            </w:pPr>
          </w:p>
          <w:p w14:paraId="02435333">
            <w:pPr>
              <w:ind w:firstLine="560"/>
            </w:pPr>
          </w:p>
          <w:p w14:paraId="7151503D">
            <w:pPr>
              <w:ind w:firstLine="560"/>
            </w:pPr>
          </w:p>
          <w:p w14:paraId="1D2E707D">
            <w:pPr>
              <w:ind w:firstLine="560"/>
            </w:pPr>
          </w:p>
          <w:p w14:paraId="4FCF35AC">
            <w:pPr>
              <w:ind w:firstLine="560"/>
            </w:pPr>
          </w:p>
          <w:p w14:paraId="0240F373">
            <w:pPr>
              <w:bidi w:val="0"/>
              <w:jc w:val="left"/>
              <w:rPr>
                <w:rFonts w:hint="eastAsia"/>
                <w:b/>
                <w:bCs/>
                <w:szCs w:val="28"/>
                <w:lang w:val="en-US" w:eastAsia="zh-CN"/>
              </w:rPr>
            </w:pPr>
          </w:p>
        </w:tc>
      </w:tr>
      <w:tr w14:paraId="1BF15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665" w:type="dxa"/>
            <w:tcBorders>
              <w:tl2br w:val="nil"/>
              <w:tr2bl w:val="nil"/>
            </w:tcBorders>
            <w:shd w:val="clear" w:color="auto" w:fill="FFFFFF"/>
            <w:vAlign w:val="center"/>
          </w:tcPr>
          <w:p w14:paraId="3409B03F">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被评价单位信息反馈情况</w:t>
            </w:r>
          </w:p>
        </w:tc>
        <w:tc>
          <w:tcPr>
            <w:tcW w:w="8955" w:type="dxa"/>
            <w:gridSpan w:val="4"/>
            <w:tcBorders>
              <w:tl2br w:val="nil"/>
              <w:tr2bl w:val="nil"/>
            </w:tcBorders>
            <w:shd w:val="clear" w:color="auto" w:fill="FFFFFF"/>
            <w:vAlign w:val="center"/>
          </w:tcPr>
          <w:p w14:paraId="7EFBC9DB">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满意</w:t>
            </w:r>
          </w:p>
        </w:tc>
      </w:tr>
    </w:tbl>
    <w:p w14:paraId="2A9DFABB">
      <w:r>
        <w:br w:type="page"/>
      </w:r>
    </w:p>
    <w:p w14:paraId="15BAEE2D">
      <w:pPr>
        <w:pStyle w:val="8"/>
      </w:pPr>
      <w:bookmarkStart w:id="6" w:name="_GoBack"/>
      <w:bookmarkEnd w:id="6"/>
    </w:p>
    <w:p w14:paraId="28AB43C3">
      <w:pPr>
        <w:rPr>
          <w:rFonts w:hint="eastAsia" w:eastAsia="宋体"/>
          <w:lang w:eastAsia="zh-CN"/>
        </w:rPr>
      </w:pPr>
    </w:p>
    <w:p w14:paraId="48AFF16E">
      <w:r>
        <w:drawing>
          <wp:inline distT="0" distB="0" distL="114300" distR="114300">
            <wp:extent cx="5233670" cy="3924935"/>
            <wp:effectExtent l="0" t="0" r="5080" b="18415"/>
            <wp:docPr id="14" name="图片 14" descr="IMG_20260619_11185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0260619_111850_1"/>
                    <pic:cNvPicPr>
                      <a:picLocks noChangeAspect="1"/>
                    </pic:cNvPicPr>
                  </pic:nvPicPr>
                  <pic:blipFill>
                    <a:blip r:embed="rId9"/>
                    <a:stretch>
                      <a:fillRect/>
                    </a:stretch>
                  </pic:blipFill>
                  <pic:spPr>
                    <a:xfrm>
                      <a:off x="0" y="0"/>
                      <a:ext cx="5233670" cy="3924935"/>
                    </a:xfrm>
                    <a:prstGeom prst="rect">
                      <a:avLst/>
                    </a:prstGeom>
                  </pic:spPr>
                </pic:pic>
              </a:graphicData>
            </a:graphic>
          </wp:inline>
        </w:drawing>
      </w:r>
      <w:r>
        <w:drawing>
          <wp:inline distT="0" distB="0" distL="114300" distR="114300">
            <wp:extent cx="5233670" cy="3924935"/>
            <wp:effectExtent l="0" t="0" r="5080" b="18415"/>
            <wp:docPr id="13" name="图片 13" descr="12评价师现场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2评价师现场照片"/>
                    <pic:cNvPicPr>
                      <a:picLocks noChangeAspect="1"/>
                    </pic:cNvPicPr>
                  </pic:nvPicPr>
                  <pic:blipFill>
                    <a:blip r:embed="rId10"/>
                    <a:stretch>
                      <a:fillRect/>
                    </a:stretch>
                  </pic:blipFill>
                  <pic:spPr>
                    <a:xfrm>
                      <a:off x="0" y="0"/>
                      <a:ext cx="5233670" cy="3924935"/>
                    </a:xfrm>
                    <a:prstGeom prst="rect">
                      <a:avLst/>
                    </a:prstGeom>
                  </pic:spPr>
                </pic:pic>
              </a:graphicData>
            </a:graphic>
          </wp:inline>
        </w:drawing>
      </w:r>
      <w:r>
        <w:br w:type="page"/>
      </w:r>
    </w:p>
    <w:p w14:paraId="7B5ED8B3">
      <w:pPr>
        <w:rPr>
          <w:rFonts w:hint="eastAsia" w:eastAsia="宋体"/>
          <w:lang w:eastAsia="zh-CN"/>
        </w:rPr>
      </w:pPr>
      <w:r>
        <w:drawing>
          <wp:inline distT="0" distB="0" distL="114300" distR="114300">
            <wp:extent cx="5255895" cy="7314565"/>
            <wp:effectExtent l="0" t="0" r="1905" b="63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1"/>
                    <a:stretch>
                      <a:fillRect/>
                    </a:stretch>
                  </pic:blipFill>
                  <pic:spPr>
                    <a:xfrm>
                      <a:off x="0" y="0"/>
                      <a:ext cx="5255895" cy="7314565"/>
                    </a:xfrm>
                    <a:prstGeom prst="rect">
                      <a:avLst/>
                    </a:prstGeom>
                    <a:noFill/>
                    <a:ln>
                      <a:noFill/>
                    </a:ln>
                  </pic:spPr>
                </pic:pic>
              </a:graphicData>
            </a:graphic>
          </wp:inline>
        </w:drawing>
      </w:r>
    </w:p>
    <w:p w14:paraId="76F6EF7C"/>
    <w:p w14:paraId="3063B77D">
      <w:r>
        <w:br w:type="page"/>
      </w:r>
    </w:p>
    <w:p w14:paraId="16D620A9">
      <w:pPr>
        <w:pStyle w:val="8"/>
      </w:pPr>
      <w:r>
        <w:drawing>
          <wp:inline distT="0" distB="0" distL="114300" distR="114300">
            <wp:extent cx="5259070" cy="7450455"/>
            <wp:effectExtent l="0" t="0" r="17780" b="17145"/>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12"/>
                    <a:stretch>
                      <a:fillRect/>
                    </a:stretch>
                  </pic:blipFill>
                  <pic:spPr>
                    <a:xfrm>
                      <a:off x="0" y="0"/>
                      <a:ext cx="5259070" cy="7450455"/>
                    </a:xfrm>
                    <a:prstGeom prst="rect">
                      <a:avLst/>
                    </a:prstGeom>
                    <a:noFill/>
                    <a:ln>
                      <a:noFill/>
                    </a:ln>
                  </pic:spPr>
                </pic:pic>
              </a:graphicData>
            </a:graphic>
          </wp:inline>
        </w:drawing>
      </w:r>
    </w:p>
    <w:p w14:paraId="21C9E949">
      <w:r>
        <w:br w:type="page"/>
      </w:r>
    </w:p>
    <w:p w14:paraId="79870BEA">
      <w:r>
        <w:drawing>
          <wp:inline distT="0" distB="0" distL="114300" distR="114300">
            <wp:extent cx="5259070" cy="7450455"/>
            <wp:effectExtent l="0" t="0" r="17780" b="17145"/>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13"/>
                    <a:stretch>
                      <a:fillRect/>
                    </a:stretch>
                  </pic:blipFill>
                  <pic:spPr>
                    <a:xfrm>
                      <a:off x="0" y="0"/>
                      <a:ext cx="5259070" cy="7450455"/>
                    </a:xfrm>
                    <a:prstGeom prst="rect">
                      <a:avLst/>
                    </a:prstGeom>
                    <a:noFill/>
                    <a:ln>
                      <a:noFill/>
                    </a:ln>
                  </pic:spPr>
                </pic:pic>
              </a:graphicData>
            </a:graphic>
          </wp:inline>
        </w:drawing>
      </w:r>
    </w:p>
    <w:p w14:paraId="6EDB4C0A"/>
    <w:p w14:paraId="1B1A48A8"/>
    <w:p w14:paraId="33B090D4"/>
    <w:p w14:paraId="2DCD5DCD"/>
    <w:p w14:paraId="58738D71"/>
    <w:p w14:paraId="64EA889F"/>
    <w:p w14:paraId="78355F6A"/>
    <w:p w14:paraId="26E6D1DD">
      <w:pPr>
        <w:rPr>
          <w:rFonts w:hint="eastAsia"/>
          <w:lang w:eastAsia="zh-CN"/>
        </w:rPr>
      </w:pPr>
      <w:r>
        <w:drawing>
          <wp:inline distT="0" distB="0" distL="114300" distR="114300">
            <wp:extent cx="5259070" cy="7450455"/>
            <wp:effectExtent l="0" t="0" r="17780" b="17145"/>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4"/>
                    <a:stretch>
                      <a:fillRect/>
                    </a:stretch>
                  </pic:blipFill>
                  <pic:spPr>
                    <a:xfrm>
                      <a:off x="0" y="0"/>
                      <a:ext cx="5259070" cy="7450455"/>
                    </a:xfrm>
                    <a:prstGeom prst="rect">
                      <a:avLst/>
                    </a:prstGeom>
                    <a:noFill/>
                    <a:ln>
                      <a:noFill/>
                    </a:ln>
                  </pic:spPr>
                </pic:pic>
              </a:graphicData>
            </a:graphic>
          </wp:inline>
        </w:drawing>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MS Gothic">
    <w:panose1 w:val="020B0609070205080204"/>
    <w:charset w:val="80"/>
    <w:family w:val="modern"/>
    <w:pitch w:val="default"/>
    <w:sig w:usb0="E00002FF" w:usb1="6AC7FDFB" w:usb2="08000012" w:usb3="00000000" w:csb0="4002009F" w:csb1="DFD7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183855F"/>
    <w:multiLevelType w:val="singleLevel"/>
    <w:tmpl w:val="5183855F"/>
    <w:lvl w:ilvl="0" w:tentative="0">
      <w:start w:val="1"/>
      <w:numFmt w:val="chineseCounting"/>
      <w:pStyle w:val="47"/>
      <w:suff w:val="nothing"/>
      <w:lvlText w:val="%1、"/>
      <w:lvlJc w:val="left"/>
      <w:pPr>
        <w:ind w:left="0" w:firstLine="42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JmYThmZTViOGE1ZWVkN2ZmYjcyMzk1NTlmNjQ2YjIifQ=="/>
    <w:docVar w:name="KSO_WPS_MARK_KEY" w:val="f0c94484-18bf-41d0-a894-232196517eb0"/>
  </w:docVars>
  <w:rsids>
    <w:rsidRoot w:val="00E3751A"/>
    <w:rsid w:val="00047227"/>
    <w:rsid w:val="00303C12"/>
    <w:rsid w:val="003A7C06"/>
    <w:rsid w:val="004340C8"/>
    <w:rsid w:val="004D1AF7"/>
    <w:rsid w:val="005858BE"/>
    <w:rsid w:val="00756850"/>
    <w:rsid w:val="007A2261"/>
    <w:rsid w:val="00802085"/>
    <w:rsid w:val="008F01AE"/>
    <w:rsid w:val="00C75118"/>
    <w:rsid w:val="00C82162"/>
    <w:rsid w:val="00D40559"/>
    <w:rsid w:val="00E3751A"/>
    <w:rsid w:val="00FF47EE"/>
    <w:rsid w:val="01381A2C"/>
    <w:rsid w:val="030516AD"/>
    <w:rsid w:val="03463A74"/>
    <w:rsid w:val="03C37305"/>
    <w:rsid w:val="04334FFF"/>
    <w:rsid w:val="04543719"/>
    <w:rsid w:val="045937F4"/>
    <w:rsid w:val="04664971"/>
    <w:rsid w:val="04714B20"/>
    <w:rsid w:val="04D11406"/>
    <w:rsid w:val="04E23328"/>
    <w:rsid w:val="050505ED"/>
    <w:rsid w:val="056B2B55"/>
    <w:rsid w:val="057E7A8F"/>
    <w:rsid w:val="059D6561"/>
    <w:rsid w:val="06007F0A"/>
    <w:rsid w:val="062E2CC9"/>
    <w:rsid w:val="06EF6353"/>
    <w:rsid w:val="07D32EB9"/>
    <w:rsid w:val="07E46E00"/>
    <w:rsid w:val="0814540D"/>
    <w:rsid w:val="08300409"/>
    <w:rsid w:val="08302FF8"/>
    <w:rsid w:val="08E81855"/>
    <w:rsid w:val="08ED0200"/>
    <w:rsid w:val="096769A3"/>
    <w:rsid w:val="096F1B10"/>
    <w:rsid w:val="09806C85"/>
    <w:rsid w:val="0A0E1339"/>
    <w:rsid w:val="0A173A74"/>
    <w:rsid w:val="0A4F7A65"/>
    <w:rsid w:val="0BC750FD"/>
    <w:rsid w:val="0D073DB5"/>
    <w:rsid w:val="0D081033"/>
    <w:rsid w:val="0E564C35"/>
    <w:rsid w:val="0EC817E1"/>
    <w:rsid w:val="0F1C6141"/>
    <w:rsid w:val="0F2A5ABA"/>
    <w:rsid w:val="0FFD1618"/>
    <w:rsid w:val="10806817"/>
    <w:rsid w:val="10A546BD"/>
    <w:rsid w:val="10AE1BD9"/>
    <w:rsid w:val="10D96D50"/>
    <w:rsid w:val="13FA1B12"/>
    <w:rsid w:val="141C622E"/>
    <w:rsid w:val="147F5532"/>
    <w:rsid w:val="156C314D"/>
    <w:rsid w:val="15CB68F5"/>
    <w:rsid w:val="16B10157"/>
    <w:rsid w:val="172B1294"/>
    <w:rsid w:val="17505468"/>
    <w:rsid w:val="17550DB0"/>
    <w:rsid w:val="17810296"/>
    <w:rsid w:val="17C601C4"/>
    <w:rsid w:val="18301429"/>
    <w:rsid w:val="188D103C"/>
    <w:rsid w:val="190E35A0"/>
    <w:rsid w:val="191A70DD"/>
    <w:rsid w:val="19992B53"/>
    <w:rsid w:val="19CE23A1"/>
    <w:rsid w:val="19D014C8"/>
    <w:rsid w:val="19F45335"/>
    <w:rsid w:val="1A4E76A5"/>
    <w:rsid w:val="1ADA1B6B"/>
    <w:rsid w:val="1B63147C"/>
    <w:rsid w:val="1C3244B8"/>
    <w:rsid w:val="1C461987"/>
    <w:rsid w:val="1C4B6410"/>
    <w:rsid w:val="1C67088B"/>
    <w:rsid w:val="1C970306"/>
    <w:rsid w:val="1CD13F56"/>
    <w:rsid w:val="1CD14F1F"/>
    <w:rsid w:val="1CEA3399"/>
    <w:rsid w:val="1DA60EEB"/>
    <w:rsid w:val="1ED50FA6"/>
    <w:rsid w:val="1F0F5E71"/>
    <w:rsid w:val="1F142A61"/>
    <w:rsid w:val="1F2A023E"/>
    <w:rsid w:val="1F642D26"/>
    <w:rsid w:val="1FAC2BD1"/>
    <w:rsid w:val="1FF45CE7"/>
    <w:rsid w:val="2107263D"/>
    <w:rsid w:val="214C4107"/>
    <w:rsid w:val="21A13C43"/>
    <w:rsid w:val="22366385"/>
    <w:rsid w:val="224031F6"/>
    <w:rsid w:val="2282270A"/>
    <w:rsid w:val="229735F9"/>
    <w:rsid w:val="22AD2D70"/>
    <w:rsid w:val="23532900"/>
    <w:rsid w:val="23B37411"/>
    <w:rsid w:val="242E50EF"/>
    <w:rsid w:val="244E33BB"/>
    <w:rsid w:val="24775815"/>
    <w:rsid w:val="24BD596D"/>
    <w:rsid w:val="24D12D46"/>
    <w:rsid w:val="25FB3FD9"/>
    <w:rsid w:val="271635D9"/>
    <w:rsid w:val="27280E94"/>
    <w:rsid w:val="27F61196"/>
    <w:rsid w:val="28814447"/>
    <w:rsid w:val="297A3C20"/>
    <w:rsid w:val="298C1931"/>
    <w:rsid w:val="29925FE1"/>
    <w:rsid w:val="29C972C6"/>
    <w:rsid w:val="29D91C34"/>
    <w:rsid w:val="2AB26CD9"/>
    <w:rsid w:val="2BD9110B"/>
    <w:rsid w:val="2C9D3BC7"/>
    <w:rsid w:val="2CF2686E"/>
    <w:rsid w:val="2CFD4E2E"/>
    <w:rsid w:val="2E925474"/>
    <w:rsid w:val="2E9E272A"/>
    <w:rsid w:val="2EAE6403"/>
    <w:rsid w:val="31055C5A"/>
    <w:rsid w:val="3256187C"/>
    <w:rsid w:val="3259568C"/>
    <w:rsid w:val="32A66941"/>
    <w:rsid w:val="334B2415"/>
    <w:rsid w:val="339918AA"/>
    <w:rsid w:val="33BD2F62"/>
    <w:rsid w:val="341F407D"/>
    <w:rsid w:val="34266F69"/>
    <w:rsid w:val="34A214B2"/>
    <w:rsid w:val="34BD4A82"/>
    <w:rsid w:val="351530F3"/>
    <w:rsid w:val="35211925"/>
    <w:rsid w:val="35524794"/>
    <w:rsid w:val="35583A15"/>
    <w:rsid w:val="36577381"/>
    <w:rsid w:val="366115C7"/>
    <w:rsid w:val="37285AB1"/>
    <w:rsid w:val="375C6F30"/>
    <w:rsid w:val="3781684D"/>
    <w:rsid w:val="3823766B"/>
    <w:rsid w:val="396748BA"/>
    <w:rsid w:val="3A751F6D"/>
    <w:rsid w:val="3AB6680E"/>
    <w:rsid w:val="3AD61658"/>
    <w:rsid w:val="3ADD7367"/>
    <w:rsid w:val="3AF50232"/>
    <w:rsid w:val="3B251FB8"/>
    <w:rsid w:val="3B3712DA"/>
    <w:rsid w:val="3B622014"/>
    <w:rsid w:val="3C7D28D5"/>
    <w:rsid w:val="3CE43836"/>
    <w:rsid w:val="3D027FC2"/>
    <w:rsid w:val="3D3D4FC4"/>
    <w:rsid w:val="3D4729D1"/>
    <w:rsid w:val="3DEB4A20"/>
    <w:rsid w:val="3E2D53F7"/>
    <w:rsid w:val="3EB62D94"/>
    <w:rsid w:val="3EEC7F81"/>
    <w:rsid w:val="3FA71C20"/>
    <w:rsid w:val="3FDA2F9E"/>
    <w:rsid w:val="40606FB3"/>
    <w:rsid w:val="408A0869"/>
    <w:rsid w:val="40995D81"/>
    <w:rsid w:val="40DC28F6"/>
    <w:rsid w:val="416C231C"/>
    <w:rsid w:val="41B906C9"/>
    <w:rsid w:val="41C84509"/>
    <w:rsid w:val="421E5E45"/>
    <w:rsid w:val="42305ED2"/>
    <w:rsid w:val="42355182"/>
    <w:rsid w:val="42A00721"/>
    <w:rsid w:val="43120BD6"/>
    <w:rsid w:val="43B14016"/>
    <w:rsid w:val="43F50190"/>
    <w:rsid w:val="4432163F"/>
    <w:rsid w:val="44476729"/>
    <w:rsid w:val="4546743F"/>
    <w:rsid w:val="45A13141"/>
    <w:rsid w:val="46966FC2"/>
    <w:rsid w:val="47EE36B2"/>
    <w:rsid w:val="485E76F8"/>
    <w:rsid w:val="48AF6D87"/>
    <w:rsid w:val="49CE6C17"/>
    <w:rsid w:val="4CDE060B"/>
    <w:rsid w:val="4E3D5914"/>
    <w:rsid w:val="4E461B89"/>
    <w:rsid w:val="4F4C1097"/>
    <w:rsid w:val="4F540982"/>
    <w:rsid w:val="4F844CD5"/>
    <w:rsid w:val="4FF32FA8"/>
    <w:rsid w:val="50EA0B03"/>
    <w:rsid w:val="512A57AB"/>
    <w:rsid w:val="515A3854"/>
    <w:rsid w:val="5276471A"/>
    <w:rsid w:val="52CC47C0"/>
    <w:rsid w:val="52E07D49"/>
    <w:rsid w:val="534122A6"/>
    <w:rsid w:val="5374510A"/>
    <w:rsid w:val="53F5005F"/>
    <w:rsid w:val="54BA1C16"/>
    <w:rsid w:val="561327C0"/>
    <w:rsid w:val="56183FCE"/>
    <w:rsid w:val="563D2137"/>
    <w:rsid w:val="56836AB2"/>
    <w:rsid w:val="56BC2DE3"/>
    <w:rsid w:val="56D42C4D"/>
    <w:rsid w:val="57301D47"/>
    <w:rsid w:val="57487036"/>
    <w:rsid w:val="575D6537"/>
    <w:rsid w:val="577B3C9E"/>
    <w:rsid w:val="57800B40"/>
    <w:rsid w:val="57CD2DFE"/>
    <w:rsid w:val="5815058C"/>
    <w:rsid w:val="58244FE5"/>
    <w:rsid w:val="584B13F6"/>
    <w:rsid w:val="59217B49"/>
    <w:rsid w:val="59656964"/>
    <w:rsid w:val="59D926D2"/>
    <w:rsid w:val="5A034680"/>
    <w:rsid w:val="5AA52A54"/>
    <w:rsid w:val="5BC05975"/>
    <w:rsid w:val="5BD743DE"/>
    <w:rsid w:val="5D63281F"/>
    <w:rsid w:val="5D706898"/>
    <w:rsid w:val="5D731EE5"/>
    <w:rsid w:val="5D7C7100"/>
    <w:rsid w:val="5D89238E"/>
    <w:rsid w:val="5D8C28DB"/>
    <w:rsid w:val="5DA30A1C"/>
    <w:rsid w:val="5E3F6556"/>
    <w:rsid w:val="5E4A7A0E"/>
    <w:rsid w:val="5E8C3C37"/>
    <w:rsid w:val="5EBC6D64"/>
    <w:rsid w:val="5ED03402"/>
    <w:rsid w:val="5F182B4A"/>
    <w:rsid w:val="5FD163AE"/>
    <w:rsid w:val="60057BEA"/>
    <w:rsid w:val="60B44CEE"/>
    <w:rsid w:val="60B460AF"/>
    <w:rsid w:val="619747AF"/>
    <w:rsid w:val="621C336D"/>
    <w:rsid w:val="62A05F08"/>
    <w:rsid w:val="62EA5BC6"/>
    <w:rsid w:val="630737FB"/>
    <w:rsid w:val="63C25DAA"/>
    <w:rsid w:val="64126CC6"/>
    <w:rsid w:val="6415523E"/>
    <w:rsid w:val="648F0582"/>
    <w:rsid w:val="64F540D9"/>
    <w:rsid w:val="6559245A"/>
    <w:rsid w:val="65622F6B"/>
    <w:rsid w:val="658C415A"/>
    <w:rsid w:val="65BD6D5B"/>
    <w:rsid w:val="66C53C4A"/>
    <w:rsid w:val="673B297E"/>
    <w:rsid w:val="678F323C"/>
    <w:rsid w:val="68233EA0"/>
    <w:rsid w:val="68A30209"/>
    <w:rsid w:val="68C86C57"/>
    <w:rsid w:val="6A3C5D07"/>
    <w:rsid w:val="6AA57F27"/>
    <w:rsid w:val="6B185020"/>
    <w:rsid w:val="6CC37EB5"/>
    <w:rsid w:val="6D1139EB"/>
    <w:rsid w:val="6D3457FF"/>
    <w:rsid w:val="6E2A4841"/>
    <w:rsid w:val="6EEF19E2"/>
    <w:rsid w:val="6F272686"/>
    <w:rsid w:val="6F3D1DEF"/>
    <w:rsid w:val="6F963F3C"/>
    <w:rsid w:val="6FE54B28"/>
    <w:rsid w:val="71276AD1"/>
    <w:rsid w:val="7160445C"/>
    <w:rsid w:val="71697143"/>
    <w:rsid w:val="716C6A50"/>
    <w:rsid w:val="7207397B"/>
    <w:rsid w:val="729E3A33"/>
    <w:rsid w:val="72C43B37"/>
    <w:rsid w:val="737D1DEA"/>
    <w:rsid w:val="748B2EA1"/>
    <w:rsid w:val="74AE0F56"/>
    <w:rsid w:val="76391AC6"/>
    <w:rsid w:val="7672193D"/>
    <w:rsid w:val="770403EE"/>
    <w:rsid w:val="771C50B0"/>
    <w:rsid w:val="771E190D"/>
    <w:rsid w:val="77832F9B"/>
    <w:rsid w:val="77C519A6"/>
    <w:rsid w:val="784004D1"/>
    <w:rsid w:val="78725E9B"/>
    <w:rsid w:val="7877129B"/>
    <w:rsid w:val="79302291"/>
    <w:rsid w:val="797D7F1B"/>
    <w:rsid w:val="799B33AA"/>
    <w:rsid w:val="79FE7AE0"/>
    <w:rsid w:val="7A083C89"/>
    <w:rsid w:val="7AA15E8B"/>
    <w:rsid w:val="7AC314B7"/>
    <w:rsid w:val="7B424553"/>
    <w:rsid w:val="7B8365FD"/>
    <w:rsid w:val="7BB96559"/>
    <w:rsid w:val="7C210095"/>
    <w:rsid w:val="7C304A31"/>
    <w:rsid w:val="7C6520EB"/>
    <w:rsid w:val="7D1943FF"/>
    <w:rsid w:val="7D7347EF"/>
    <w:rsid w:val="7D9B14E2"/>
    <w:rsid w:val="7DB761A8"/>
    <w:rsid w:val="7DD52B5A"/>
    <w:rsid w:val="7E522673"/>
    <w:rsid w:val="7FE74340"/>
    <w:rsid w:val="7FFF0A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39" w:semiHidden="0" w:name="toc 3"/>
    <w:lsdException w:unhideWhenUsed="0" w:uiPriority="0" w:semiHidden="0" w:name="toc 4"/>
    <w:lsdException w:qFormat="1" w:unhideWhenUsed="0" w:uiPriority="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autoRedefine/>
    <w:qFormat/>
    <w:uiPriority w:val="0"/>
    <w:pPr>
      <w:spacing w:before="100" w:beforeAutospacing="1" w:after="100" w:afterAutospacing="1"/>
      <w:jc w:val="left"/>
      <w:outlineLvl w:val="0"/>
    </w:pPr>
    <w:rPr>
      <w:rFonts w:hint="eastAsia" w:ascii="宋体" w:hAnsi="宋体"/>
      <w:b/>
      <w:kern w:val="44"/>
      <w:sz w:val="48"/>
      <w:szCs w:val="48"/>
    </w:rPr>
  </w:style>
  <w:style w:type="paragraph" w:styleId="3">
    <w:name w:val="heading 2"/>
    <w:basedOn w:val="1"/>
    <w:next w:val="1"/>
    <w:autoRedefine/>
    <w:qFormat/>
    <w:uiPriority w:val="0"/>
    <w:pPr>
      <w:keepNext/>
      <w:keepLines/>
      <w:snapToGrid w:val="0"/>
      <w:spacing w:beforeLines="50" w:afterLines="50"/>
      <w:outlineLvl w:val="1"/>
    </w:pPr>
    <w:rPr>
      <w:rFonts w:eastAsia="楷体_GB2312" w:cs="MS Gothic"/>
      <w:snapToGrid w:val="0"/>
      <w:kern w:val="0"/>
      <w:sz w:val="32"/>
      <w:szCs w:val="28"/>
    </w:rPr>
  </w:style>
  <w:style w:type="paragraph" w:styleId="4">
    <w:name w:val="heading 3"/>
    <w:basedOn w:val="1"/>
    <w:next w:val="1"/>
    <w:autoRedefine/>
    <w:unhideWhenUsed/>
    <w:qFormat/>
    <w:uiPriority w:val="0"/>
    <w:pPr>
      <w:outlineLvl w:val="2"/>
    </w:pPr>
    <w:rPr>
      <w:rFonts w:asciiTheme="majorHAnsi" w:hAnsiTheme="majorHAnsi" w:eastAsiaTheme="majorEastAsia" w:cstheme="majorBidi"/>
      <w:b/>
      <w:bCs/>
      <w:sz w:val="28"/>
      <w:szCs w:val="32"/>
    </w:rPr>
  </w:style>
  <w:style w:type="paragraph" w:styleId="5">
    <w:name w:val="heading 4"/>
    <w:basedOn w:val="1"/>
    <w:next w:val="1"/>
    <w:autoRedefine/>
    <w:unhideWhenUsed/>
    <w:qFormat/>
    <w:uiPriority w:val="0"/>
    <w:pPr>
      <w:keepNext/>
      <w:keepLines/>
      <w:outlineLvl w:val="3"/>
    </w:pPr>
    <w:rPr>
      <w:b/>
    </w:rPr>
  </w:style>
  <w:style w:type="character" w:default="1" w:styleId="24">
    <w:name w:val="Default Paragraph Font"/>
    <w:autoRedefine/>
    <w:semiHidden/>
    <w:unhideWhenUsed/>
    <w:qFormat/>
    <w:uiPriority w:val="1"/>
  </w:style>
  <w:style w:type="table" w:default="1" w:styleId="23">
    <w:name w:val="Normal Table"/>
    <w:autoRedefine/>
    <w:semiHidden/>
    <w:unhideWhenUsed/>
    <w:qFormat/>
    <w:uiPriority w:val="99"/>
    <w:tblPr>
      <w:tblCellMar>
        <w:top w:w="0" w:type="dxa"/>
        <w:left w:w="108" w:type="dxa"/>
        <w:bottom w:w="0" w:type="dxa"/>
        <w:right w:w="108" w:type="dxa"/>
      </w:tblCellMar>
    </w:tblPr>
  </w:style>
  <w:style w:type="paragraph" w:styleId="6">
    <w:name w:val="Normal Indent"/>
    <w:basedOn w:val="1"/>
    <w:autoRedefine/>
    <w:qFormat/>
    <w:uiPriority w:val="0"/>
    <w:pPr>
      <w:adjustRightInd w:val="0"/>
      <w:spacing w:line="360" w:lineRule="atLeast"/>
      <w:ind w:firstLine="420"/>
      <w:jc w:val="left"/>
      <w:textAlignment w:val="baseline"/>
    </w:pPr>
    <w:rPr>
      <w:rFonts w:eastAsia="仿宋_GB2312"/>
      <w:kern w:val="0"/>
      <w:sz w:val="28"/>
      <w:szCs w:val="20"/>
    </w:rPr>
  </w:style>
  <w:style w:type="paragraph" w:styleId="7">
    <w:name w:val="annotation text"/>
    <w:basedOn w:val="1"/>
    <w:qFormat/>
    <w:uiPriority w:val="0"/>
    <w:pPr>
      <w:jc w:val="left"/>
    </w:pPr>
  </w:style>
  <w:style w:type="paragraph" w:styleId="8">
    <w:name w:val="Body Text"/>
    <w:basedOn w:val="1"/>
    <w:next w:val="1"/>
    <w:autoRedefine/>
    <w:qFormat/>
    <w:uiPriority w:val="99"/>
    <w:rPr>
      <w:sz w:val="28"/>
      <w:szCs w:val="28"/>
    </w:rPr>
  </w:style>
  <w:style w:type="paragraph" w:styleId="9">
    <w:name w:val="Body Text Indent"/>
    <w:basedOn w:val="1"/>
    <w:next w:val="8"/>
    <w:autoRedefine/>
    <w:unhideWhenUsed/>
    <w:qFormat/>
    <w:uiPriority w:val="99"/>
    <w:pPr>
      <w:spacing w:after="120"/>
      <w:ind w:left="420" w:leftChars="200"/>
    </w:pPr>
  </w:style>
  <w:style w:type="paragraph" w:styleId="10">
    <w:name w:val="toc 5"/>
    <w:basedOn w:val="1"/>
    <w:next w:val="1"/>
    <w:autoRedefine/>
    <w:semiHidden/>
    <w:qFormat/>
    <w:uiPriority w:val="0"/>
    <w:pPr>
      <w:ind w:left="1120"/>
      <w:jc w:val="left"/>
    </w:pPr>
    <w:rPr>
      <w:sz w:val="18"/>
      <w:szCs w:val="18"/>
    </w:rPr>
  </w:style>
  <w:style w:type="paragraph" w:styleId="11">
    <w:name w:val="Plain Text"/>
    <w:basedOn w:val="1"/>
    <w:autoRedefine/>
    <w:qFormat/>
    <w:uiPriority w:val="0"/>
    <w:rPr>
      <w:rFonts w:ascii="宋体" w:hAnsi="Courier New" w:cs="Courier New"/>
      <w:szCs w:val="21"/>
    </w:rPr>
  </w:style>
  <w:style w:type="paragraph" w:styleId="12">
    <w:name w:val="Date"/>
    <w:basedOn w:val="1"/>
    <w:next w:val="1"/>
    <w:link w:val="51"/>
    <w:autoRedefine/>
    <w:qFormat/>
    <w:uiPriority w:val="0"/>
    <w:pPr>
      <w:ind w:left="100" w:leftChars="2500"/>
    </w:pPr>
    <w:rPr>
      <w:rFonts w:ascii="Times New Roman" w:hAnsi="Times New Roman"/>
      <w:b/>
      <w:bCs/>
      <w:sz w:val="28"/>
    </w:rPr>
  </w:style>
  <w:style w:type="paragraph" w:styleId="13">
    <w:name w:val="Body Text Indent 2"/>
    <w:basedOn w:val="1"/>
    <w:autoRedefine/>
    <w:qFormat/>
    <w:uiPriority w:val="0"/>
    <w:pPr>
      <w:ind w:firstLine="538" w:firstLineChars="192"/>
    </w:pPr>
    <w:rPr>
      <w:rFonts w:ascii="宋体" w:hAnsi="宋体"/>
      <w:sz w:val="28"/>
    </w:rPr>
  </w:style>
  <w:style w:type="paragraph" w:styleId="14">
    <w:name w:val="Balloon Text"/>
    <w:basedOn w:val="1"/>
    <w:link w:val="37"/>
    <w:autoRedefine/>
    <w:qFormat/>
    <w:uiPriority w:val="0"/>
    <w:rPr>
      <w:sz w:val="18"/>
      <w:szCs w:val="18"/>
    </w:rPr>
  </w:style>
  <w:style w:type="paragraph" w:styleId="15">
    <w:name w:val="footer"/>
    <w:basedOn w:val="1"/>
    <w:next w:val="16"/>
    <w:autoRedefine/>
    <w:qFormat/>
    <w:uiPriority w:val="99"/>
    <w:pPr>
      <w:tabs>
        <w:tab w:val="center" w:pos="4153"/>
        <w:tab w:val="right" w:pos="8306"/>
      </w:tabs>
      <w:snapToGrid w:val="0"/>
    </w:pPr>
    <w:rPr>
      <w:sz w:val="18"/>
      <w:szCs w:val="18"/>
    </w:rPr>
  </w:style>
  <w:style w:type="paragraph" w:styleId="16">
    <w:name w:val="Normal (Web)"/>
    <w:basedOn w:val="1"/>
    <w:next w:val="17"/>
    <w:autoRedefine/>
    <w:qFormat/>
    <w:uiPriority w:val="0"/>
    <w:pPr>
      <w:spacing w:before="100" w:beforeAutospacing="1" w:after="100" w:afterAutospacing="1"/>
      <w:jc w:val="left"/>
    </w:pPr>
    <w:rPr>
      <w:kern w:val="0"/>
      <w:sz w:val="24"/>
    </w:rPr>
  </w:style>
  <w:style w:type="paragraph" w:customStyle="1" w:styleId="17">
    <w:name w:val="toc 84"/>
    <w:next w:val="1"/>
    <w:autoRedefine/>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9">
    <w:name w:val="toc 1"/>
    <w:basedOn w:val="1"/>
    <w:next w:val="1"/>
    <w:autoRedefine/>
    <w:qFormat/>
    <w:uiPriority w:val="39"/>
    <w:pPr>
      <w:jc w:val="left"/>
    </w:pPr>
    <w:rPr>
      <w:rFonts w:ascii="宋体"/>
      <w:b/>
      <w:bCs/>
      <w:caps/>
      <w:sz w:val="20"/>
      <w:szCs w:val="20"/>
    </w:rPr>
  </w:style>
  <w:style w:type="paragraph" w:styleId="20">
    <w:name w:val="Body Text Indent 3"/>
    <w:basedOn w:val="1"/>
    <w:autoRedefine/>
    <w:qFormat/>
    <w:uiPriority w:val="0"/>
    <w:pPr>
      <w:ind w:firstLine="630"/>
    </w:pPr>
    <w:rPr>
      <w:rFonts w:ascii="Times New Roman" w:hAnsi="Times New Roman" w:eastAsia="仿宋_GB2312"/>
      <w:sz w:val="28"/>
    </w:rPr>
  </w:style>
  <w:style w:type="paragraph" w:styleId="21">
    <w:name w:val="Body Text First Indent"/>
    <w:basedOn w:val="8"/>
    <w:autoRedefine/>
    <w:qFormat/>
    <w:uiPriority w:val="0"/>
    <w:pPr>
      <w:spacing w:after="120"/>
      <w:ind w:firstLine="420" w:firstLineChars="100"/>
    </w:pPr>
  </w:style>
  <w:style w:type="paragraph" w:styleId="22">
    <w:name w:val="Body Text First Indent 2"/>
    <w:basedOn w:val="8"/>
    <w:next w:val="1"/>
    <w:autoRedefine/>
    <w:unhideWhenUsed/>
    <w:qFormat/>
    <w:uiPriority w:val="99"/>
    <w:pPr>
      <w:ind w:firstLine="420" w:firstLineChars="200"/>
    </w:pPr>
  </w:style>
  <w:style w:type="character" w:styleId="25">
    <w:name w:val="Hyperlink"/>
    <w:qFormat/>
    <w:uiPriority w:val="99"/>
    <w:rPr>
      <w:rFonts w:cs="Times New Roman"/>
      <w:color w:val="0000FF"/>
      <w:u w:val="single"/>
    </w:rPr>
  </w:style>
  <w:style w:type="character" w:styleId="26">
    <w:name w:val="annotation reference"/>
    <w:qFormat/>
    <w:uiPriority w:val="0"/>
    <w:rPr>
      <w:sz w:val="21"/>
      <w:szCs w:val="21"/>
    </w:rPr>
  </w:style>
  <w:style w:type="paragraph" w:customStyle="1" w:styleId="27">
    <w:name w:val="Default1"/>
    <w:basedOn w:val="28"/>
    <w:next w:val="1"/>
    <w:autoRedefine/>
    <w:qFormat/>
    <w:uiPriority w:val="0"/>
    <w:pPr>
      <w:widowControl w:val="0"/>
      <w:autoSpaceDE w:val="0"/>
      <w:autoSpaceDN w:val="0"/>
      <w:adjustRightInd w:val="0"/>
    </w:pPr>
    <w:rPr>
      <w:rFonts w:ascii="宋体" w:cs="宋体"/>
      <w:color w:val="000000"/>
      <w:sz w:val="24"/>
      <w:szCs w:val="24"/>
      <w:lang w:val="en-US" w:eastAsia="zh-CN"/>
    </w:rPr>
  </w:style>
  <w:style w:type="paragraph" w:customStyle="1" w:styleId="28">
    <w:name w:val="Normal_14_0"/>
    <w:autoRedefine/>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29">
    <w:name w:val="样式 10 磅"/>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0">
    <w:name w:val="Default"/>
    <w:basedOn w:val="31"/>
    <w:next w:val="22"/>
    <w:autoRedefine/>
    <w:qFormat/>
    <w:uiPriority w:val="0"/>
    <w:pPr>
      <w:autoSpaceDE w:val="0"/>
      <w:autoSpaceDN w:val="0"/>
    </w:pPr>
    <w:rPr>
      <w:rFonts w:hint="eastAsia" w:ascii="宋体"/>
      <w:sz w:val="24"/>
    </w:rPr>
  </w:style>
  <w:style w:type="paragraph" w:customStyle="1" w:styleId="31">
    <w:name w:val="批注文字1"/>
    <w:autoRedefine/>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32">
    <w:name w:val="正文2"/>
    <w:basedOn w:val="1"/>
    <w:autoRedefine/>
    <w:qFormat/>
    <w:uiPriority w:val="0"/>
    <w:pPr>
      <w:spacing w:line="440" w:lineRule="atLeast"/>
      <w:ind w:firstLine="567"/>
    </w:pPr>
    <w:rPr>
      <w:sz w:val="24"/>
      <w:szCs w:val="20"/>
    </w:rPr>
  </w:style>
  <w:style w:type="paragraph" w:customStyle="1" w:styleId="33">
    <w:name w:val="样式 首行缩进:  2 字符"/>
    <w:basedOn w:val="1"/>
    <w:next w:val="1"/>
    <w:autoRedefine/>
    <w:qFormat/>
    <w:uiPriority w:val="0"/>
    <w:pPr>
      <w:widowControl/>
      <w:tabs>
        <w:tab w:val="left" w:pos="0"/>
      </w:tabs>
      <w:spacing w:line="560" w:lineRule="exact"/>
      <w:ind w:firstLine="560" w:firstLineChars="200"/>
      <w:jc w:val="left"/>
    </w:pPr>
    <w:rPr>
      <w:rFonts w:ascii="宋体" w:hAnsi="宋体" w:eastAsia="仿宋_GB2312" w:cs="宋体"/>
      <w:spacing w:val="12"/>
      <w:kern w:val="0"/>
      <w:sz w:val="28"/>
      <w:szCs w:val="20"/>
    </w:rPr>
  </w:style>
  <w:style w:type="paragraph" w:customStyle="1" w:styleId="34">
    <w:name w:val="li_正文"/>
    <w:basedOn w:val="1"/>
    <w:autoRedefine/>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35">
    <w:name w:val="样式 标题 2"/>
    <w:basedOn w:val="3"/>
    <w:autoRedefine/>
    <w:qFormat/>
    <w:uiPriority w:val="0"/>
    <w:pPr>
      <w:spacing w:beforeLines="0" w:afterLines="0"/>
    </w:pPr>
    <w:rPr>
      <w:rFonts w:ascii="Arial" w:hAnsi="Arial" w:eastAsia="宋体" w:cs="宋体"/>
      <w:snapToGrid/>
      <w:kern w:val="2"/>
      <w:szCs w:val="32"/>
      <w:lang w:val="zh-CN"/>
    </w:rPr>
  </w:style>
  <w:style w:type="paragraph" w:customStyle="1" w:styleId="36">
    <w:name w:val="p0"/>
    <w:basedOn w:val="1"/>
    <w:autoRedefine/>
    <w:qFormat/>
    <w:uiPriority w:val="0"/>
    <w:pPr>
      <w:widowControl/>
    </w:pPr>
    <w:rPr>
      <w:kern w:val="0"/>
      <w:szCs w:val="21"/>
    </w:rPr>
  </w:style>
  <w:style w:type="character" w:customStyle="1" w:styleId="37">
    <w:name w:val="批注框文本 字符"/>
    <w:basedOn w:val="24"/>
    <w:link w:val="14"/>
    <w:autoRedefine/>
    <w:qFormat/>
    <w:uiPriority w:val="0"/>
    <w:rPr>
      <w:rFonts w:ascii="Calibri" w:hAnsi="Calibri"/>
      <w:kern w:val="2"/>
      <w:sz w:val="18"/>
      <w:szCs w:val="18"/>
    </w:rPr>
  </w:style>
  <w:style w:type="paragraph" w:customStyle="1" w:styleId="38">
    <w:name w:val="111"/>
    <w:basedOn w:val="1"/>
    <w:autoRedefine/>
    <w:qFormat/>
    <w:uiPriority w:val="99"/>
    <w:pPr>
      <w:widowControl/>
      <w:tabs>
        <w:tab w:val="left" w:pos="0"/>
      </w:tabs>
      <w:spacing w:before="100" w:beforeAutospacing="1" w:after="100" w:afterAutospacing="1"/>
      <w:jc w:val="left"/>
    </w:pPr>
    <w:rPr>
      <w:rFonts w:ascii="宋体" w:hAnsi="宋体" w:cs="宋体"/>
      <w:kern w:val="0"/>
      <w:sz w:val="24"/>
    </w:rPr>
  </w:style>
  <w:style w:type="character" w:customStyle="1" w:styleId="39">
    <w:name w:val="表头 Char Char Char"/>
    <w:basedOn w:val="24"/>
    <w:autoRedefine/>
    <w:qFormat/>
    <w:uiPriority w:val="0"/>
    <w:rPr>
      <w:rFonts w:ascii="宋体" w:hAnsi="Tahoma" w:eastAsia="宋体"/>
      <w:snapToGrid w:val="0"/>
      <w:spacing w:val="6"/>
      <w:kern w:val="10"/>
      <w:sz w:val="24"/>
    </w:rPr>
  </w:style>
  <w:style w:type="paragraph" w:customStyle="1" w:styleId="40">
    <w:name w:val="表格居中"/>
    <w:basedOn w:val="41"/>
    <w:autoRedefine/>
    <w:qFormat/>
    <w:uiPriority w:val="0"/>
    <w:pPr>
      <w:jc w:val="center"/>
    </w:pPr>
  </w:style>
  <w:style w:type="paragraph" w:customStyle="1" w:styleId="41">
    <w:name w:val="表格一"/>
    <w:basedOn w:val="1"/>
    <w:autoRedefine/>
    <w:qFormat/>
    <w:uiPriority w:val="0"/>
    <w:pPr>
      <w:autoSpaceDE w:val="0"/>
      <w:autoSpaceDN w:val="0"/>
      <w:adjustRightInd w:val="0"/>
      <w:snapToGrid w:val="0"/>
      <w:spacing w:line="240" w:lineRule="atLeast"/>
      <w:jc w:val="left"/>
    </w:pPr>
    <w:rPr>
      <w:rFonts w:hAnsi="宋体"/>
      <w:color w:val="000000"/>
      <w:kern w:val="1"/>
      <w:szCs w:val="21"/>
    </w:rPr>
  </w:style>
  <w:style w:type="paragraph" w:customStyle="1" w:styleId="42">
    <w:name w:val="伟灿工贸-表格文字"/>
    <w:basedOn w:val="1"/>
    <w:autoRedefine/>
    <w:qFormat/>
    <w:uiPriority w:val="0"/>
    <w:pPr>
      <w:jc w:val="center"/>
    </w:pPr>
    <w:rPr>
      <w:rFonts w:hint="eastAsia" w:ascii="宋体" w:hAnsi="宋体" w:cs="宋体"/>
      <w:szCs w:val="21"/>
    </w:rPr>
  </w:style>
  <w:style w:type="paragraph" w:customStyle="1" w:styleId="43">
    <w:name w:val="QQ表正文"/>
    <w:basedOn w:val="1"/>
    <w:autoRedefine/>
    <w:qFormat/>
    <w:uiPriority w:val="0"/>
    <w:pPr>
      <w:widowControl/>
      <w:snapToGrid w:val="0"/>
      <w:spacing w:after="120" w:line="520" w:lineRule="exact"/>
      <w:ind w:firstLine="480" w:firstLineChars="200"/>
    </w:pPr>
    <w:rPr>
      <w:rFonts w:ascii="Times New Roman" w:hAnsiTheme="minorHAnsi" w:eastAsiaTheme="minorEastAsia" w:cstheme="minorBidi"/>
      <w:kern w:val="0"/>
      <w:sz w:val="28"/>
      <w:szCs w:val="21"/>
    </w:rPr>
  </w:style>
  <w:style w:type="paragraph" w:customStyle="1" w:styleId="44">
    <w:name w:val="表名、图名"/>
    <w:basedOn w:val="1"/>
    <w:next w:val="1"/>
    <w:autoRedefine/>
    <w:qFormat/>
    <w:uiPriority w:val="0"/>
    <w:pPr>
      <w:jc w:val="center"/>
    </w:pPr>
    <w:rPr>
      <w:b/>
      <w:bCs/>
    </w:rPr>
  </w:style>
  <w:style w:type="paragraph" w:customStyle="1" w:styleId="45">
    <w:name w:val="标题 三"/>
    <w:basedOn w:val="1"/>
    <w:autoRedefine/>
    <w:qFormat/>
    <w:uiPriority w:val="0"/>
    <w:pPr>
      <w:tabs>
        <w:tab w:val="left" w:pos="3544"/>
      </w:tabs>
      <w:snapToGrid w:val="0"/>
      <w:spacing w:line="360" w:lineRule="auto"/>
      <w:outlineLvl w:val="2"/>
    </w:pPr>
    <w:rPr>
      <w:rFonts w:ascii="宋体" w:hAnsi="宋体"/>
      <w:b/>
      <w:bCs/>
      <w:sz w:val="28"/>
      <w:szCs w:val="28"/>
    </w:rPr>
  </w:style>
  <w:style w:type="paragraph" w:customStyle="1" w:styleId="46">
    <w:name w:val="ENFI正文"/>
    <w:basedOn w:val="1"/>
    <w:autoRedefine/>
    <w:qFormat/>
    <w:uiPriority w:val="0"/>
    <w:pPr>
      <w:adjustRightInd w:val="0"/>
      <w:snapToGrid w:val="0"/>
      <w:ind w:firstLine="567"/>
    </w:pPr>
    <w:rPr>
      <w:rFonts w:eastAsia="仿宋_GB2312"/>
      <w:snapToGrid w:val="0"/>
      <w:color w:val="000000"/>
      <w:kern w:val="0"/>
      <w:sz w:val="28"/>
    </w:rPr>
  </w:style>
  <w:style w:type="paragraph" w:customStyle="1" w:styleId="47">
    <w:name w:val="工艺序号"/>
    <w:basedOn w:val="1"/>
    <w:autoRedefine/>
    <w:qFormat/>
    <w:uiPriority w:val="0"/>
    <w:pPr>
      <w:numPr>
        <w:ilvl w:val="0"/>
        <w:numId w:val="1"/>
      </w:numPr>
    </w:pPr>
    <w:rPr>
      <w:b/>
      <w:bCs/>
    </w:rPr>
  </w:style>
  <w:style w:type="paragraph" w:customStyle="1" w:styleId="48">
    <w:name w:val="伟灿-表格文字"/>
    <w:basedOn w:val="1"/>
    <w:autoRedefine/>
    <w:qFormat/>
    <w:uiPriority w:val="0"/>
    <w:pPr>
      <w:jc w:val="center"/>
    </w:pPr>
    <w:rPr>
      <w:rFonts w:hint="eastAsia" w:ascii="宋体" w:hAnsi="宋体" w:cs="宋体"/>
      <w:szCs w:val="21"/>
    </w:rPr>
  </w:style>
  <w:style w:type="paragraph" w:styleId="49">
    <w:name w:val="List Paragraph"/>
    <w:basedOn w:val="1"/>
    <w:autoRedefine/>
    <w:qFormat/>
    <w:uiPriority w:val="99"/>
    <w:pPr>
      <w:ind w:firstLine="420" w:firstLineChars="200"/>
    </w:pPr>
  </w:style>
  <w:style w:type="paragraph" w:customStyle="1" w:styleId="50">
    <w:name w:val="表格1（标题）"/>
    <w:basedOn w:val="1"/>
    <w:autoRedefine/>
    <w:qFormat/>
    <w:uiPriority w:val="0"/>
    <w:pPr>
      <w:widowControl/>
      <w:suppressAutoHyphens/>
      <w:adjustRightInd w:val="0"/>
      <w:snapToGrid w:val="0"/>
      <w:spacing w:line="360" w:lineRule="auto"/>
      <w:jc w:val="center"/>
      <w:textAlignment w:val="center"/>
      <w:outlineLvl w:val="8"/>
    </w:pPr>
    <w:rPr>
      <w:rFonts w:ascii="Times New Roman" w:hAnsi="Times New Roman" w:cs="黑体"/>
      <w:b/>
      <w:bCs/>
      <w:color w:val="000000"/>
      <w:kern w:val="21"/>
      <w:sz w:val="24"/>
    </w:rPr>
  </w:style>
  <w:style w:type="character" w:customStyle="1" w:styleId="51">
    <w:name w:val="日期 字符"/>
    <w:basedOn w:val="24"/>
    <w:link w:val="12"/>
    <w:autoRedefine/>
    <w:qFormat/>
    <w:uiPriority w:val="0"/>
    <w:rPr>
      <w:b/>
      <w:bCs/>
      <w:kern w:val="2"/>
      <w:sz w:val="28"/>
      <w:szCs w:val="24"/>
    </w:rPr>
  </w:style>
  <w:style w:type="paragraph" w:customStyle="1" w:styleId="52">
    <w:name w:val="AAA"/>
    <w:basedOn w:val="1"/>
    <w:qFormat/>
    <w:uiPriority w:val="0"/>
    <w:pPr>
      <w:ind w:firstLine="200" w:firstLineChars="200"/>
      <w:contextualSpacing/>
    </w:pPr>
    <w:rPr>
      <w:color w:val="000000"/>
      <w:szCs w:val="24"/>
    </w:rPr>
  </w:style>
  <w:style w:type="paragraph" w:customStyle="1" w:styleId="53">
    <w:name w:val="BBB"/>
    <w:qFormat/>
    <w:uiPriority w:val="99"/>
    <w:pPr>
      <w:spacing w:after="160" w:line="278" w:lineRule="auto"/>
      <w:jc w:val="center"/>
    </w:pPr>
    <w:rPr>
      <w:rFonts w:ascii="宋体" w:hAnsi="宋体" w:eastAsia="宋体" w:cs="Times New Roman"/>
      <w:bCs/>
      <w:color w:val="000000"/>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emf"/><Relationship Id="rId4" Type="http://schemas.openxmlformats.org/officeDocument/2006/relationships/oleObject" Target="embeddings/Microsoft_Visio_2003-2010___1.vsd"/><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Lenovo</Company>
  <Pages>7</Pages>
  <Words>929</Words>
  <Characters>1166</Characters>
  <Lines>8</Lines>
  <Paragraphs>2</Paragraphs>
  <TotalTime>0</TotalTime>
  <ScaleCrop>false</ScaleCrop>
  <LinksUpToDate>false</LinksUpToDate>
  <CharactersWithSpaces>1170</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叶子</cp:lastModifiedBy>
  <dcterms:modified xsi:type="dcterms:W3CDTF">2026-07-10T07:45:02Z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BE4C933436594B53B8D9C1B68D82280D_13</vt:lpwstr>
  </property>
  <property fmtid="{D5CDD505-2E9C-101B-9397-08002B2CF9AE}" pid="4" name="KSOTemplateDocerSaveRecord">
    <vt:lpwstr>eyJoZGlkIjoiNDgzMjdiZTZhYWEwMDUyMzMwMzdhZWM2ZmNjMGMzMDkiLCJ1c2VySWQiOiI1NzcyNjAwMzgifQ==</vt:lpwstr>
  </property>
</Properties>
</file>