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江西亿万成金属有限公司废铜压延加工项目安全预评价报告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cs="Times New Roman"/>
                <w:sz w:val="24"/>
                <w:szCs w:val="24"/>
                <w:lang w:val="en-US" w:eastAsia="zh-CN"/>
              </w:rPr>
              <w:t>谢雨飞</w:t>
            </w:r>
          </w:p>
        </w:tc>
        <w:tc>
          <w:tcPr>
            <w:tcW w:w="5689" w:type="dxa"/>
            <w:gridSpan w:val="2"/>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CAWS350000230200227</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043378</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auto"/>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gridSpan w:val="2"/>
            <w:tcBorders>
              <w:tl2br w:val="nil"/>
              <w:tr2bl w:val="nil"/>
            </w:tcBorders>
            <w:shd w:val="clear" w:color="auto" w:fill="auto"/>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auto"/>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auto"/>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于志勇</w:t>
            </w:r>
          </w:p>
        </w:tc>
        <w:tc>
          <w:tcPr>
            <w:tcW w:w="5689" w:type="dxa"/>
            <w:gridSpan w:val="2"/>
            <w:tcBorders>
              <w:tl2br w:val="nil"/>
              <w:tr2bl w:val="nil"/>
            </w:tcBorders>
            <w:shd w:val="clear" w:color="auto" w:fill="auto"/>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2014033230330000003310230030</w:t>
            </w:r>
            <w:r>
              <w:rPr>
                <w:rFonts w:hint="eastAsia" w:ascii="宋体" w:hAnsi="宋体" w:eastAsia="宋体" w:cs="宋体"/>
                <w:sz w:val="24"/>
                <w:szCs w:val="24"/>
              </w:rPr>
              <w:t xml:space="preserve">  </w:t>
            </w:r>
          </w:p>
        </w:tc>
        <w:tc>
          <w:tcPr>
            <w:tcW w:w="2508" w:type="dxa"/>
            <w:tcBorders>
              <w:tl2br w:val="nil"/>
              <w:tr2bl w:val="nil"/>
            </w:tcBorders>
            <w:shd w:val="clear" w:color="auto" w:fill="auto"/>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51190209624</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程冬红</w:t>
            </w:r>
          </w:p>
        </w:tc>
        <w:tc>
          <w:tcPr>
            <w:tcW w:w="5689" w:type="dxa"/>
            <w:gridSpan w:val="2"/>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1500000000301714 </w:t>
            </w:r>
          </w:p>
        </w:tc>
        <w:tc>
          <w:tcPr>
            <w:tcW w:w="2508"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026812</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auto"/>
            <w:vAlign w:val="center"/>
          </w:tcPr>
          <w:p w14:paraId="54F4E8F4">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王静</w:t>
            </w:r>
          </w:p>
        </w:tc>
        <w:tc>
          <w:tcPr>
            <w:tcW w:w="5689" w:type="dxa"/>
            <w:gridSpan w:val="2"/>
            <w:tcBorders>
              <w:tl2br w:val="nil"/>
              <w:tr2bl w:val="nil"/>
            </w:tcBorders>
            <w:shd w:val="clear" w:color="auto" w:fill="auto"/>
            <w:vAlign w:val="center"/>
          </w:tcPr>
          <w:p w14:paraId="00C1788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1800000000300838</w:t>
            </w:r>
          </w:p>
        </w:tc>
        <w:tc>
          <w:tcPr>
            <w:tcW w:w="2508" w:type="dxa"/>
            <w:tcBorders>
              <w:tl2br w:val="nil"/>
              <w:tr2bl w:val="nil"/>
            </w:tcBorders>
            <w:shd w:val="clear" w:color="auto" w:fill="auto"/>
            <w:vAlign w:val="center"/>
          </w:tcPr>
          <w:p w14:paraId="3D85FB31">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034276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sz w:val="24"/>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2026年3月8日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color w:val="auto"/>
                <w:sz w:val="24"/>
                <w:lang w:val="en-US" w:eastAsia="zh-CN"/>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8"/>
              <w:spacing w:line="360" w:lineRule="auto"/>
              <w:ind w:firstLine="480" w:firstLineChars="200"/>
              <w:rPr>
                <w:rFonts w:hint="eastAsia"/>
                <w:sz w:val="24"/>
                <w:szCs w:val="24"/>
                <w:lang w:val="en-US" w:eastAsia="zh-CN"/>
              </w:rPr>
            </w:pPr>
            <w:r>
              <w:rPr>
                <w:rFonts w:hint="eastAsia"/>
                <w:sz w:val="24"/>
                <w:szCs w:val="24"/>
                <w:lang w:val="en-US" w:eastAsia="zh-CN"/>
              </w:rPr>
              <w:t>江西亿万成金属有限公司（以下简称“该公司”），公司成立于2023年1月13日，公司法定代表人：李开锐；公司注册资本：伍仟万元整；公司注册地址：江西省抚州市南城县河东工业园区东五路1号；公司经营范围：一般项目：有色金属压延加工，有色金属合金制造，有色金属合金销售，金属材料制造，金属材料销售，高性能有色金属及合金材料销售，金属丝绳及其制品制造，金属丝绳及其制品销售，金属基复合材料和陶瓷基复合材料销售，金属链条及其他金属制品制造，金属链条及其它金属制品销售，生产性废旧金属回收，再生资源回收（除生产性废旧金属），再生资源加工，再生资源销售，木材收购，国内贸易代理，进出口代理，金属材料和碎屑加工处理，金属结构制造(除依法须经批准的项目外，凭营业执照依法自主开展经营活动)。</w:t>
            </w:r>
          </w:p>
          <w:p w14:paraId="65422842">
            <w:pPr>
              <w:pStyle w:val="8"/>
              <w:spacing w:line="360" w:lineRule="auto"/>
              <w:ind w:firstLine="480" w:firstLineChars="200"/>
              <w:rPr>
                <w:rFonts w:hint="eastAsia"/>
                <w:lang w:val="en-US" w:eastAsia="zh-CN"/>
              </w:rPr>
            </w:pPr>
            <w:r>
              <w:rPr>
                <w:rFonts w:hint="eastAsia"/>
                <w:sz w:val="24"/>
                <w:szCs w:val="24"/>
                <w:lang w:val="en-US" w:eastAsia="zh-CN"/>
              </w:rPr>
              <w:t>根据《中华人民共和国安全生产法》（主席令[2021]第88号）、《建设项目安全设施“三同时”监督管理办法》（安监总局[2011]36号，总局[2015]第77号修订）及《冶金企业和有色金属企业安全生产规定》（原国家安全生产监督管理总局令[2018]91号）的要求，新、改、扩建项目必须进行安全评价，以便于工程项目的安全设施与主体工程同时设计、同时施工、同时投入生产和使用，有利于工程项目在安全生产方面符合国家及地方、行业有关安全生产法律、法规和标准、规章规范的要求。江西亿万成金属有限公司特委托山东新安达工程咨询有限公司对其废铜压延加工项目进行安全预评价。</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817"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1A6A818E">
            <w:pPr>
              <w:pStyle w:val="55"/>
              <w:spacing w:line="360" w:lineRule="auto"/>
              <w:ind w:firstLine="560"/>
              <w:rPr>
                <w:rFonts w:hint="eastAsia"/>
                <w:color w:val="000000"/>
                <w:sz w:val="24"/>
                <w:szCs w:val="24"/>
              </w:rPr>
            </w:pPr>
            <w:r>
              <w:rPr>
                <w:rFonts w:hint="eastAsia" w:cs="Times New Roman"/>
                <w:kern w:val="2"/>
                <w:sz w:val="21"/>
                <w:szCs w:val="24"/>
                <w:lang w:val="en-US" w:eastAsia="zh-CN" w:bidi="ar-SA"/>
              </w:rPr>
              <w:tab/>
            </w:r>
            <w:bookmarkStart w:id="0" w:name="_Hlk511312538"/>
            <w:bookmarkStart w:id="1" w:name="_Toc1823"/>
            <w:bookmarkStart w:id="2" w:name="_Toc27151"/>
            <w:bookmarkStart w:id="3" w:name="_Toc1681"/>
            <w:bookmarkStart w:id="4" w:name="_Toc522873392"/>
            <w:r>
              <w:rPr>
                <w:rFonts w:hint="eastAsia"/>
                <w:color w:val="000000"/>
                <w:sz w:val="24"/>
                <w:szCs w:val="24"/>
              </w:rPr>
              <w:t>江西亿万成金属有限公司废铜压延加工项目工艺主要为废铜采用天然气加热熔化后通过连铸连轧制备8</w:t>
            </w:r>
            <w:r>
              <w:rPr>
                <w:color w:val="000000"/>
                <w:sz w:val="24"/>
                <w:szCs w:val="24"/>
              </w:rPr>
              <w:t>mm</w:t>
            </w:r>
            <w:r>
              <w:rPr>
                <w:rFonts w:hint="eastAsia"/>
                <w:color w:val="000000"/>
                <w:sz w:val="24"/>
                <w:szCs w:val="24"/>
              </w:rPr>
              <w:t>铜杆，主要生产工艺如下图：</w:t>
            </w:r>
          </w:p>
          <w:tbl>
            <w:tblPr>
              <w:tblStyle w:val="23"/>
              <w:tblW w:w="0" w:type="auto"/>
              <w:tblInd w:w="0" w:type="dxa"/>
              <w:tblLayout w:type="fixed"/>
              <w:tblCellMar>
                <w:top w:w="0" w:type="dxa"/>
                <w:left w:w="108" w:type="dxa"/>
                <w:bottom w:w="0" w:type="dxa"/>
                <w:right w:w="108" w:type="dxa"/>
              </w:tblCellMar>
            </w:tblPr>
            <w:tblGrid>
              <w:gridCol w:w="9457"/>
            </w:tblGrid>
            <w:tr w14:paraId="06B01A36">
              <w:tblPrEx>
                <w:tblCellMar>
                  <w:top w:w="0" w:type="dxa"/>
                  <w:left w:w="108" w:type="dxa"/>
                  <w:bottom w:w="0" w:type="dxa"/>
                  <w:right w:w="108" w:type="dxa"/>
                </w:tblCellMar>
              </w:tblPrEx>
              <w:tc>
                <w:tcPr>
                  <w:tcW w:w="9457" w:type="dxa"/>
                  <w:noWrap w:val="0"/>
                  <w:vAlign w:val="top"/>
                </w:tcPr>
                <w:p w14:paraId="22FC4A7D">
                  <w:pPr>
                    <w:widowControl/>
                    <w:jc w:val="center"/>
                    <w:rPr>
                      <w:color w:val="000000"/>
                      <w:sz w:val="24"/>
                      <w:szCs w:val="24"/>
                    </w:rPr>
                  </w:pPr>
                  <w:r>
                    <w:rPr>
                      <w:color w:val="000000"/>
                      <w:sz w:val="24"/>
                      <w:szCs w:val="24"/>
                    </w:rPr>
                    <w:drawing>
                      <wp:inline distT="0" distB="0" distL="114300" distR="114300">
                        <wp:extent cx="2947035" cy="5120640"/>
                        <wp:effectExtent l="0" t="0" r="5715" b="3810"/>
                        <wp:docPr id="11" name="图片 1"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工艺流程"/>
                                <pic:cNvPicPr>
                                  <a:picLocks noChangeAspect="1"/>
                                </pic:cNvPicPr>
                              </pic:nvPicPr>
                              <pic:blipFill>
                                <a:blip r:embed="rId4"/>
                                <a:stretch>
                                  <a:fillRect/>
                                </a:stretch>
                              </pic:blipFill>
                              <pic:spPr>
                                <a:xfrm>
                                  <a:off x="0" y="0"/>
                                  <a:ext cx="2947035" cy="5120640"/>
                                </a:xfrm>
                                <a:prstGeom prst="rect">
                                  <a:avLst/>
                                </a:prstGeom>
                                <a:noFill/>
                                <a:ln>
                                  <a:noFill/>
                                </a:ln>
                              </pic:spPr>
                            </pic:pic>
                          </a:graphicData>
                        </a:graphic>
                      </wp:inline>
                    </w:drawing>
                  </w:r>
                </w:p>
                <w:p w14:paraId="034DEF35">
                  <w:pPr>
                    <w:pStyle w:val="55"/>
                    <w:ind w:firstLine="0" w:firstLineChars="0"/>
                    <w:jc w:val="center"/>
                    <w:rPr>
                      <w:rFonts w:hint="eastAsia"/>
                      <w:b/>
                      <w:bCs/>
                      <w:color w:val="000000"/>
                      <w:sz w:val="24"/>
                      <w:szCs w:val="24"/>
                    </w:rPr>
                  </w:pPr>
                  <w:r>
                    <w:rPr>
                      <w:rFonts w:hint="eastAsia"/>
                      <w:b/>
                      <w:bCs/>
                      <w:color w:val="000000"/>
                      <w:sz w:val="24"/>
                      <w:szCs w:val="24"/>
                    </w:rPr>
                    <w:t>图2</w:t>
                  </w:r>
                  <w:r>
                    <w:rPr>
                      <w:b/>
                      <w:bCs/>
                      <w:color w:val="000000"/>
                      <w:sz w:val="24"/>
                      <w:szCs w:val="24"/>
                    </w:rPr>
                    <w:t xml:space="preserve">.4-1 </w:t>
                  </w:r>
                  <w:r>
                    <w:rPr>
                      <w:rFonts w:hint="eastAsia"/>
                      <w:b/>
                      <w:bCs/>
                      <w:color w:val="000000"/>
                      <w:sz w:val="24"/>
                      <w:szCs w:val="24"/>
                    </w:rPr>
                    <w:t>项目生产工艺流程示意图</w:t>
                  </w:r>
                </w:p>
              </w:tc>
            </w:tr>
          </w:tbl>
          <w:p w14:paraId="125ED7A3">
            <w:pPr>
              <w:pStyle w:val="55"/>
              <w:spacing w:line="360" w:lineRule="auto"/>
              <w:ind w:firstLine="560"/>
              <w:rPr>
                <w:color w:val="000000"/>
                <w:sz w:val="24"/>
                <w:szCs w:val="24"/>
              </w:rPr>
            </w:pPr>
            <w:r>
              <w:rPr>
                <w:rFonts w:hint="eastAsia"/>
                <w:color w:val="000000"/>
                <w:sz w:val="24"/>
                <w:szCs w:val="24"/>
              </w:rPr>
              <w:t>工艺流程简述：</w:t>
            </w:r>
          </w:p>
          <w:bookmarkEnd w:id="0"/>
          <w:p w14:paraId="6B897866">
            <w:pPr>
              <w:pStyle w:val="55"/>
              <w:spacing w:line="360" w:lineRule="auto"/>
              <w:ind w:firstLine="560"/>
              <w:rPr>
                <w:rFonts w:hint="eastAsia"/>
                <w:color w:val="000000"/>
                <w:sz w:val="24"/>
                <w:szCs w:val="24"/>
              </w:rPr>
            </w:pPr>
            <w:r>
              <w:rPr>
                <w:rFonts w:hint="eastAsia"/>
                <w:color w:val="000000"/>
                <w:sz w:val="24"/>
                <w:szCs w:val="24"/>
              </w:rPr>
              <w:t>熔化：项目生产工艺以机械加工为主，生产原料是Ⅰ类纯铜废料、阴极铜板，生产过程中将Ⅰ类纯铜废料、阴极铜板投加至熔化炉内（不需要加添加剂）熔化采用天然气+液氧气化后氧气富氧燃烧，上层加入木炭层起保温和防氧化作用，熔化炉将Ⅰ类纯铜废料、阴极铜板熔化变成铜液（采用燃气窑炉加热，温度为1300℃左右），废铜熔化后，部分杂质在熔化过程中开始氧化及挥发，并且在熔体表面生成炉渣，待铜全部熔化并除去炉渣后，开始用压缩空气通过弯头风管鼓入熔融的铜水中进行氧化造渣。造渣时加入一定量的熔剂石英砂。氧化主要依靠铜氧化成氧化亚铜并且溶解在熔体内，作为氧化剂将杂质除去。</w:t>
            </w:r>
          </w:p>
          <w:p w14:paraId="2675E41F">
            <w:pPr>
              <w:pStyle w:val="55"/>
              <w:spacing w:line="360" w:lineRule="auto"/>
              <w:ind w:firstLine="560"/>
              <w:rPr>
                <w:rFonts w:hint="eastAsia"/>
                <w:color w:val="000000"/>
                <w:sz w:val="24"/>
                <w:szCs w:val="24"/>
              </w:rPr>
            </w:pPr>
            <w:r>
              <w:rPr>
                <w:rFonts w:hint="eastAsia"/>
                <w:color w:val="000000"/>
                <w:sz w:val="24"/>
                <w:szCs w:val="24"/>
              </w:rPr>
              <w:t>熔化结束后，用木炭覆盖隔绝铜液表面与空气接触。同时，控制天然气和入炉空气比例（含氧量一般控制在0.05～0.2%），使熔化炉内处于还原气氛下保温约2h。保温完成后，关闭炉门及烟道闸门，铜液通过熔化炉底部的流嘴进入连铸连扎机。</w:t>
            </w:r>
          </w:p>
          <w:p w14:paraId="43EF2C1D">
            <w:pPr>
              <w:pStyle w:val="55"/>
              <w:spacing w:line="360" w:lineRule="auto"/>
              <w:ind w:firstLine="560"/>
              <w:rPr>
                <w:rFonts w:hint="eastAsia"/>
                <w:color w:val="000000"/>
                <w:sz w:val="24"/>
                <w:szCs w:val="24"/>
              </w:rPr>
            </w:pPr>
            <w:r>
              <w:rPr>
                <w:rFonts w:hint="eastAsia"/>
                <w:color w:val="000000"/>
                <w:sz w:val="24"/>
                <w:szCs w:val="24"/>
              </w:rPr>
              <w:t>浇铸：铜液在浇铸模具（模具内径约为20mm的空心圆柱）机中形成铜杆，浇铸模具固定在浇铸机中，期间间接循环冷却水的作用是使钢杆加速定型，此过程的污染物有：设备噪声；少量氧化铜铜屑。</w:t>
            </w:r>
          </w:p>
          <w:p w14:paraId="0339A47B">
            <w:pPr>
              <w:pStyle w:val="55"/>
              <w:spacing w:line="360" w:lineRule="auto"/>
              <w:ind w:firstLine="560"/>
              <w:rPr>
                <w:rFonts w:hint="eastAsia"/>
                <w:color w:val="000000"/>
                <w:sz w:val="24"/>
                <w:szCs w:val="24"/>
              </w:rPr>
            </w:pPr>
            <w:r>
              <w:rPr>
                <w:rFonts w:hint="eastAsia"/>
                <w:color w:val="000000"/>
                <w:sz w:val="24"/>
                <w:szCs w:val="24"/>
              </w:rPr>
              <w:t>收杆、轧杆：铜杆经过收杆辊道输送到轧杆机轧制成8mm铜杆，轧杆机在轧制时需加入乳化液起保护作用（防止铜杆氧化），此过程的污染物有：乳化液产生的乳化液挥发废气；设备噪声；定期更换的废乳化液、不合格铜杆等。</w:t>
            </w:r>
          </w:p>
          <w:p w14:paraId="75E6B5EB">
            <w:pPr>
              <w:spacing w:line="500" w:lineRule="exact"/>
              <w:ind w:firstLine="460" w:firstLineChars="192"/>
              <w:rPr>
                <w:rFonts w:hint="eastAsia" w:ascii="宋体" w:hAnsi="宋体"/>
                <w:spacing w:val="-4"/>
                <w:sz w:val="24"/>
                <w:szCs w:val="24"/>
              </w:rPr>
            </w:pPr>
            <w:r>
              <w:rPr>
                <w:rFonts w:hint="eastAsia"/>
                <w:color w:val="000000"/>
                <w:sz w:val="24"/>
                <w:szCs w:val="24"/>
              </w:rPr>
              <w:t>清洗、拉杆：轧制好的铜杆，经铜杆清洗剂清洗槽，清洗槽的主要作用是防止8mm铜杆表面的氧化，在拉杆机盘成成盘铜杆，此过程的污染物有：清洗剂挥发废气；定期更换的废清洗剂；设备噪声；少量不合格铜杆等</w:t>
            </w:r>
            <w:r>
              <w:rPr>
                <w:rFonts w:hint="eastAsia" w:ascii="宋体" w:hAnsi="宋体"/>
                <w:spacing w:val="-4"/>
                <w:sz w:val="24"/>
                <w:szCs w:val="24"/>
              </w:rPr>
              <w:t>。</w:t>
            </w:r>
          </w:p>
          <w:p w14:paraId="5AEA7BB0">
            <w:pPr>
              <w:jc w:val="center"/>
              <w:rPr>
                <w:rFonts w:hint="eastAsia"/>
                <w:b/>
                <w:sz w:val="24"/>
              </w:rPr>
            </w:pPr>
          </w:p>
          <w:bookmarkEnd w:id="1"/>
          <w:bookmarkEnd w:id="2"/>
          <w:bookmarkEnd w:id="3"/>
          <w:bookmarkEnd w:id="4"/>
          <w:p w14:paraId="75B8E9AA">
            <w:pPr>
              <w:tabs>
                <w:tab w:val="left" w:pos="391"/>
              </w:tabs>
              <w:bidi w:val="0"/>
              <w:jc w:val="left"/>
              <w:rPr>
                <w:rFonts w:hint="eastAsia" w:ascii="Calibri" w:hAnsi="Calibri" w:eastAsia="宋体" w:cs="Times New Roman"/>
                <w:kern w:val="2"/>
                <w:sz w:val="21"/>
                <w:szCs w:val="24"/>
                <w:lang w:val="en-US" w:eastAsia="zh-CN" w:bidi="ar-SA"/>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p w14:paraId="15BAEE2D">
      <w:pPr>
        <w:pStyle w:val="8"/>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27940</wp:posOffset>
            </wp:positionH>
            <wp:positionV relativeFrom="paragraph">
              <wp:posOffset>2886710</wp:posOffset>
            </wp:positionV>
            <wp:extent cx="5153660" cy="2899410"/>
            <wp:effectExtent l="0" t="0" r="8890" b="15240"/>
            <wp:wrapNone/>
            <wp:docPr id="14" name="图片 14" descr="49bd4ef3e30e506ccd767892be1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9bd4ef3e30e506ccd767892be188b5"/>
                    <pic:cNvPicPr>
                      <a:picLocks noChangeAspect="1"/>
                    </pic:cNvPicPr>
                  </pic:nvPicPr>
                  <pic:blipFill>
                    <a:blip r:embed="rId5"/>
                    <a:stretch>
                      <a:fillRect/>
                    </a:stretch>
                  </pic:blipFill>
                  <pic:spPr>
                    <a:xfrm>
                      <a:off x="0" y="0"/>
                      <a:ext cx="5153660" cy="2899410"/>
                    </a:xfrm>
                    <a:prstGeom prst="rect">
                      <a:avLst/>
                    </a:prstGeom>
                  </pic:spPr>
                </pic:pic>
              </a:graphicData>
            </a:graphic>
          </wp:anchor>
        </w:drawing>
      </w:r>
      <w:r>
        <w:rPr>
          <w:rFonts w:hint="eastAsia" w:eastAsia="宋体"/>
          <w:lang w:eastAsia="zh-CN"/>
        </w:rPr>
        <w:drawing>
          <wp:inline distT="0" distB="0" distL="114300" distR="114300">
            <wp:extent cx="5181600" cy="2915285"/>
            <wp:effectExtent l="0" t="0" r="0" b="18415"/>
            <wp:docPr id="15" name="图片 15" descr="3bff78f99bf9b86fc8207ebde2fc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bff78f99bf9b86fc8207ebde2fc6b5"/>
                    <pic:cNvPicPr>
                      <a:picLocks noChangeAspect="1"/>
                    </pic:cNvPicPr>
                  </pic:nvPicPr>
                  <pic:blipFill>
                    <a:blip r:embed="rId6"/>
                    <a:stretch>
                      <a:fillRect/>
                    </a:stretch>
                  </pic:blipFill>
                  <pic:spPr>
                    <a:xfrm>
                      <a:off x="0" y="0"/>
                      <a:ext cx="5181600" cy="2915285"/>
                    </a:xfrm>
                    <a:prstGeom prst="rect">
                      <a:avLst/>
                    </a:prstGeom>
                  </pic:spPr>
                </pic:pic>
              </a:graphicData>
            </a:graphic>
          </wp:inline>
        </w:drawing>
      </w:r>
    </w:p>
    <w:p w14:paraId="28AB43C3">
      <w:pPr>
        <w:rPr>
          <w:rFonts w:hint="eastAsia" w:eastAsia="宋体"/>
          <w:lang w:eastAsia="zh-CN"/>
        </w:rPr>
      </w:pPr>
    </w:p>
    <w:p w14:paraId="48AFF16E">
      <w:bookmarkStart w:id="5" w:name="_GoBack"/>
      <w:r>
        <w:drawing>
          <wp:anchor distT="0" distB="0" distL="114300" distR="114300" simplePos="0" relativeHeight="251659264" behindDoc="0" locked="0" layoutInCell="1" allowOverlap="1">
            <wp:simplePos x="0" y="0"/>
            <wp:positionH relativeFrom="column">
              <wp:posOffset>28575</wp:posOffset>
            </wp:positionH>
            <wp:positionV relativeFrom="paragraph">
              <wp:posOffset>2648585</wp:posOffset>
            </wp:positionV>
            <wp:extent cx="5053330" cy="2842895"/>
            <wp:effectExtent l="0" t="0" r="13970" b="14605"/>
            <wp:wrapNone/>
            <wp:docPr id="16" name="图片 16" descr="fe185bdbb9521e3a306039aa12e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e185bdbb9521e3a306039aa12e214e"/>
                    <pic:cNvPicPr>
                      <a:picLocks noChangeAspect="1"/>
                    </pic:cNvPicPr>
                  </pic:nvPicPr>
                  <pic:blipFill>
                    <a:blip r:embed="rId7"/>
                    <a:stretch>
                      <a:fillRect/>
                    </a:stretch>
                  </pic:blipFill>
                  <pic:spPr>
                    <a:xfrm>
                      <a:off x="0" y="0"/>
                      <a:ext cx="5053330" cy="2842895"/>
                    </a:xfrm>
                    <a:prstGeom prst="rect">
                      <a:avLst/>
                    </a:prstGeom>
                  </pic:spPr>
                </pic:pic>
              </a:graphicData>
            </a:graphic>
          </wp:anchor>
        </w:drawing>
      </w:r>
    </w:p>
    <w:bookmarkEnd w:id="5"/>
    <w:p w14:paraId="3063B77D">
      <w:r>
        <w:drawing>
          <wp:inline distT="0" distB="0" distL="114300" distR="114300">
            <wp:extent cx="5265420" cy="759777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5420" cy="7597775"/>
                    </a:xfrm>
                    <a:prstGeom prst="rect">
                      <a:avLst/>
                    </a:prstGeom>
                    <a:noFill/>
                    <a:ln>
                      <a:noFill/>
                    </a:ln>
                  </pic:spPr>
                </pic:pic>
              </a:graphicData>
            </a:graphic>
          </wp:inline>
        </w:drawing>
      </w:r>
      <w:r>
        <w:br w:type="page"/>
      </w:r>
    </w:p>
    <w:p w14:paraId="442DB41E"/>
    <w:p w14:paraId="5C82DEE2"/>
    <w:p w14:paraId="16D620A9">
      <w:pPr>
        <w:pStyle w:val="8"/>
      </w:pPr>
    </w:p>
    <w:p w14:paraId="21C9E949">
      <w:r>
        <w:drawing>
          <wp:inline distT="0" distB="0" distL="114300" distR="114300">
            <wp:extent cx="5264785" cy="7492365"/>
            <wp:effectExtent l="0" t="0" r="12065"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5264785" cy="7492365"/>
                    </a:xfrm>
                    <a:prstGeom prst="rect">
                      <a:avLst/>
                    </a:prstGeom>
                    <a:noFill/>
                    <a:ln>
                      <a:noFill/>
                    </a:ln>
                  </pic:spPr>
                </pic:pic>
              </a:graphicData>
            </a:graphic>
          </wp:inline>
        </w:drawing>
      </w:r>
      <w:r>
        <w:br w:type="page"/>
      </w:r>
    </w:p>
    <w:p w14:paraId="79870BEA">
      <w:r>
        <w:drawing>
          <wp:inline distT="0" distB="0" distL="114300" distR="114300">
            <wp:extent cx="5273040" cy="7753985"/>
            <wp:effectExtent l="0" t="0" r="3810" b="1841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5273040" cy="7753985"/>
                    </a:xfrm>
                    <a:prstGeom prst="rect">
                      <a:avLst/>
                    </a:prstGeom>
                    <a:noFill/>
                    <a:ln>
                      <a:noFill/>
                    </a:ln>
                  </pic:spPr>
                </pic:pic>
              </a:graphicData>
            </a:graphic>
          </wp:inline>
        </w:drawing>
      </w:r>
    </w:p>
    <w:p w14:paraId="022FD0BF">
      <w:pPr>
        <w:rPr>
          <w:rFonts w:hint="eastAsia"/>
          <w:lang w:eastAsia="zh-CN"/>
        </w:rPr>
      </w:pPr>
      <w:r>
        <w:drawing>
          <wp:inline distT="0" distB="0" distL="114300" distR="114300">
            <wp:extent cx="5267960" cy="7459980"/>
            <wp:effectExtent l="0" t="0" r="889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7960" cy="745998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19B5FB6"/>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230C39"/>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9D91C34"/>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C75D28"/>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48C7514"/>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2111CB"/>
    <w:rsid w:val="729E3A33"/>
    <w:rsid w:val="72C43B37"/>
    <w:rsid w:val="737D1DEA"/>
    <w:rsid w:val="748B2EA1"/>
    <w:rsid w:val="74AE0F56"/>
    <w:rsid w:val="76391AC6"/>
    <w:rsid w:val="7672193D"/>
    <w:rsid w:val="770403EE"/>
    <w:rsid w:val="771C50B0"/>
    <w:rsid w:val="771E190D"/>
    <w:rsid w:val="77310079"/>
    <w:rsid w:val="77832F9B"/>
    <w:rsid w:val="77C519A6"/>
    <w:rsid w:val="784004D1"/>
    <w:rsid w:val="78725E9B"/>
    <w:rsid w:val="7877129B"/>
    <w:rsid w:val="79302291"/>
    <w:rsid w:val="797D7F1B"/>
    <w:rsid w:val="799B33AA"/>
    <w:rsid w:val="79FE7AE0"/>
    <w:rsid w:val="7A083C89"/>
    <w:rsid w:val="7AA15E8B"/>
    <w:rsid w:val="7AC314B7"/>
    <w:rsid w:val="7AF652BE"/>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1"/>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7"/>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Hyperlink"/>
    <w:qFormat/>
    <w:uiPriority w:val="99"/>
    <w:rPr>
      <w:rFonts w:cs="Times New Roman"/>
      <w:color w:val="0000FF"/>
      <w:u w:val="single"/>
    </w:rPr>
  </w:style>
  <w:style w:type="character" w:styleId="26">
    <w:name w:val="annotation reference"/>
    <w:qFormat/>
    <w:uiPriority w:val="0"/>
    <w:rPr>
      <w:sz w:val="21"/>
      <w:szCs w:val="21"/>
    </w:rPr>
  </w:style>
  <w:style w:type="paragraph" w:customStyle="1" w:styleId="27">
    <w:name w:val="Default1"/>
    <w:basedOn w:val="28"/>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8">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Default"/>
    <w:basedOn w:val="31"/>
    <w:next w:val="22"/>
    <w:autoRedefine/>
    <w:qFormat/>
    <w:uiPriority w:val="0"/>
    <w:pPr>
      <w:autoSpaceDE w:val="0"/>
      <w:autoSpaceDN w:val="0"/>
    </w:pPr>
    <w:rPr>
      <w:rFonts w:hint="eastAsia" w:ascii="宋体"/>
      <w:sz w:val="24"/>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正文2"/>
    <w:basedOn w:val="1"/>
    <w:autoRedefine/>
    <w:qFormat/>
    <w:uiPriority w:val="0"/>
    <w:pPr>
      <w:spacing w:line="440" w:lineRule="atLeast"/>
      <w:ind w:firstLine="567"/>
    </w:pPr>
    <w:rPr>
      <w:sz w:val="24"/>
      <w:szCs w:val="20"/>
    </w:rPr>
  </w:style>
  <w:style w:type="paragraph" w:customStyle="1" w:styleId="33">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4">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6">
    <w:name w:val="p0"/>
    <w:basedOn w:val="1"/>
    <w:autoRedefine/>
    <w:qFormat/>
    <w:uiPriority w:val="0"/>
    <w:pPr>
      <w:widowControl/>
    </w:pPr>
    <w:rPr>
      <w:kern w:val="0"/>
      <w:szCs w:val="21"/>
    </w:rPr>
  </w:style>
  <w:style w:type="character" w:customStyle="1" w:styleId="37">
    <w:name w:val="批注框文本 字符"/>
    <w:basedOn w:val="24"/>
    <w:link w:val="14"/>
    <w:autoRedefine/>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4"/>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4"/>
    <w:link w:val="12"/>
    <w:autoRedefine/>
    <w:qFormat/>
    <w:uiPriority w:val="0"/>
    <w:rPr>
      <w:b/>
      <w:bCs/>
      <w:kern w:val="2"/>
      <w:sz w:val="28"/>
      <w:szCs w:val="24"/>
    </w:rPr>
  </w:style>
  <w:style w:type="paragraph" w:customStyle="1" w:styleId="52">
    <w:name w:val="AAA"/>
    <w:basedOn w:val="1"/>
    <w:qFormat/>
    <w:uiPriority w:val="0"/>
    <w:pPr>
      <w:ind w:firstLine="200" w:firstLineChars="200"/>
      <w:contextualSpacing/>
    </w:pPr>
    <w:rPr>
      <w:color w:val="000000"/>
      <w:szCs w:val="24"/>
    </w:rPr>
  </w:style>
  <w:style w:type="paragraph" w:customStyle="1" w:styleId="53">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 w:type="paragraph" w:customStyle="1" w:styleId="54">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55">
    <w:name w:val="安评正文"/>
    <w:qFormat/>
    <w:uiPriority w:val="0"/>
    <w:pPr>
      <w:spacing w:line="500" w:lineRule="exact"/>
      <w:ind w:firstLine="200" w:firstLineChars="200"/>
    </w:pPr>
    <w:rPr>
      <w:rFonts w:ascii="宋体" w:hAnsi="宋体" w:eastAsia="宋体" w:cs="Times New Roman"/>
      <w:kern w:val="2"/>
      <w:sz w:val="28"/>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1472</Words>
  <Characters>1660</Characters>
  <Lines>8</Lines>
  <Paragraphs>2</Paragraphs>
  <TotalTime>1</TotalTime>
  <ScaleCrop>false</ScaleCrop>
  <LinksUpToDate>false</LinksUpToDate>
  <CharactersWithSpaces>1666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2026-07-10T07:36:57Z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B6EBA9AAA7A346CC9788232D2F278D55_13</vt:lpwstr>
  </property>
  <property fmtid="{D5CDD505-2E9C-101B-9397-08002B2CF9AE}" pid="4" name="KSOTemplateDocerSaveRecord">
    <vt:lpwstr>eyJoZGlkIjoiNDgzMjdiZTZhYWEwMDUyMzMwMzdhZWM2ZmNjMGMzMDkiLCJ1c2VySWQiOiI1NzcyNjAwMzgifQ==</vt:lpwstr>
  </property>
</Properties>
</file>