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吉安市吉州区兴桥农机加油站安全现状评价报告</w:t>
            </w:r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2021100463000000716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36230354334</w:t>
            </w:r>
          </w:p>
        </w:tc>
      </w:tr>
      <w:tr w14:paraId="52CF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3163E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F4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曾淑慧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CB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03320241036000001117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DF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36250437078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BD2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于志勇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2014033230330000003310230030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51190209624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程冬红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1500000000301714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026812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刘二平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03320241036000000887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37250438462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2026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月</w:t>
            </w: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25</w:t>
            </w:r>
            <w:r>
              <w:rPr>
                <w:rFonts w:hint="eastAsia"/>
                <w:b w:val="0"/>
                <w:bCs w:val="0"/>
                <w:sz w:val="24"/>
                <w:szCs w:val="22"/>
                <w:lang w:eastAsia="zh-CN"/>
              </w:rPr>
              <w:t>日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谢雨飞2026年4月28日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72B8FA5A">
            <w:pPr>
              <w:ind w:firstLine="560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吉安市吉州区兴桥农机加油站</w:t>
            </w:r>
            <w:r>
              <w:rPr>
                <w:color w:val="auto"/>
                <w:spacing w:val="-2"/>
              </w:rPr>
              <w:t>位于</w:t>
            </w:r>
            <w:r>
              <w:rPr>
                <w:rFonts w:hint="eastAsia"/>
                <w:color w:val="auto"/>
                <w:spacing w:val="-2"/>
              </w:rPr>
              <w:t>吉安市吉州区兴桥镇秀江村</w:t>
            </w:r>
            <w:r>
              <w:rPr>
                <w:rFonts w:hint="eastAsia"/>
                <w:color w:val="auto"/>
                <w:spacing w:val="-2"/>
                <w:lang w:eastAsia="zh-CN"/>
              </w:rPr>
              <w:t>。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成立于</w:t>
            </w:r>
            <w:r>
              <w:rPr>
                <w:rFonts w:hint="eastAsia"/>
                <w:color w:val="auto"/>
                <w:lang w:val="en-US" w:eastAsia="zh-CN"/>
              </w:rPr>
              <w:t>2011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16</w:t>
            </w:r>
            <w:r>
              <w:rPr>
                <w:rFonts w:hint="eastAsia"/>
                <w:color w:val="auto"/>
                <w:lang w:eastAsia="zh-CN"/>
              </w:rPr>
              <w:t>日，</w:t>
            </w:r>
            <w:r>
              <w:rPr>
                <w:rFonts w:hint="eastAsia"/>
                <w:color w:val="auto"/>
                <w:lang w:val="en-US" w:eastAsia="zh-CN"/>
              </w:rPr>
              <w:t>于2026年4月20日</w:t>
            </w:r>
            <w:r>
              <w:rPr>
                <w:rFonts w:hint="eastAsia"/>
                <w:lang w:val="en-US" w:eastAsia="zh-CN"/>
              </w:rPr>
              <w:t>变更经营范围</w:t>
            </w:r>
            <w:r>
              <w:rPr>
                <w:rFonts w:hint="eastAsia"/>
              </w:rPr>
              <w:t>并取得</w:t>
            </w:r>
            <w:r>
              <w:rPr>
                <w:rFonts w:hint="eastAsia"/>
                <w:color w:val="auto"/>
                <w:lang w:val="en-US" w:eastAsia="zh-CN"/>
              </w:rPr>
              <w:t>吉安市吉州区行政审批局</w:t>
            </w:r>
            <w:r>
              <w:rPr>
                <w:rFonts w:hint="eastAsia"/>
              </w:rPr>
              <w:t>颁发的营业执照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color w:val="auto"/>
                <w:lang w:val="en-US" w:eastAsia="zh-CN"/>
              </w:rPr>
              <w:t>类型：个人独资企业</w:t>
            </w:r>
            <w:r>
              <w:rPr>
                <w:color w:val="auto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投资人：余元兴</w:t>
            </w:r>
            <w:r>
              <w:rPr>
                <w:color w:val="auto"/>
              </w:rPr>
              <w:t>，</w:t>
            </w:r>
            <w:r>
              <w:rPr>
                <w:rFonts w:hint="eastAsia"/>
                <w:color w:val="auto"/>
              </w:rPr>
              <w:t>营业执照</w:t>
            </w:r>
            <w:r>
              <w:rPr>
                <w:color w:val="auto"/>
              </w:rPr>
              <w:t>统一社会信用代码为：</w:t>
            </w:r>
            <w:r>
              <w:rPr>
                <w:rFonts w:hint="eastAsia"/>
                <w:color w:val="auto"/>
                <w:lang w:val="en-US" w:eastAsia="zh-CN"/>
              </w:rPr>
              <w:t>913608025816418688</w:t>
            </w:r>
            <w:r>
              <w:rPr>
                <w:color w:val="auto"/>
              </w:rPr>
              <w:t>。</w:t>
            </w:r>
            <w:r>
              <w:rPr>
                <w:rFonts w:hint="eastAsia"/>
                <w:color w:val="auto"/>
              </w:rPr>
              <w:t>营业执照核准经营范围：</w:t>
            </w:r>
            <w:r>
              <w:rPr>
                <w:rFonts w:hint="eastAsia"/>
                <w:color w:val="auto"/>
                <w:lang w:val="en-US" w:eastAsia="zh-CN"/>
              </w:rPr>
              <w:t>许可项目:成品油零售(依法须经批准的项目，经相关部门批准后在许可有效期内方可开展经营活动，具体经营项目和许可期限以相关部门批准文件或许可证件为准)一般项目:润滑油销售，集中式快速充电站，机动车充电销售，充电桩销售，充电控制设备租赁，智能输配电及控制设备销售，电动汽车充电基础设施运营，新能源汽车电附件销售(除依法须经批准的项目外，凭营业执照依法自主开展经营活动)。</w:t>
            </w:r>
          </w:p>
          <w:p w14:paraId="30FB9A42">
            <w:pPr>
              <w:ind w:firstLine="560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吉安市吉州区兴桥农机加油站</w:t>
            </w:r>
            <w:r>
              <w:rPr>
                <w:color w:val="auto"/>
              </w:rPr>
              <w:t>设有</w:t>
            </w:r>
            <w:r>
              <w:rPr>
                <w:rFonts w:hint="eastAsia"/>
                <w:color w:val="auto"/>
                <w:lang w:val="en-US" w:eastAsia="zh-CN"/>
              </w:rPr>
              <w:t>1台92#汽油/0#柴油/92#汽油/0#柴油4枪加油机</w:t>
            </w:r>
            <w:r>
              <w:rPr>
                <w:rFonts w:hint="eastAsia"/>
                <w:color w:val="auto"/>
                <w:spacing w:val="-2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1台95#汽油/0#柴油/95#汽油/0#柴油4枪加油机、1台92#汽油/0#柴油/92#汽油/0#柴油4枪加油机、1台92#汽油/95#汽油/92#汽油/95#汽油4枪加油机、1台95#汽油/92#汽油/95#汽油/92#汽油4枪加油机、1台92#汽油/92#汽油/92#汽油/95#汽油4枪加油机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92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汽油双层埋地储罐、1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92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汽油双层埋地储罐、1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95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汽油双层埋地储罐、1台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  <w:lang w:eastAsia="zh-CN"/>
              </w:rPr>
              <w:t>m³</w:t>
            </w:r>
            <w:r>
              <w:rPr>
                <w:rFonts w:hint="eastAsia"/>
                <w:lang w:val="en-US" w:eastAsia="zh-CN"/>
              </w:rPr>
              <w:t>92</w:t>
            </w:r>
            <w:r>
              <w:rPr>
                <w:rFonts w:hint="eastAsia"/>
                <w:lang w:eastAsia="zh-CN"/>
              </w:rPr>
              <w:t>#汽油</w:t>
            </w:r>
            <w:r>
              <w:rPr>
                <w:rFonts w:hint="eastAsia"/>
                <w:lang w:val="en-US" w:eastAsia="zh-CN"/>
              </w:rPr>
              <w:t>/92</w:t>
            </w:r>
            <w:r>
              <w:rPr>
                <w:rFonts w:hint="eastAsia"/>
                <w:lang w:eastAsia="zh-CN"/>
              </w:rPr>
              <w:t>#汽油</w:t>
            </w:r>
            <w:r>
              <w:rPr>
                <w:rFonts w:hint="eastAsia"/>
                <w:lang w:val="en-US" w:eastAsia="zh-CN"/>
              </w:rPr>
              <w:t>分舱双层埋地储罐（</w:t>
            </w:r>
            <w:r>
              <w:rPr>
                <w:rFonts w:hint="default"/>
              </w:rPr>
              <w:t>中间对半隔开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15m³92</w:t>
            </w:r>
            <w:r>
              <w:rPr>
                <w:rFonts w:hint="eastAsia"/>
                <w:lang w:eastAsia="zh-CN"/>
              </w:rPr>
              <w:t>#汽油，</w:t>
            </w:r>
            <w:r>
              <w:rPr>
                <w:rFonts w:hint="eastAsia"/>
                <w:lang w:val="en-US" w:eastAsia="zh-CN"/>
              </w:rPr>
              <w:t>15m³92</w:t>
            </w:r>
            <w:r>
              <w:rPr>
                <w:rFonts w:hint="eastAsia"/>
                <w:lang w:eastAsia="zh-CN"/>
              </w:rPr>
              <w:t>#汽油）、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柴油双层埋地储罐</w:t>
            </w:r>
            <w:r>
              <w:rPr>
                <w:rFonts w:hint="eastAsia"/>
                <w:color w:val="auto"/>
                <w:lang w:eastAsia="zh-CN"/>
              </w:rPr>
              <w:t>、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  <w:lang w:eastAsia="zh-CN"/>
              </w:rPr>
              <w:t>台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  <w:r>
              <w:rPr>
                <w:rFonts w:hint="eastAsia"/>
                <w:color w:val="auto"/>
                <w:lang w:eastAsia="zh-CN"/>
              </w:rPr>
              <w:t>#</w:t>
            </w:r>
            <w:r>
              <w:rPr>
                <w:rFonts w:hint="eastAsia"/>
                <w:color w:val="auto"/>
                <w:lang w:val="en-US" w:eastAsia="zh-CN"/>
              </w:rPr>
              <w:t>柴油双层埋地储罐，</w:t>
            </w:r>
            <w:r>
              <w:rPr>
                <w:rFonts w:hint="eastAsia"/>
                <w:color w:val="auto"/>
                <w:lang w:eastAsia="zh-CN"/>
              </w:rPr>
              <w:t>油品最大储存能力为</w:t>
            </w:r>
            <w:r>
              <w:rPr>
                <w:rFonts w:hint="eastAsia"/>
                <w:color w:val="auto"/>
                <w:lang w:val="en-US" w:eastAsia="zh-CN"/>
              </w:rPr>
              <w:t>150</w:t>
            </w:r>
            <w:r>
              <w:rPr>
                <w:rFonts w:hint="eastAsia"/>
                <w:color w:val="auto"/>
                <w:lang w:eastAsia="zh-CN"/>
              </w:rPr>
              <w:t>m³</w:t>
            </w:r>
            <w:r>
              <w:rPr>
                <w:color w:val="auto"/>
              </w:rPr>
              <w:t>（柴油罐容积折半计入油罐总容积）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color w:val="auto"/>
              </w:rPr>
              <w:t>属</w:t>
            </w:r>
            <w:r>
              <w:rPr>
                <w:rFonts w:hint="eastAsia"/>
                <w:color w:val="auto"/>
                <w:lang w:val="en-US" w:eastAsia="zh-CN"/>
              </w:rPr>
              <w:t>二级</w:t>
            </w:r>
            <w:r>
              <w:rPr>
                <w:rFonts w:hint="eastAsia"/>
                <w:color w:val="auto"/>
              </w:rPr>
              <w:t>加油站</w:t>
            </w:r>
            <w:r>
              <w:rPr>
                <w:color w:val="auto"/>
              </w:rPr>
              <w:t>，汽油卸油、加油设置了油气回收。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  <w:p w14:paraId="69BB773C">
            <w:pPr>
              <w:ind w:firstLine="560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吉安市吉州区兴桥农机加油站</w:t>
            </w:r>
            <w:r>
              <w:rPr>
                <w:color w:val="auto"/>
              </w:rPr>
              <w:t>于</w:t>
            </w:r>
            <w:r>
              <w:rPr>
                <w:rFonts w:hint="eastAsia"/>
                <w:color w:val="auto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18</w:t>
            </w:r>
            <w:r>
              <w:rPr>
                <w:rFonts w:hint="eastAsia"/>
                <w:color w:val="auto"/>
                <w:lang w:eastAsia="zh-CN"/>
              </w:rPr>
              <w:t>日</w:t>
            </w:r>
            <w:r>
              <w:rPr>
                <w:color w:val="auto"/>
              </w:rPr>
              <w:t>经</w:t>
            </w:r>
            <w:r>
              <w:rPr>
                <w:rFonts w:hint="eastAsia"/>
                <w:color w:val="auto"/>
              </w:rPr>
              <w:t>吉安市应急管理局</w:t>
            </w:r>
            <w:r>
              <w:rPr>
                <w:color w:val="auto"/>
              </w:rPr>
              <w:t>核准，换发了新的《危险化学品经营许可证》</w:t>
            </w:r>
            <w:r>
              <w:rPr>
                <w:rFonts w:hint="eastAsia"/>
                <w:color w:val="auto"/>
              </w:rPr>
              <w:t>，证书编号：</w:t>
            </w:r>
            <w:r>
              <w:rPr>
                <w:color w:val="auto"/>
              </w:rPr>
              <w:t>赣</w:t>
            </w:r>
            <w:r>
              <w:rPr>
                <w:rFonts w:hint="eastAsia"/>
                <w:color w:val="auto"/>
              </w:rPr>
              <w:t>吉危化</w:t>
            </w:r>
            <w:r>
              <w:rPr>
                <w:color w:val="auto"/>
              </w:rPr>
              <w:t>经字[</w:t>
            </w:r>
            <w:r>
              <w:rPr>
                <w:rFonts w:hint="eastAsia"/>
                <w:color w:val="auto"/>
                <w:lang w:val="en-US" w:eastAsia="zh-CN"/>
              </w:rPr>
              <w:t>2023</w:t>
            </w:r>
            <w:r>
              <w:rPr>
                <w:color w:val="auto"/>
              </w:rPr>
              <w:t>]</w:t>
            </w:r>
            <w:r>
              <w:rPr>
                <w:rFonts w:hint="eastAsia"/>
                <w:color w:val="auto"/>
                <w:lang w:eastAsia="zh-CN"/>
              </w:rPr>
              <w:t>3608000000</w:t>
            </w:r>
            <w:r>
              <w:rPr>
                <w:rFonts w:hint="eastAsia"/>
                <w:color w:val="auto"/>
                <w:lang w:val="en-US" w:eastAsia="zh-CN"/>
              </w:rPr>
              <w:t>53</w:t>
            </w:r>
            <w:r>
              <w:rPr>
                <w:rFonts w:hint="eastAsia"/>
                <w:color w:val="auto"/>
                <w:lang w:eastAsia="zh-CN"/>
              </w:rPr>
              <w:t>号</w:t>
            </w:r>
            <w:r>
              <w:rPr>
                <w:color w:val="auto"/>
              </w:rPr>
              <w:t>，许可范围：</w:t>
            </w:r>
            <w:r>
              <w:rPr>
                <w:rFonts w:hint="eastAsia"/>
                <w:color w:val="auto"/>
                <w:lang w:val="en-US" w:eastAsia="zh-CN"/>
              </w:rPr>
              <w:t>汽油、柴油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有效期</w:t>
            </w:r>
            <w:r>
              <w:rPr>
                <w:rFonts w:hint="eastAsia"/>
                <w:color w:val="auto"/>
                <w:lang w:val="en-US" w:eastAsia="zh-CN"/>
              </w:rPr>
              <w:t>2023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18</w:t>
            </w:r>
            <w:r>
              <w:rPr>
                <w:color w:val="auto"/>
              </w:rPr>
              <w:t>日</w:t>
            </w:r>
            <w:r>
              <w:rPr>
                <w:rFonts w:hint="eastAsia"/>
                <w:color w:val="auto"/>
              </w:rPr>
              <w:t>至</w:t>
            </w:r>
            <w:r>
              <w:rPr>
                <w:rFonts w:hint="eastAsia"/>
                <w:color w:val="auto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lang w:eastAsia="zh-CN"/>
              </w:rPr>
              <w:t>年</w:t>
            </w: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  <w:lang w:eastAsia="zh-CN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17</w:t>
            </w:r>
            <w:r>
              <w:rPr>
                <w:rFonts w:hint="eastAsia"/>
                <w:color w:val="auto"/>
                <w:lang w:eastAsia="zh-CN"/>
              </w:rPr>
              <w:t>日。</w:t>
            </w:r>
          </w:p>
          <w:p w14:paraId="44F3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吉安市吉州区兴桥农机加油站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color w:val="auto"/>
                <w:highlight w:val="none"/>
              </w:rPr>
              <w:t>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吉安市商务局</w:t>
            </w:r>
            <w:r>
              <w:rPr>
                <w:color w:val="auto"/>
                <w:highlight w:val="none"/>
              </w:rPr>
              <w:t>核准，换取了新的《成品油零售经营批准证书》</w:t>
            </w:r>
            <w:r>
              <w:rPr>
                <w:rFonts w:hint="eastAsia"/>
                <w:color w:val="auto"/>
                <w:highlight w:val="none"/>
              </w:rPr>
              <w:t>，证书编号：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油零售证书第吉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0124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号</w:t>
            </w:r>
            <w:r>
              <w:rPr>
                <w:color w:val="auto"/>
                <w:highlight w:val="none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批准从事成品油（汽油、柴油）零售业务。证书</w:t>
            </w:r>
            <w:r>
              <w:rPr>
                <w:color w:val="auto"/>
                <w:highlight w:val="none"/>
              </w:rPr>
              <w:t>有效期至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日至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日</w:t>
            </w:r>
            <w:r>
              <w:rPr>
                <w:color w:val="auto"/>
              </w:rPr>
              <w:t>。</w:t>
            </w:r>
          </w:p>
          <w:p w14:paraId="3B600B1E">
            <w:pPr>
              <w:bidi w:val="0"/>
              <w:rPr>
                <w:rFonts w:hint="eastAsia"/>
                <w:lang w:eastAsia="zh-CN"/>
              </w:rPr>
            </w:pPr>
          </w:p>
          <w:p w14:paraId="037F1136">
            <w:pPr>
              <w:spacing w:line="240" w:lineRule="auto"/>
              <w:ind w:firstLine="560"/>
              <w:rPr>
                <w:rFonts w:hint="eastAsia"/>
                <w:snapToGrid w:val="0"/>
              </w:rPr>
            </w:pP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4378960" cy="709930"/>
                  <wp:effectExtent l="0" t="0" r="2540" b="13970"/>
                  <wp:docPr id="12" name="图片 12" descr="工艺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工艺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ABCC0">
            <w:pPr>
              <w:pStyle w:val="21"/>
              <w:ind w:left="0" w:leftChars="0" w:firstLine="0" w:firstLineChars="0"/>
            </w:pP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2B1DFF98">
      <w:pPr>
        <w:pStyle w:val="21"/>
        <w:ind w:left="0" w:leftChars="0" w:firstLine="0" w:firstLineChars="0"/>
        <w:jc w:val="center"/>
      </w:pPr>
      <w:r>
        <w:rPr>
          <w:rFonts w:hint="eastAsia"/>
          <w:color w:val="FF0000"/>
          <w:lang w:val="en-US" w:eastAsia="zh-CN"/>
        </w:rPr>
        <w:drawing>
          <wp:inline distT="0" distB="0" distL="114300" distR="114300">
            <wp:extent cx="5812155" cy="4358640"/>
            <wp:effectExtent l="0" t="0" r="4445" b="10160"/>
            <wp:docPr id="1" name="图片 1" descr="881532ec40fd16eda24f6df13b285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1532ec40fd16eda24f6df13b2852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2155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0518E">
      <w:pPr>
        <w:pStyle w:val="22"/>
        <w:ind w:left="0" w:leftChars="0" w:firstLine="0" w:firstLineChars="0"/>
      </w:pPr>
    </w:p>
    <w:p w14:paraId="101981B2">
      <w:pPr>
        <w:pStyle w:val="22"/>
        <w:ind w:left="0" w:leftChars="0" w:firstLine="0" w:firstLineChars="0"/>
      </w:pPr>
    </w:p>
    <w:p w14:paraId="4ED97352">
      <w:pPr>
        <w:pStyle w:val="22"/>
        <w:ind w:left="0" w:leftChars="0" w:firstLine="0" w:firstLineChars="0"/>
      </w:pPr>
    </w:p>
    <w:p w14:paraId="4927AB91">
      <w:pPr>
        <w:pStyle w:val="22"/>
        <w:ind w:left="0" w:leftChars="0" w:firstLine="0" w:firstLineChars="0"/>
      </w:pPr>
      <w:r>
        <w:drawing>
          <wp:inline distT="0" distB="0" distL="114300" distR="114300">
            <wp:extent cx="5760085" cy="7200265"/>
            <wp:effectExtent l="0" t="0" r="5715" b="63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17817">
      <w:pPr>
        <w:pStyle w:val="22"/>
        <w:ind w:left="0" w:leftChars="0" w:firstLine="0" w:firstLineChars="0"/>
      </w:pPr>
      <w:bookmarkStart w:id="0" w:name="_GoBack"/>
      <w:r>
        <w:drawing>
          <wp:inline distT="0" distB="0" distL="114300" distR="114300">
            <wp:extent cx="5760085" cy="7200265"/>
            <wp:effectExtent l="0" t="0" r="12065" b="63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  <a:srcRect t="271" r="22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FDC719F">
      <w:pPr>
        <w:pStyle w:val="22"/>
        <w:ind w:left="0" w:leftChars="0" w:firstLine="0" w:firstLineChars="0"/>
      </w:pPr>
    </w:p>
    <w:p w14:paraId="4E9B200A">
      <w:pPr>
        <w:pStyle w:val="22"/>
        <w:ind w:left="0" w:leftChars="0" w:firstLine="0" w:firstLineChars="0"/>
      </w:pPr>
    </w:p>
    <w:p w14:paraId="7927A77F">
      <w:pPr>
        <w:pStyle w:val="22"/>
        <w:ind w:left="0" w:leftChars="0" w:firstLine="0" w:firstLineChars="0"/>
      </w:pPr>
    </w:p>
    <w:p w14:paraId="2F05F649">
      <w:pPr>
        <w:pStyle w:val="22"/>
        <w:ind w:left="0" w:leftChars="0" w:firstLine="0" w:firstLineChars="0"/>
      </w:pPr>
    </w:p>
    <w:p w14:paraId="1CC31F01">
      <w:pPr>
        <w:pStyle w:val="22"/>
        <w:ind w:left="0" w:leftChars="0" w:firstLine="0" w:firstLineChars="0"/>
      </w:pPr>
    </w:p>
    <w:p w14:paraId="43606E49">
      <w:pPr>
        <w:pStyle w:val="22"/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760085" cy="7200265"/>
            <wp:effectExtent l="0" t="0" r="12065" b="63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0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8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42B17"/>
    <w:rsid w:val="00D93BC0"/>
    <w:rsid w:val="00E3751A"/>
    <w:rsid w:val="00E95F3C"/>
    <w:rsid w:val="00F46A10"/>
    <w:rsid w:val="00F60933"/>
    <w:rsid w:val="00FF47EE"/>
    <w:rsid w:val="01381A2C"/>
    <w:rsid w:val="01E43C17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C510AB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BC750FD"/>
    <w:rsid w:val="0C370800"/>
    <w:rsid w:val="0D0227BA"/>
    <w:rsid w:val="0D073DB5"/>
    <w:rsid w:val="0D081033"/>
    <w:rsid w:val="0E564C35"/>
    <w:rsid w:val="0E770F8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BF56EC"/>
    <w:rsid w:val="15CB68F5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DA1B6B"/>
    <w:rsid w:val="1AF71484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3532900"/>
    <w:rsid w:val="2359594A"/>
    <w:rsid w:val="237962D0"/>
    <w:rsid w:val="23B37411"/>
    <w:rsid w:val="242E50EF"/>
    <w:rsid w:val="244E33BB"/>
    <w:rsid w:val="24775815"/>
    <w:rsid w:val="24D12D46"/>
    <w:rsid w:val="24FD0CF7"/>
    <w:rsid w:val="25FB3FD9"/>
    <w:rsid w:val="260B2287"/>
    <w:rsid w:val="26134134"/>
    <w:rsid w:val="271635D9"/>
    <w:rsid w:val="27280E94"/>
    <w:rsid w:val="275A1718"/>
    <w:rsid w:val="27F61196"/>
    <w:rsid w:val="28814447"/>
    <w:rsid w:val="29283150"/>
    <w:rsid w:val="297A3C20"/>
    <w:rsid w:val="298C1931"/>
    <w:rsid w:val="29925FE1"/>
    <w:rsid w:val="29C972C6"/>
    <w:rsid w:val="2A3E70CF"/>
    <w:rsid w:val="2B944ACD"/>
    <w:rsid w:val="2BD9110B"/>
    <w:rsid w:val="2C9D3BC7"/>
    <w:rsid w:val="2CF2686E"/>
    <w:rsid w:val="2E9E272A"/>
    <w:rsid w:val="2EAE6403"/>
    <w:rsid w:val="2EAF6F46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577381"/>
    <w:rsid w:val="366115C7"/>
    <w:rsid w:val="368F242B"/>
    <w:rsid w:val="36BF474E"/>
    <w:rsid w:val="36E75766"/>
    <w:rsid w:val="37285AB1"/>
    <w:rsid w:val="375C6F30"/>
    <w:rsid w:val="3781684D"/>
    <w:rsid w:val="3823766B"/>
    <w:rsid w:val="396748BA"/>
    <w:rsid w:val="39AC13AD"/>
    <w:rsid w:val="3A751F6D"/>
    <w:rsid w:val="3AAA1C17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E01A3C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EA0B03"/>
    <w:rsid w:val="512A57AB"/>
    <w:rsid w:val="515A3854"/>
    <w:rsid w:val="5276471A"/>
    <w:rsid w:val="52B20F97"/>
    <w:rsid w:val="52CC47C0"/>
    <w:rsid w:val="52E07D49"/>
    <w:rsid w:val="5374510A"/>
    <w:rsid w:val="53B81EE5"/>
    <w:rsid w:val="53F5005F"/>
    <w:rsid w:val="550C37A2"/>
    <w:rsid w:val="563253F0"/>
    <w:rsid w:val="563D2137"/>
    <w:rsid w:val="565D015E"/>
    <w:rsid w:val="56836AB2"/>
    <w:rsid w:val="56BC2DE3"/>
    <w:rsid w:val="56D42C4D"/>
    <w:rsid w:val="56E90F5B"/>
    <w:rsid w:val="56EF512A"/>
    <w:rsid w:val="5727139D"/>
    <w:rsid w:val="57301D47"/>
    <w:rsid w:val="573B211D"/>
    <w:rsid w:val="57487036"/>
    <w:rsid w:val="575D6537"/>
    <w:rsid w:val="57800B40"/>
    <w:rsid w:val="57CD2DFE"/>
    <w:rsid w:val="58244FE5"/>
    <w:rsid w:val="5825651D"/>
    <w:rsid w:val="583628E4"/>
    <w:rsid w:val="584B13F6"/>
    <w:rsid w:val="59217B49"/>
    <w:rsid w:val="59656964"/>
    <w:rsid w:val="59A860E0"/>
    <w:rsid w:val="59D926D2"/>
    <w:rsid w:val="5A034680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0EB5DD7"/>
    <w:rsid w:val="619747AF"/>
    <w:rsid w:val="621C336D"/>
    <w:rsid w:val="62864468"/>
    <w:rsid w:val="629E5C56"/>
    <w:rsid w:val="62A05F08"/>
    <w:rsid w:val="62B17737"/>
    <w:rsid w:val="62EA5BC6"/>
    <w:rsid w:val="630737FB"/>
    <w:rsid w:val="638C3AFD"/>
    <w:rsid w:val="63C25DAA"/>
    <w:rsid w:val="64126CC6"/>
    <w:rsid w:val="64640401"/>
    <w:rsid w:val="648F0582"/>
    <w:rsid w:val="64F540D9"/>
    <w:rsid w:val="6559245A"/>
    <w:rsid w:val="65622F6B"/>
    <w:rsid w:val="658C415A"/>
    <w:rsid w:val="65BD6D5B"/>
    <w:rsid w:val="65EA6D2F"/>
    <w:rsid w:val="66415650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CC37EB5"/>
    <w:rsid w:val="6D1139EB"/>
    <w:rsid w:val="6D27066C"/>
    <w:rsid w:val="6D3457FF"/>
    <w:rsid w:val="6E0E1EE1"/>
    <w:rsid w:val="6E2A4841"/>
    <w:rsid w:val="6EEF19E2"/>
    <w:rsid w:val="6F3D1DEF"/>
    <w:rsid w:val="6F963F3C"/>
    <w:rsid w:val="6FB940CF"/>
    <w:rsid w:val="6FE54B28"/>
    <w:rsid w:val="71276AD1"/>
    <w:rsid w:val="7160445C"/>
    <w:rsid w:val="71630B2A"/>
    <w:rsid w:val="71697143"/>
    <w:rsid w:val="716C6A50"/>
    <w:rsid w:val="717476DC"/>
    <w:rsid w:val="717958C4"/>
    <w:rsid w:val="719C7804"/>
    <w:rsid w:val="71BE777B"/>
    <w:rsid w:val="7207397B"/>
    <w:rsid w:val="729E3A33"/>
    <w:rsid w:val="72C43B37"/>
    <w:rsid w:val="73670AB5"/>
    <w:rsid w:val="737D1DEA"/>
    <w:rsid w:val="74150FF5"/>
    <w:rsid w:val="748B2EA1"/>
    <w:rsid w:val="74AE0F56"/>
    <w:rsid w:val="751122B7"/>
    <w:rsid w:val="76391AC6"/>
    <w:rsid w:val="7672193D"/>
    <w:rsid w:val="770403EE"/>
    <w:rsid w:val="771C50B0"/>
    <w:rsid w:val="771E190D"/>
    <w:rsid w:val="77832F9B"/>
    <w:rsid w:val="77C519A6"/>
    <w:rsid w:val="78063C29"/>
    <w:rsid w:val="78312522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3040A4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4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4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7">
    <w:name w:val="Body Text"/>
    <w:basedOn w:val="1"/>
    <w:next w:val="1"/>
    <w:qFormat/>
    <w:uiPriority w:val="99"/>
    <w:rPr>
      <w:sz w:val="28"/>
      <w:szCs w:val="28"/>
    </w:rPr>
  </w:style>
  <w:style w:type="paragraph" w:styleId="8">
    <w:name w:val="Body Text Indent"/>
    <w:basedOn w:val="1"/>
    <w:next w:val="9"/>
    <w:unhideWhenUsed/>
    <w:qFormat/>
    <w:uiPriority w:val="99"/>
    <w:pPr>
      <w:spacing w:after="120"/>
      <w:ind w:left="420" w:leftChars="200"/>
    </w:pPr>
  </w:style>
  <w:style w:type="paragraph" w:styleId="9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47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2">
    <w:name w:val="Body Text Indent 2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3">
    <w:name w:val="Balloon Text"/>
    <w:basedOn w:val="1"/>
    <w:link w:val="33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7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8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Default1"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napToGrid w:val="0"/>
      <w:color w:val="000000"/>
      <w:sz w:val="24"/>
      <w:szCs w:val="24"/>
      <w:lang w:val="en-US" w:eastAsia="zh-CN" w:bidi="ar-SA"/>
    </w:rPr>
  </w:style>
  <w:style w:type="paragraph" w:customStyle="1" w:styleId="26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7">
    <w:name w:val="Default"/>
    <w:basedOn w:val="28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8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9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30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3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4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5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6">
    <w:name w:val="表格居中"/>
    <w:basedOn w:val="37"/>
    <w:qFormat/>
    <w:uiPriority w:val="0"/>
    <w:pPr>
      <w:jc w:val="center"/>
    </w:pPr>
  </w:style>
  <w:style w:type="paragraph" w:customStyle="1" w:styleId="37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8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9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40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1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2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3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4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7">
    <w:name w:val="日期 字符"/>
    <w:basedOn w:val="24"/>
    <w:link w:val="11"/>
    <w:qFormat/>
    <w:uiPriority w:val="0"/>
    <w:rPr>
      <w:b/>
      <w:bCs/>
      <w:kern w:val="2"/>
      <w:sz w:val="28"/>
      <w:szCs w:val="24"/>
    </w:rPr>
  </w:style>
  <w:style w:type="paragraph" w:customStyle="1" w:styleId="48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940</Words>
  <Characters>1299</Characters>
  <Lines>8</Lines>
  <Paragraphs>2</Paragraphs>
  <TotalTime>0</TotalTime>
  <ScaleCrop>false</ScaleCrop>
  <LinksUpToDate>false</LinksUpToDate>
  <CharactersWithSpaces>1300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2026-06-16T01:01:36Z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FE172B9D59254FFB847A0FE2C91B4972_13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