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75E4E5">
      <w:pPr>
        <w:jc w:val="both"/>
        <w:rPr>
          <w:rFonts w:hint="eastAsia" w:ascii="Times New Roman" w:hAnsi="Times New Roman"/>
          <w:kern w:val="0"/>
          <w:sz w:val="28"/>
          <w:szCs w:val="28"/>
          <w:shd w:val="clear" w:color="auto" w:fill="FFFFFF"/>
        </w:rPr>
      </w:pPr>
    </w:p>
    <w:p w14:paraId="59618447">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2"/>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373CD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68DE56CE">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20B9C570">
            <w:pPr>
              <w:widowControl/>
              <w:spacing w:after="150"/>
              <w:jc w:val="center"/>
              <w:rPr>
                <w:rFonts w:hint="eastAsia" w:ascii="宋体" w:hAnsi="宋体" w:eastAsia="宋体" w:cs="宋体"/>
                <w:sz w:val="24"/>
                <w:lang w:eastAsia="zh-CN"/>
              </w:rPr>
            </w:pPr>
            <w:r>
              <w:rPr>
                <w:rFonts w:hint="eastAsia" w:ascii="宋体" w:hAnsi="宋体"/>
                <w:sz w:val="24"/>
                <w:szCs w:val="22"/>
                <w:lang w:eastAsia="zh-CN"/>
              </w:rPr>
              <w:t>江西平丰能源科技有限公司安全现状评价报告</w:t>
            </w:r>
          </w:p>
        </w:tc>
      </w:tr>
      <w:tr w14:paraId="7C1C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5AE2E23C">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5D51C70B">
            <w:pPr>
              <w:widowControl/>
              <w:spacing w:after="150"/>
              <w:jc w:val="center"/>
              <w:rPr>
                <w:rFonts w:ascii="宋体" w:hAnsi="宋体" w:cs="宋体"/>
                <w:sz w:val="24"/>
              </w:rPr>
            </w:pPr>
            <w:r>
              <w:rPr>
                <w:rFonts w:hint="eastAsia" w:ascii="宋体" w:hAnsi="宋体" w:cs="宋体"/>
                <w:sz w:val="24"/>
              </w:rPr>
              <w:t>202</w:t>
            </w:r>
            <w:r>
              <w:rPr>
                <w:rFonts w:hint="eastAsia" w:ascii="宋体" w:hAnsi="宋体" w:cs="宋体"/>
                <w:sz w:val="24"/>
                <w:lang w:val="en-US" w:eastAsia="zh-CN"/>
              </w:rPr>
              <w:t>6</w:t>
            </w:r>
            <w:r>
              <w:rPr>
                <w:rFonts w:hint="eastAsia" w:ascii="宋体" w:hAnsi="宋体" w:cs="宋体"/>
                <w:sz w:val="24"/>
              </w:rPr>
              <w:t>年</w:t>
            </w:r>
            <w:r>
              <w:rPr>
                <w:rFonts w:hint="eastAsia" w:ascii="宋体" w:hAnsi="宋体" w:cs="宋体"/>
                <w:sz w:val="24"/>
                <w:lang w:val="en-US" w:eastAsia="zh-CN"/>
              </w:rPr>
              <w:t>5</w:t>
            </w:r>
            <w:r>
              <w:rPr>
                <w:rFonts w:hint="eastAsia" w:ascii="宋体" w:hAnsi="宋体" w:cs="宋体"/>
                <w:sz w:val="24"/>
              </w:rPr>
              <w:t>月</w:t>
            </w:r>
          </w:p>
        </w:tc>
      </w:tr>
      <w:tr w14:paraId="0A60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1A712124">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108E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5378F62E">
            <w:pPr>
              <w:jc w:val="center"/>
              <w:rPr>
                <w:rFonts w:ascii="宋体" w:hAnsi="宋体" w:cs="宋体"/>
                <w:sz w:val="24"/>
              </w:rPr>
            </w:pPr>
          </w:p>
        </w:tc>
        <w:tc>
          <w:tcPr>
            <w:tcW w:w="1237" w:type="dxa"/>
            <w:tcBorders>
              <w:tl2br w:val="nil"/>
              <w:tr2bl w:val="nil"/>
            </w:tcBorders>
            <w:shd w:val="clear" w:color="auto" w:fill="FFFFFF"/>
            <w:vAlign w:val="center"/>
          </w:tcPr>
          <w:p w14:paraId="7DF4D41E">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0B76ABB8">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271448A8">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9DC7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2A157C85">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2AD910A2">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徐顺星</w:t>
            </w:r>
          </w:p>
        </w:tc>
        <w:tc>
          <w:tcPr>
            <w:tcW w:w="4803" w:type="dxa"/>
            <w:tcBorders>
              <w:tl2br w:val="nil"/>
              <w:tr2bl w:val="nil"/>
            </w:tcBorders>
            <w:shd w:val="clear" w:color="auto" w:fill="FFFFFF"/>
            <w:vAlign w:val="center"/>
          </w:tcPr>
          <w:p w14:paraId="60D2E234">
            <w:pPr>
              <w:spacing w:before="190" w:beforeLines="50" w:after="190" w:afterLines="50" w:line="240" w:lineRule="auto"/>
              <w:ind w:left="0" w:leftChars="0"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S011041000110192</w:t>
            </w:r>
          </w:p>
          <w:p w14:paraId="5F4EA52B">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002229</w:t>
            </w:r>
          </w:p>
        </w:tc>
        <w:tc>
          <w:tcPr>
            <w:tcW w:w="2115" w:type="dxa"/>
            <w:tcBorders>
              <w:tl2br w:val="nil"/>
              <w:tr2bl w:val="nil"/>
            </w:tcBorders>
            <w:shd w:val="clear" w:color="auto" w:fill="FFFFFF"/>
            <w:vAlign w:val="center"/>
          </w:tcPr>
          <w:p w14:paraId="5954E4E9">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018803</w:t>
            </w:r>
          </w:p>
        </w:tc>
      </w:tr>
      <w:tr w14:paraId="5AC0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58DF1A50">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7C70241C">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sz w:val="24"/>
                <w:szCs w:val="24"/>
              </w:rPr>
              <w:t>乔贯德</w:t>
            </w:r>
          </w:p>
        </w:tc>
        <w:tc>
          <w:tcPr>
            <w:tcW w:w="4803" w:type="dxa"/>
            <w:tcBorders>
              <w:tl2br w:val="nil"/>
              <w:tr2bl w:val="nil"/>
            </w:tcBorders>
            <w:shd w:val="clear" w:color="auto" w:fill="FFFFFF"/>
            <w:vAlign w:val="center"/>
          </w:tcPr>
          <w:p w14:paraId="404CC542">
            <w:pPr>
              <w:spacing w:before="190" w:beforeLines="50" w:after="190" w:afterLines="50" w:line="36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1"/>
                <w:sz w:val="24"/>
                <w:szCs w:val="24"/>
              </w:rPr>
              <w:t>1700000000300087</w:t>
            </w:r>
          </w:p>
        </w:tc>
        <w:tc>
          <w:tcPr>
            <w:tcW w:w="2115" w:type="dxa"/>
            <w:tcBorders>
              <w:tl2br w:val="nil"/>
              <w:tr2bl w:val="nil"/>
            </w:tcBorders>
            <w:shd w:val="clear" w:color="auto" w:fill="FFFFFF"/>
            <w:vAlign w:val="center"/>
          </w:tcPr>
          <w:p w14:paraId="782951DB">
            <w:pPr>
              <w:spacing w:before="190" w:beforeLines="50" w:after="190" w:afterLines="50" w:line="36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1"/>
                <w:sz w:val="24"/>
                <w:szCs w:val="24"/>
              </w:rPr>
              <w:t>030797</w:t>
            </w:r>
          </w:p>
        </w:tc>
      </w:tr>
      <w:tr w14:paraId="6639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0887BEAF">
            <w:pPr>
              <w:jc w:val="center"/>
              <w:rPr>
                <w:rFonts w:ascii="宋体" w:hAnsi="宋体" w:cs="宋体"/>
                <w:sz w:val="24"/>
              </w:rPr>
            </w:pPr>
          </w:p>
        </w:tc>
        <w:tc>
          <w:tcPr>
            <w:tcW w:w="1237" w:type="dxa"/>
            <w:tcBorders>
              <w:tl2br w:val="nil"/>
              <w:tr2bl w:val="nil"/>
            </w:tcBorders>
            <w:shd w:val="clear" w:color="auto" w:fill="FFFFFF"/>
            <w:vAlign w:val="center"/>
          </w:tcPr>
          <w:p w14:paraId="3AECF605">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于志勇</w:t>
            </w:r>
          </w:p>
        </w:tc>
        <w:tc>
          <w:tcPr>
            <w:tcW w:w="4803" w:type="dxa"/>
            <w:tcBorders>
              <w:tl2br w:val="nil"/>
              <w:tr2bl w:val="nil"/>
            </w:tcBorders>
            <w:shd w:val="clear" w:color="auto" w:fill="FFFFFF"/>
            <w:vAlign w:val="center"/>
          </w:tcPr>
          <w:p w14:paraId="3F218D8D">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2014033230330000003310230030</w:t>
            </w:r>
          </w:p>
        </w:tc>
        <w:tc>
          <w:tcPr>
            <w:tcW w:w="2115" w:type="dxa"/>
            <w:tcBorders>
              <w:tl2br w:val="nil"/>
              <w:tr2bl w:val="nil"/>
            </w:tcBorders>
            <w:shd w:val="clear" w:color="auto" w:fill="FFFFFF"/>
            <w:vAlign w:val="center"/>
          </w:tcPr>
          <w:p w14:paraId="0F0D8BA0">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51190209624</w:t>
            </w:r>
          </w:p>
        </w:tc>
      </w:tr>
      <w:tr w14:paraId="1D69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2BC1C2A7">
            <w:pPr>
              <w:jc w:val="center"/>
              <w:rPr>
                <w:rFonts w:ascii="宋体" w:hAnsi="宋体" w:cs="宋体"/>
                <w:sz w:val="24"/>
              </w:rPr>
            </w:pPr>
          </w:p>
        </w:tc>
        <w:tc>
          <w:tcPr>
            <w:tcW w:w="1237" w:type="dxa"/>
            <w:tcBorders>
              <w:tl2br w:val="nil"/>
              <w:tr2bl w:val="nil"/>
            </w:tcBorders>
            <w:shd w:val="clear" w:color="auto" w:fill="FFFFFF"/>
            <w:vAlign w:val="center"/>
          </w:tcPr>
          <w:p w14:paraId="49EA8F9A">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程冬红</w:t>
            </w:r>
          </w:p>
        </w:tc>
        <w:tc>
          <w:tcPr>
            <w:tcW w:w="4803" w:type="dxa"/>
            <w:tcBorders>
              <w:tl2br w:val="nil"/>
              <w:tr2bl w:val="nil"/>
            </w:tcBorders>
            <w:shd w:val="clear" w:color="auto" w:fill="FFFFFF"/>
            <w:vAlign w:val="center"/>
          </w:tcPr>
          <w:p w14:paraId="3AFA1E3D">
            <w:pPr>
              <w:spacing w:before="190" w:beforeLines="50" w:after="190" w:afterLines="50" w:line="36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1500000000301714</w:t>
            </w:r>
          </w:p>
        </w:tc>
        <w:tc>
          <w:tcPr>
            <w:tcW w:w="2115" w:type="dxa"/>
            <w:tcBorders>
              <w:tl2br w:val="nil"/>
              <w:tr2bl w:val="nil"/>
            </w:tcBorders>
            <w:shd w:val="clear" w:color="auto" w:fill="FFFFFF"/>
            <w:vAlign w:val="center"/>
          </w:tcPr>
          <w:p w14:paraId="40BC3936">
            <w:pPr>
              <w:spacing w:before="190" w:beforeLines="50" w:after="190" w:afterLines="50" w:line="36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026812</w:t>
            </w:r>
          </w:p>
        </w:tc>
      </w:tr>
      <w:tr w14:paraId="160E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6906CDEE">
            <w:pPr>
              <w:jc w:val="center"/>
              <w:rPr>
                <w:rFonts w:ascii="宋体" w:hAnsi="宋体" w:cs="宋体"/>
                <w:sz w:val="24"/>
              </w:rPr>
            </w:pPr>
          </w:p>
        </w:tc>
        <w:tc>
          <w:tcPr>
            <w:tcW w:w="1237" w:type="dxa"/>
            <w:tcBorders>
              <w:tl2br w:val="nil"/>
              <w:tr2bl w:val="nil"/>
            </w:tcBorders>
            <w:shd w:val="clear" w:color="auto" w:fill="FFFFFF"/>
            <w:vAlign w:val="center"/>
          </w:tcPr>
          <w:p w14:paraId="71F8DBD5">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刘二平</w:t>
            </w:r>
          </w:p>
        </w:tc>
        <w:tc>
          <w:tcPr>
            <w:tcW w:w="4803" w:type="dxa"/>
            <w:tcBorders>
              <w:tl2br w:val="nil"/>
              <w:tr2bl w:val="nil"/>
            </w:tcBorders>
            <w:shd w:val="clear" w:color="auto" w:fill="FFFFFF"/>
            <w:vAlign w:val="center"/>
          </w:tcPr>
          <w:p w14:paraId="331FAC55">
            <w:pPr>
              <w:spacing w:before="190" w:beforeLines="50" w:after="190" w:afterLines="50" w:line="36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03320241036000000887</w:t>
            </w:r>
          </w:p>
        </w:tc>
        <w:tc>
          <w:tcPr>
            <w:tcW w:w="2115" w:type="dxa"/>
            <w:tcBorders>
              <w:tl2br w:val="nil"/>
              <w:tr2bl w:val="nil"/>
            </w:tcBorders>
            <w:shd w:val="clear" w:color="auto" w:fill="FFFFFF"/>
            <w:vAlign w:val="center"/>
          </w:tcPr>
          <w:p w14:paraId="23566468">
            <w:pPr>
              <w:spacing w:before="190" w:beforeLines="50" w:after="190" w:afterLines="50" w:line="36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37250438462</w:t>
            </w:r>
          </w:p>
        </w:tc>
      </w:tr>
      <w:tr w14:paraId="543F5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9B802E8">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0A57008B">
            <w:pPr>
              <w:jc w:val="center"/>
              <w:rPr>
                <w:rFonts w:ascii="宋体" w:hAnsi="宋体" w:cs="宋体"/>
                <w:sz w:val="24"/>
              </w:rPr>
            </w:pPr>
            <w:r>
              <w:rPr>
                <w:rFonts w:hint="eastAsia" w:ascii="宋体" w:hAnsi="宋体" w:cs="宋体"/>
                <w:sz w:val="24"/>
              </w:rPr>
              <w:t>/</w:t>
            </w:r>
          </w:p>
        </w:tc>
      </w:tr>
      <w:tr w14:paraId="4686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041177EC">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1D05DF95">
            <w:pPr>
              <w:widowControl/>
              <w:spacing w:after="150"/>
              <w:jc w:val="center"/>
              <w:rPr>
                <w:rFonts w:hint="default" w:ascii="Times New Roman" w:hAnsi="Times New Roman" w:eastAsia="宋体"/>
                <w:sz w:val="24"/>
                <w:lang w:val="en-US" w:eastAsia="zh-CN"/>
              </w:rPr>
            </w:pPr>
            <w:r>
              <w:rPr>
                <w:rFonts w:hint="eastAsia" w:ascii="宋体" w:hAnsi="宋体" w:eastAsia="宋体" w:cs="宋体"/>
                <w:color w:val="000000"/>
                <w:sz w:val="24"/>
                <w:szCs w:val="24"/>
              </w:rPr>
              <w:t>徐顺星</w:t>
            </w:r>
            <w:r>
              <w:rPr>
                <w:rFonts w:hint="eastAsia" w:ascii="宋体" w:hAnsi="宋体" w:cs="宋体"/>
                <w:color w:val="000000"/>
                <w:sz w:val="24"/>
                <w:szCs w:val="24"/>
                <w:lang w:eastAsia="zh-CN"/>
              </w:rPr>
              <w:t>、</w:t>
            </w:r>
            <w:r>
              <w:rPr>
                <w:rFonts w:hint="eastAsia" w:ascii="宋体" w:hAnsi="宋体" w:eastAsia="宋体" w:cs="宋体"/>
                <w:color w:val="000000"/>
                <w:sz w:val="24"/>
                <w:szCs w:val="24"/>
              </w:rPr>
              <w:t>乔贯德</w:t>
            </w:r>
            <w:r>
              <w:rPr>
                <w:rFonts w:hint="eastAsia"/>
                <w:sz w:val="24"/>
              </w:rPr>
              <w:t>202</w:t>
            </w:r>
            <w:r>
              <w:rPr>
                <w:rFonts w:hint="eastAsia"/>
                <w:sz w:val="24"/>
                <w:lang w:val="en-US" w:eastAsia="zh-CN"/>
              </w:rPr>
              <w:t>6</w:t>
            </w:r>
            <w:r>
              <w:rPr>
                <w:rFonts w:hint="eastAsia"/>
                <w:sz w:val="24"/>
              </w:rPr>
              <w:t>.</w:t>
            </w:r>
            <w:r>
              <w:rPr>
                <w:rFonts w:hint="eastAsia"/>
                <w:sz w:val="24"/>
                <w:lang w:val="en-US" w:eastAsia="zh-CN"/>
              </w:rPr>
              <w:t>4</w:t>
            </w:r>
            <w:r>
              <w:rPr>
                <w:rFonts w:hint="eastAsia"/>
                <w:sz w:val="24"/>
              </w:rPr>
              <w:t>.</w:t>
            </w:r>
            <w:r>
              <w:rPr>
                <w:rFonts w:hint="eastAsia"/>
                <w:sz w:val="24"/>
                <w:lang w:val="en-US" w:eastAsia="zh-CN"/>
              </w:rPr>
              <w:t>25</w:t>
            </w:r>
          </w:p>
        </w:tc>
      </w:tr>
      <w:tr w14:paraId="3F19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73143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25FE7179">
            <w:pPr>
              <w:widowControl/>
              <w:spacing w:after="150"/>
              <w:jc w:val="center"/>
              <w:rPr>
                <w:rFonts w:hint="default" w:ascii="Times New Roman" w:hAnsi="Times New Roman" w:eastAsia="宋体"/>
                <w:color w:val="FF0000"/>
                <w:sz w:val="24"/>
                <w:lang w:val="en-US" w:eastAsia="zh-CN"/>
              </w:rPr>
            </w:pPr>
            <w:r>
              <w:rPr>
                <w:rFonts w:hint="eastAsia" w:ascii="宋体" w:hAnsi="宋体" w:eastAsia="宋体" w:cs="宋体"/>
                <w:color w:val="000000"/>
                <w:sz w:val="24"/>
                <w:szCs w:val="24"/>
              </w:rPr>
              <w:t>徐顺星</w:t>
            </w:r>
            <w:r>
              <w:rPr>
                <w:rFonts w:hint="eastAsia" w:ascii="宋体" w:hAnsi="宋体" w:cs="宋体"/>
                <w:color w:val="000000"/>
                <w:sz w:val="24"/>
                <w:szCs w:val="24"/>
                <w:lang w:eastAsia="zh-CN"/>
              </w:rPr>
              <w:t>、</w:t>
            </w:r>
            <w:r>
              <w:rPr>
                <w:rFonts w:hint="eastAsia" w:ascii="宋体" w:hAnsi="宋体" w:eastAsia="宋体" w:cs="宋体"/>
                <w:color w:val="000000"/>
                <w:sz w:val="24"/>
                <w:szCs w:val="24"/>
              </w:rPr>
              <w:t>乔贯德</w:t>
            </w:r>
            <w:r>
              <w:rPr>
                <w:rFonts w:hint="eastAsia"/>
                <w:sz w:val="24"/>
              </w:rPr>
              <w:t>202</w:t>
            </w:r>
            <w:r>
              <w:rPr>
                <w:rFonts w:hint="eastAsia"/>
                <w:sz w:val="24"/>
                <w:lang w:val="en-US" w:eastAsia="zh-CN"/>
              </w:rPr>
              <w:t>6</w:t>
            </w:r>
            <w:r>
              <w:rPr>
                <w:rFonts w:hint="eastAsia"/>
                <w:sz w:val="24"/>
              </w:rPr>
              <w:t>.</w:t>
            </w:r>
            <w:r>
              <w:rPr>
                <w:rFonts w:hint="eastAsia"/>
                <w:sz w:val="24"/>
                <w:lang w:val="en-US" w:eastAsia="zh-CN"/>
              </w:rPr>
              <w:t>5</w:t>
            </w:r>
            <w:r>
              <w:rPr>
                <w:rFonts w:hint="eastAsia"/>
                <w:sz w:val="24"/>
              </w:rPr>
              <w:t>.</w:t>
            </w:r>
            <w:r>
              <w:rPr>
                <w:rFonts w:hint="eastAsia"/>
                <w:sz w:val="24"/>
                <w:lang w:val="en-US" w:eastAsia="zh-CN"/>
              </w:rPr>
              <w:t>7</w:t>
            </w:r>
          </w:p>
        </w:tc>
      </w:tr>
      <w:tr w14:paraId="6799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02373A96">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03BC50E4">
            <w:pPr>
              <w:rPr>
                <w:rFonts w:hint="eastAsia"/>
              </w:rPr>
            </w:pPr>
            <w:r>
              <w:rPr>
                <w:rFonts w:hint="eastAsia"/>
              </w:rPr>
              <w:t>江西平丰能源科技有限公司（简称“该公司”）成立于2020年04月22日，公司类型为有限责任公司（自然人投资或控股），法定代表人为舒速平，注册资本壹仟伍佰万元整。该公司住所位于江西省上饶市玉山县高新区文成片区十坊北路7号。公司经营范围许可项目：成品油仓储，成品油批发（依法须经批准的项目，经相关部门批准后在许可有效期内方可开展经营活动，具体经营项目和许可期限以相关部门批准文件或许可证件为准） 一般项目：工程和技术研究和试验发展，非食用植物油加工，润滑油销售，电子过磅服务（除依法须经批准的项目外，凭营业执照依法自主开展经营活动）</w:t>
            </w:r>
          </w:p>
          <w:p w14:paraId="1E3FFB57">
            <w:pPr>
              <w:rPr>
                <w:rFonts w:hint="eastAsia"/>
              </w:rPr>
            </w:pPr>
            <w:r>
              <w:rPr>
                <w:rFonts w:hint="eastAsia"/>
              </w:rPr>
              <w:t>该公司于2021年2月9日取得了玉山县发展和改革委员会印发的《江西省企业投资项目备案通知书》，项目名称为江西平丰能源科技有限公司年产6万吨调和油储备库建设项目，项目代码2102-361123-04-05-563136。该公司分期建设和安全验收，分别为年产2万吨调和油项目、4万吨/年柴油储存经营。</w:t>
            </w:r>
          </w:p>
          <w:p w14:paraId="15C5009B">
            <w:pPr>
              <w:rPr>
                <w:rFonts w:hint="eastAsia"/>
              </w:rPr>
            </w:pPr>
            <w:r>
              <w:rPr>
                <w:rFonts w:hint="eastAsia"/>
              </w:rPr>
              <w:t>该公司委托湖北嘉诺安全技术有限公司（原湖北四海同方技术股份有限公司）编制了《江西平丰能源科技有限公司年产6万吨调和油储备库建设项目（年产2万吨调和油项目）安全预评价报告》，委托济宁市化工设计院有限公司编制了《江西平丰能源科技有限公司年产6万吨调和油储备库建设项目（年产2万吨调和油项目）安全设施设计》，并于2023年4月进行了设计文件变更单，年产6万吨调和油储备库建设项目（年产2万吨调和油项目）建设完成后，委托江西赣安安全生产科学技术咨询服务中心2023年6月出具了《江西平丰能源科技有限公司年产6万吨调和油储备库建设项目（年产2万吨调和油项目）验收评价报告》，完成了安全设施竣工验收。根据企业提供的资料，产品调和油闪点≥61℃，火灾类别为丙类，不属于危险化学品，不需要办理危险化学品安全生产许可证。</w:t>
            </w:r>
          </w:p>
          <w:p w14:paraId="29D22705">
            <w:pPr>
              <w:rPr>
                <w:rFonts w:hint="eastAsia"/>
              </w:rPr>
            </w:pPr>
            <w:r>
              <w:rPr>
                <w:rFonts w:hint="eastAsia"/>
              </w:rPr>
              <w:t>该公司委托湖北嘉诺安全技术有限公司（原湖北四海同方技术股份有限公司）编制了《江西平丰能源科技有限公司年产6万吨调和油储备库建设项目（4万吨/年柴油储存经营）安全条件评价报告》，并于2023年3月13日取得上饶市应急管理局出具的《危险化学品建设项目安全条件审查意见书》饶危化项目安条审字[2023]3号，委托济宁市化工设计院有限公司编制了《江西平丰能源科技有限公司年产6万吨调和油储备库建设项目（4万吨/年柴油储存经营）安全设施设计》，并于2023年4月20日取得上饶市应急管理局出具的《危险化学品建设项目安全设施设计审查意见书》饶危化项目安设审字[2023]25号，年产6万吨调和油储备库建设项目（4万吨/年柴油储存经营）建设完成后，委托江西赣安安全生产科学技术咨询服务中心2023年6月出具了《江西平丰能源科技有限公司年产6万吨调和油储备库建设项目（4万吨/年柴油储存经营）验收评价报告》，完成了安全设施竣工验收。并于2023年首次取得上饶市省应急局颁发的《危险化学品经营许可证》，编号：赣饶应经许字[2023]0630093号，许可范围：柴油，经营方式：带有储存设施经营，有效期从2023年6月30日至2026年6月29日。</w:t>
            </w:r>
          </w:p>
          <w:p w14:paraId="55E7B7CB">
            <w:pPr>
              <w:rPr>
                <w:rFonts w:hint="eastAsia"/>
              </w:rPr>
            </w:pPr>
            <w:r>
              <w:rPr>
                <w:rFonts w:hint="eastAsia"/>
              </w:rPr>
              <w:t>该公司自2023年取得危险化学品经营许可证以来未发生一般事故以上的安全生产事故。</w:t>
            </w:r>
          </w:p>
        </w:tc>
      </w:tr>
      <w:tr w14:paraId="7BB0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0C26B5DC">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42DA823C">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2.5.1柴油储存经营工艺流程</w:t>
            </w:r>
          </w:p>
          <w:p w14:paraId="0D7D2306">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1、卸车</w:t>
            </w:r>
          </w:p>
          <w:p w14:paraId="3867DB29">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柴油用罐车运至罐区后，在泵区附近停稳熄火，消防设施到位后，先用静电接地导线与罐车卸油设施连接在一起，静置15分钟清除静电。然后用快速接头将罐车的卸油管与卸料口连接在一起，启动卸油泵开始卸料。柴油卸完后，拆除连通软管，人工封闭好油罐进料口和罐车卸料口，再拆除静电接地装置。静置5分钟以后发动罐车缓慢离开罐区。</w:t>
            </w:r>
          </w:p>
          <w:p w14:paraId="6B5B2DB4">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2、装车</w:t>
            </w:r>
          </w:p>
          <w:p w14:paraId="679E4F3B">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储罐内的柴油经管道泵输送至装卸栈台，进入装卸鹤管，由下装鹤管装车外售。</w:t>
            </w:r>
          </w:p>
          <w:p w14:paraId="6D17E9D1">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3、油气回收</w:t>
            </w:r>
          </w:p>
          <w:p w14:paraId="09FCFAFB">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油气回收：装卸栈台采用一套油气回收装置进行处理，通过二级冷凝加吸附的处理方法。</w:t>
            </w:r>
          </w:p>
          <w:p w14:paraId="45B5AB39">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油气经引风机引入油气管线后进入回热交换器与经第I级冷凝后的带有冷量的未被冷凝的少量油气和空气的混合气体，与持续进入的常温油气进行热交换将油气冷却至-15~-25°C。第II级冷凝后已将尾气中的绝大部分的油气进行冷凝液化成为液体自流至收集桶。分离出油品后的低温贫油气体再回到回热交换器进行回热交换，温度回升到接近常温进入吸附工艺段处理。附系统采用活性炭两级吸附，由A、B两组吸附罐组成。当使用A吸附罐时，B罐为脱附，使用B吸附罐时，A罐为脱附状态，AB两个罐交替使用，由设备自带PLC系统控制电动阀自动切换。油气进入吸附系统时，油气中的绝大部分有机物被活性炭吸附住，油气中的剩余有机物被活性炭完全吸附住，达标尾气则直接穿过碳层排放。当“吸附"碳床接近饱和状态时，“吸附"碳床转入“脱附”状态，与此同时，原“脱附”碳床已再生完毕而转入油气吸附状态。两个吸附罐的切换是通过PLC自动控制系统来完成的，以保证对源源不断进入装置的油气进行回收处理。脱附出来的气体进入前端第I级预冷级循环降温液化。完成对混合气体的相变液化，实现对油气的彻底回收。回收后的液体装桶后暂存入危废库内。处理后的尾气由4m高排气筒排放。</w:t>
            </w:r>
          </w:p>
          <w:p w14:paraId="1F7D797E">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2.5.2调和油生产工艺流程</w:t>
            </w:r>
          </w:p>
          <w:p w14:paraId="20F88FE3">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调和油产品分为2类调和油品。1号调和油产品（120号油）为工业白油、轻循环油调和而成；2号调和油产品（180号油）为有机热载体、轻质燃料油调和而成。该2类调和油除原料组成不同外，其工艺相同。工艺仅涉及物理搅拌，不涉及化学反应。</w:t>
            </w:r>
          </w:p>
          <w:p w14:paraId="3C5C73C9">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1号调和油产品（120号油）、2号调和油产品（180号油）共用1套储存设备，当生产1号调和油产品（120号油）时，V0101原料储罐用于储存工业白油、VO102原料储罐用于储存轻循环油；当生产2号调和油产品（180号油）时，VO101原料储罐用于储存有机热载体、VO102原料储罐用于储存轻质燃料油；成品储罐仅储存正在生产的产品。</w:t>
            </w:r>
          </w:p>
          <w:p w14:paraId="014595F5">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1号调和油产品（120号油）、2号调和油产品（180号油）的年生产时间按照市场需求量确定，合计生产时间300天。当市场需求发生变化，需要立即进行切换产品时，产品切换说明如下：</w:t>
            </w:r>
          </w:p>
          <w:p w14:paraId="1147576F">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江西平丰能源公司在生产两种产品的外观、运动黏度、密度、十六烷指数等13项指标中都非常接近，而且产品价格也相近，2号调和油产品（180号油）质量指标比1号调和油产品（120号油）质量指标微高一点，而两种油料的化学性质，物理性质基本相同。因此在生产1号调和油产品（120号油）时，罐内有残余2号调和油产品（180号油），由于180号调和油指标更高，为了节省洗罐和吹扫管道的费用和减少停产时间，就均作为1号调和油产品（120号油）来销售。而在切换2号调和油产品（180号油）生产时，成品油罐内有残余1号调和油产品（120号油），就必须进行洗罐和吹扫管道。回收的残余1号调和油产品（120号油）进行桶装销售。</w:t>
            </w:r>
          </w:p>
          <w:p w14:paraId="597A36FE">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具体工艺流程概述如下:</w:t>
            </w:r>
          </w:p>
          <w:p w14:paraId="3873F214">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一、2号调和油产品（180号油）的生产:</w:t>
            </w:r>
          </w:p>
          <w:p w14:paraId="75330C29">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罐区：原料工业白油由齿轮泵P0101卸车输送至VO101原料罐内；原料轻循环油由齿轮泵PO102卸车输送至VO102原料罐内。生产时，工业白油由齿轮泵P0101输送至车间搅拌罐内（各搅拌罐单独进料，非同时）；轻循环油由齿轮泵P0102输送至车间搅拌罐内（各搅拌罐单独进料，非同时）。</w:t>
            </w:r>
          </w:p>
          <w:p w14:paraId="2AEABACD">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车间：工业白油依次进入搅拌罐V0201A/B/C/D、VO202A/B/C/D/E/F内，而轻循环油后续依次进入搅拌罐VO201A/B/C/D、VO202A/B/C/D/E/F内。完成进料后进行混合搅拌。</w:t>
            </w:r>
          </w:p>
          <w:p w14:paraId="039BF77A">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1、搅拌罐调和完成后由泵P0203输送至VO204A/B静置罐内静置。</w:t>
            </w:r>
          </w:p>
          <w:p w14:paraId="4279F350">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2、搅拌罐调和完成后由泵P0203输送至V0203A/B过滤砂罐内。</w:t>
            </w:r>
          </w:p>
          <w:p w14:paraId="0F2352E7">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3、搅拌罐（V0201A/B/C/D）内加入自V0205白土罐内的白土，与VO206液碱罐内的液碱继续搅拌调和，完成后由泵P0201输送至X0201A板框压滤机内进行压滤;搅拌罐（V0202A/B/C/D/E//F）内加入自V0205白土罐内的白土，与V0206液碱罐内的液碱继续搅拌调和，完成后由泵P0202输送至X0201B板框压滤机内进行压滤。压滤后的调和油经泵P0204输送至V0203A/B或V0204A/B 内。</w:t>
            </w:r>
          </w:p>
          <w:p w14:paraId="2A7C13CE">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最终1号调和油成品经泵P0205输送至罐区内VO103成品罐储存或进入装卸栈台装车外售。</w:t>
            </w:r>
          </w:p>
          <w:p w14:paraId="507DCBA1">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装车：1号调和油成品经F0301过滤器过滤，由泵P0301送至装车鹤管X0301A装车。</w:t>
            </w:r>
          </w:p>
          <w:p w14:paraId="1D8E406E">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二、2号调和油即180号油的生产：</w:t>
            </w:r>
          </w:p>
          <w:p w14:paraId="22D219FC">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罐区：原料有机热载体由齿轮泵P0101卸车输送至VO101原料罐内；原料轻质燃料油由齿轮泵P0102卸车输送至VO102原料罐内。生产时，有机热载体由齿轮泵P0101输送至车间搅拌罐内（各搅拌罐单独进料，非同时）；轻质燃料油由齿轮泵P0102输送至车间搅拌罐内（各搅拌罐单独进料，非同时）。</w:t>
            </w:r>
          </w:p>
          <w:p w14:paraId="5F3B0465">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车间：有机热载体依次进入搅拌罐V0201A/B/C/D、VO202A/B/C/D/E/F内，而轻质燃料油后续依次进入搅拌罐V0201A/B/C/D、V0202A/B/C/D/E/F内。完成进料后进行混合搅拌。</w:t>
            </w:r>
          </w:p>
          <w:p w14:paraId="1C8D3B61">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1、搅拌罐调和完成后由泵P0203输送至VO204A/B静置罐内静置。</w:t>
            </w:r>
          </w:p>
          <w:p w14:paraId="3A5A4939">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2、搅拌罐调和完成后由泵P0203输送至VO203A/B过滤砂罐内。</w:t>
            </w:r>
          </w:p>
          <w:p w14:paraId="4580C718">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3、搅拌罐（VO201A/B/C/D）内加入自V0205白土罐内的白土，与VO206液碱罐内的液碱继续搅拌调和，完成后由泵P0201输送至X0201A板框压滤机内进行压滤；搅拌罐（VO202A/B/C/D/E//F）内加入自V0205白土罐内的白土，与V0206液碱罐内的液碱继续搅拌调和，完成后由泵P0202输送至X0201B板框压滤机内进行压滤。压滤后的调和油经泵P0204输送至V0203A/B 或 V0204A/B内。</w:t>
            </w:r>
          </w:p>
          <w:p w14:paraId="06C7E3BD">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最终2号调和油成品经泵P0205输送至罐区内VO103成品罐储存或进入装卸栈台装车外售。</w:t>
            </w:r>
          </w:p>
          <w:p w14:paraId="12D1D1BF">
            <w:pPr>
              <w:pStyle w:val="16"/>
              <w:spacing w:before="0" w:beforeAutospacing="0" w:after="0" w:afterAutospacing="0"/>
              <w:rPr>
                <w:rFonts w:ascii="宋体" w:hAnsi="宋体" w:cs="宋体"/>
                <w:snapToGrid w:val="0"/>
                <w:kern w:val="0"/>
                <w:szCs w:val="21"/>
              </w:rPr>
            </w:pPr>
            <w:r>
              <w:rPr>
                <w:rFonts w:hint="eastAsia" w:ascii="宋体" w:hAnsi="宋体" w:cs="宋体"/>
                <w:snapToGrid w:val="0"/>
                <w:kern w:val="0"/>
                <w:szCs w:val="21"/>
              </w:rPr>
              <w:t>装车：2号调和油成品经F0301过滤器过滤，由泵P0301送至装车鹤管X0301A装车。</w:t>
            </w:r>
          </w:p>
        </w:tc>
      </w:tr>
      <w:tr w14:paraId="00B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1C049D4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B514EA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37F63244">
      <w:r>
        <w:rPr>
          <w:rFonts w:hint="eastAsia"/>
        </w:rPr>
        <w:br w:type="page"/>
      </w:r>
    </w:p>
    <w:p w14:paraId="5E07ABB9">
      <w:pPr>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25400</wp:posOffset>
            </wp:positionH>
            <wp:positionV relativeFrom="paragraph">
              <wp:posOffset>139065</wp:posOffset>
            </wp:positionV>
            <wp:extent cx="5259070" cy="3944620"/>
            <wp:effectExtent l="0" t="0" r="17780" b="17780"/>
            <wp:wrapNone/>
            <wp:docPr id="1" name="图片 1" descr="IMG_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5155"/>
                    <pic:cNvPicPr>
                      <a:picLocks noChangeAspect="1"/>
                    </pic:cNvPicPr>
                  </pic:nvPicPr>
                  <pic:blipFill>
                    <a:blip r:embed="rId4"/>
                    <a:stretch>
                      <a:fillRect/>
                    </a:stretch>
                  </pic:blipFill>
                  <pic:spPr>
                    <a:xfrm>
                      <a:off x="0" y="0"/>
                      <a:ext cx="5259070" cy="3944620"/>
                    </a:xfrm>
                    <a:prstGeom prst="rect">
                      <a:avLst/>
                    </a:prstGeom>
                  </pic:spPr>
                </pic:pic>
              </a:graphicData>
            </a:graphic>
          </wp:anchor>
        </w:drawing>
      </w:r>
    </w:p>
    <w:p w14:paraId="0E5298BF"/>
    <w:p w14:paraId="4223652F"/>
    <w:p w14:paraId="2A512B2C"/>
    <w:p w14:paraId="550F72D5">
      <w:pPr>
        <w:rPr>
          <w:rFonts w:hint="eastAsia" w:eastAsia="宋体"/>
          <w:lang w:eastAsia="zh-CN"/>
        </w:rPr>
      </w:pPr>
    </w:p>
    <w:p w14:paraId="44D6F4B2"/>
    <w:p w14:paraId="7D6C13BF"/>
    <w:p w14:paraId="22AF1EED"/>
    <w:p w14:paraId="3601A34F"/>
    <w:p w14:paraId="795F8353"/>
    <w:p w14:paraId="6004ECD9"/>
    <w:p w14:paraId="4521D7C1"/>
    <w:p w14:paraId="1FF13339">
      <w:pPr>
        <w:jc w:val="both"/>
      </w:pPr>
    </w:p>
    <w:p w14:paraId="32057267">
      <w:pPr>
        <w:jc w:val="both"/>
        <w:rPr>
          <w:rFonts w:hint="eastAsia" w:eastAsia="宋体"/>
          <w:lang w:eastAsia="zh-CN"/>
        </w:rPr>
      </w:pPr>
    </w:p>
    <w:p w14:paraId="71131254">
      <w:pPr>
        <w:jc w:val="both"/>
      </w:pPr>
    </w:p>
    <w:p w14:paraId="50678230">
      <w:pPr>
        <w:jc w:val="both"/>
      </w:pPr>
    </w:p>
    <w:p w14:paraId="00CEC2E3">
      <w:pPr>
        <w:jc w:val="both"/>
        <w:rPr>
          <w:rFonts w:hint="eastAsia" w:eastAsia="宋体"/>
          <w:lang w:eastAsia="zh-CN"/>
        </w:rPr>
      </w:pPr>
    </w:p>
    <w:p w14:paraId="1DD3FCE3">
      <w:pPr>
        <w:jc w:val="both"/>
      </w:pPr>
    </w:p>
    <w:p w14:paraId="2B59A32B">
      <w:pPr>
        <w:jc w:val="both"/>
      </w:pPr>
    </w:p>
    <w:p w14:paraId="256DE4E7">
      <w:pPr>
        <w:jc w:val="both"/>
      </w:pPr>
    </w:p>
    <w:p w14:paraId="5A2C25E3">
      <w:pPr>
        <w:jc w:val="both"/>
      </w:pPr>
    </w:p>
    <w:p w14:paraId="533D82FB">
      <w:pPr>
        <w:jc w:val="both"/>
        <w:rPr>
          <w:rFonts w:hint="eastAsia" w:eastAsia="宋体"/>
          <w:lang w:eastAsia="zh-CN"/>
        </w:rPr>
      </w:pPr>
      <w:r>
        <w:rPr>
          <w:rFonts w:hint="eastAsia" w:eastAsia="宋体"/>
          <w:lang w:eastAsia="zh-CN"/>
        </w:rPr>
        <w:drawing>
          <wp:inline distT="0" distB="0" distL="114300" distR="114300">
            <wp:extent cx="5259070" cy="3944620"/>
            <wp:effectExtent l="0" t="0" r="17780" b="17780"/>
            <wp:docPr id="2" name="图片 2" descr="IMG_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5164"/>
                    <pic:cNvPicPr>
                      <a:picLocks noChangeAspect="1"/>
                    </pic:cNvPicPr>
                  </pic:nvPicPr>
                  <pic:blipFill>
                    <a:blip r:embed="rId5"/>
                    <a:stretch>
                      <a:fillRect/>
                    </a:stretch>
                  </pic:blipFill>
                  <pic:spPr>
                    <a:xfrm>
                      <a:off x="0" y="0"/>
                      <a:ext cx="5259070" cy="3944620"/>
                    </a:xfrm>
                    <a:prstGeom prst="rect">
                      <a:avLst/>
                    </a:prstGeom>
                  </pic:spPr>
                </pic:pic>
              </a:graphicData>
            </a:graphic>
          </wp:inline>
        </w:drawing>
      </w:r>
      <w:bookmarkStart w:id="0" w:name="_GoBack"/>
      <w:bookmarkEnd w:id="0"/>
    </w:p>
    <w:p w14:paraId="44535C2E">
      <w:pPr>
        <w:jc w:val="both"/>
        <w:rPr>
          <w:rFonts w:hint="default" w:eastAsia="宋体"/>
          <w:lang w:val="en-US" w:eastAsia="zh-CN"/>
        </w:rPr>
      </w:pPr>
      <w:r>
        <w:rPr>
          <w:rFonts w:hint="eastAsia" w:eastAsia="宋体"/>
          <w:lang w:eastAsia="zh-CN"/>
        </w:rPr>
        <w:drawing>
          <wp:inline distT="0" distB="0" distL="114300" distR="114300">
            <wp:extent cx="5259070" cy="7443470"/>
            <wp:effectExtent l="0" t="0" r="17780" b="5080"/>
            <wp:docPr id="4" name="图片 4" descr="DOC061126-06112026213358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C061126-06112026213358_02"/>
                    <pic:cNvPicPr>
                      <a:picLocks noChangeAspect="1"/>
                    </pic:cNvPicPr>
                  </pic:nvPicPr>
                  <pic:blipFill>
                    <a:blip r:embed="rId6"/>
                    <a:stretch>
                      <a:fillRect/>
                    </a:stretch>
                  </pic:blipFill>
                  <pic:spPr>
                    <a:xfrm>
                      <a:off x="0" y="0"/>
                      <a:ext cx="5259070" cy="7443470"/>
                    </a:xfrm>
                    <a:prstGeom prst="rect">
                      <a:avLst/>
                    </a:prstGeom>
                  </pic:spPr>
                </pic:pic>
              </a:graphicData>
            </a:graphic>
          </wp:inline>
        </w:drawing>
      </w:r>
      <w:r>
        <w:rPr>
          <w:rFonts w:hint="eastAsia" w:eastAsia="宋体"/>
          <w:lang w:eastAsia="zh-CN"/>
        </w:rPr>
        <w:drawing>
          <wp:inline distT="0" distB="0" distL="114300" distR="114300">
            <wp:extent cx="5259070" cy="7443470"/>
            <wp:effectExtent l="0" t="0" r="17780" b="5080"/>
            <wp:docPr id="5" name="图片 5" descr="DOC061126-0611202621335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OC061126-06112026213358_01"/>
                    <pic:cNvPicPr>
                      <a:picLocks noChangeAspect="1"/>
                    </pic:cNvPicPr>
                  </pic:nvPicPr>
                  <pic:blipFill>
                    <a:blip r:embed="rId7"/>
                    <a:stretch>
                      <a:fillRect/>
                    </a:stretch>
                  </pic:blipFill>
                  <pic:spPr>
                    <a:xfrm>
                      <a:off x="0" y="0"/>
                      <a:ext cx="5259070" cy="7443470"/>
                    </a:xfrm>
                    <a:prstGeom prst="rect">
                      <a:avLst/>
                    </a:prstGeom>
                  </pic:spPr>
                </pic:pic>
              </a:graphicData>
            </a:graphic>
          </wp:inline>
        </w:drawing>
      </w:r>
      <w:r>
        <w:rPr>
          <w:rFonts w:hint="eastAsia"/>
          <w:lang w:val="en-US" w:eastAsia="zh-CN"/>
        </w:rPr>
        <w:tab/>
      </w:r>
      <w:r>
        <w:rPr>
          <w:rFonts w:hint="eastAsia" w:eastAsia="宋体"/>
          <w:lang w:eastAsia="zh-CN"/>
        </w:rPr>
        <w:drawing>
          <wp:inline distT="0" distB="0" distL="114300" distR="114300">
            <wp:extent cx="5259070" cy="7443470"/>
            <wp:effectExtent l="0" t="0" r="17780" b="5080"/>
            <wp:docPr id="3" name="图片 3" descr="DOC061126-06112026213358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C061126-06112026213358_03"/>
                    <pic:cNvPicPr>
                      <a:picLocks noChangeAspect="1"/>
                    </pic:cNvPicPr>
                  </pic:nvPicPr>
                  <pic:blipFill>
                    <a:blip r:embed="rId8"/>
                    <a:stretch>
                      <a:fillRect/>
                    </a:stretch>
                  </pic:blipFill>
                  <pic:spPr>
                    <a:xfrm>
                      <a:off x="0" y="0"/>
                      <a:ext cx="5259070" cy="7443470"/>
                    </a:xfrm>
                    <a:prstGeom prst="rect">
                      <a:avLst/>
                    </a:prstGeom>
                  </pic:spPr>
                </pic:pic>
              </a:graphicData>
            </a:graphic>
          </wp:inline>
        </w:drawing>
      </w:r>
      <w:r>
        <w:rPr>
          <w:rFonts w:hint="default" w:eastAsia="宋体"/>
          <w:lang w:val="en-US" w:eastAsia="zh-CN"/>
        </w:rPr>
        <w:drawing>
          <wp:inline distT="0" distB="0" distL="114300" distR="114300">
            <wp:extent cx="5259070" cy="7443470"/>
            <wp:effectExtent l="0" t="0" r="17780" b="5080"/>
            <wp:docPr id="6" name="图片 6" descr="7、合同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合同_01"/>
                    <pic:cNvPicPr>
                      <a:picLocks noChangeAspect="1"/>
                    </pic:cNvPicPr>
                  </pic:nvPicPr>
                  <pic:blipFill>
                    <a:blip r:embed="rId9"/>
                    <a:stretch>
                      <a:fillRect/>
                    </a:stretch>
                  </pic:blipFill>
                  <pic:spPr>
                    <a:xfrm>
                      <a:off x="0" y="0"/>
                      <a:ext cx="5259070" cy="7443470"/>
                    </a:xfrm>
                    <a:prstGeom prst="rect">
                      <a:avLst/>
                    </a:prstGeom>
                  </pic:spPr>
                </pic:pic>
              </a:graphicData>
            </a:graphic>
          </wp:inline>
        </w:drawing>
      </w:r>
    </w:p>
    <w:p w14:paraId="519CA0EC">
      <w:pPr>
        <w:rPr>
          <w:rFonts w:hint="eastAsia"/>
          <w:lang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BF33AE"/>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C524B76"/>
    <w:rsid w:val="0D0227BA"/>
    <w:rsid w:val="0D073DB5"/>
    <w:rsid w:val="0D081033"/>
    <w:rsid w:val="0D1C170F"/>
    <w:rsid w:val="0D4252AC"/>
    <w:rsid w:val="0E564C35"/>
    <w:rsid w:val="0EC817E1"/>
    <w:rsid w:val="0F1C6141"/>
    <w:rsid w:val="0F423341"/>
    <w:rsid w:val="0FD536AF"/>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5FA4976"/>
    <w:rsid w:val="16B10157"/>
    <w:rsid w:val="172B1294"/>
    <w:rsid w:val="17505468"/>
    <w:rsid w:val="1752433D"/>
    <w:rsid w:val="17550DB0"/>
    <w:rsid w:val="17583261"/>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B63147C"/>
    <w:rsid w:val="1C3244B8"/>
    <w:rsid w:val="1C461987"/>
    <w:rsid w:val="1C4B6410"/>
    <w:rsid w:val="1C67088B"/>
    <w:rsid w:val="1C6E6E31"/>
    <w:rsid w:val="1C970306"/>
    <w:rsid w:val="1CD13F56"/>
    <w:rsid w:val="1CD14F1F"/>
    <w:rsid w:val="1CEA3399"/>
    <w:rsid w:val="1DA60EEB"/>
    <w:rsid w:val="1F0F5E71"/>
    <w:rsid w:val="1F142A61"/>
    <w:rsid w:val="1F373426"/>
    <w:rsid w:val="1F642D26"/>
    <w:rsid w:val="1FAC2BD1"/>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317C88"/>
    <w:rsid w:val="25FB3FD9"/>
    <w:rsid w:val="260B2287"/>
    <w:rsid w:val="26134134"/>
    <w:rsid w:val="271635D9"/>
    <w:rsid w:val="27280E94"/>
    <w:rsid w:val="27F61196"/>
    <w:rsid w:val="28814447"/>
    <w:rsid w:val="29283150"/>
    <w:rsid w:val="297A3C20"/>
    <w:rsid w:val="298C1931"/>
    <w:rsid w:val="29925FE1"/>
    <w:rsid w:val="29C5213A"/>
    <w:rsid w:val="29C972C6"/>
    <w:rsid w:val="2B944ACD"/>
    <w:rsid w:val="2BD9110B"/>
    <w:rsid w:val="2C9D3BC7"/>
    <w:rsid w:val="2CED3F48"/>
    <w:rsid w:val="2CF2686E"/>
    <w:rsid w:val="2E9E272A"/>
    <w:rsid w:val="2EAE6403"/>
    <w:rsid w:val="2F5C124E"/>
    <w:rsid w:val="31055C5A"/>
    <w:rsid w:val="3256187C"/>
    <w:rsid w:val="3259568C"/>
    <w:rsid w:val="325B27ED"/>
    <w:rsid w:val="32A31CA7"/>
    <w:rsid w:val="32A66941"/>
    <w:rsid w:val="334B2415"/>
    <w:rsid w:val="339918AA"/>
    <w:rsid w:val="33BD2F62"/>
    <w:rsid w:val="33C148CD"/>
    <w:rsid w:val="33E01751"/>
    <w:rsid w:val="341F407D"/>
    <w:rsid w:val="34BD4A82"/>
    <w:rsid w:val="351530F3"/>
    <w:rsid w:val="35211925"/>
    <w:rsid w:val="35524794"/>
    <w:rsid w:val="36577381"/>
    <w:rsid w:val="366115C7"/>
    <w:rsid w:val="368F242B"/>
    <w:rsid w:val="36E75766"/>
    <w:rsid w:val="37285AB1"/>
    <w:rsid w:val="375C6F30"/>
    <w:rsid w:val="3781684D"/>
    <w:rsid w:val="38213B8C"/>
    <w:rsid w:val="3823766B"/>
    <w:rsid w:val="396748BA"/>
    <w:rsid w:val="39AC13AD"/>
    <w:rsid w:val="3A3146AF"/>
    <w:rsid w:val="3A751F6D"/>
    <w:rsid w:val="3AB6680E"/>
    <w:rsid w:val="3AD61658"/>
    <w:rsid w:val="3ADD7367"/>
    <w:rsid w:val="3AF50232"/>
    <w:rsid w:val="3B251FB8"/>
    <w:rsid w:val="3B3712DA"/>
    <w:rsid w:val="3B516ED3"/>
    <w:rsid w:val="3B622014"/>
    <w:rsid w:val="3BB54D17"/>
    <w:rsid w:val="3BFC6477"/>
    <w:rsid w:val="3C7D28D5"/>
    <w:rsid w:val="3C9506A5"/>
    <w:rsid w:val="3CE43836"/>
    <w:rsid w:val="3D027FC2"/>
    <w:rsid w:val="3D3D4FC4"/>
    <w:rsid w:val="3D4729D1"/>
    <w:rsid w:val="3D6C58AA"/>
    <w:rsid w:val="3DD82610"/>
    <w:rsid w:val="3DEB4A20"/>
    <w:rsid w:val="3E2D53F7"/>
    <w:rsid w:val="3EB62D94"/>
    <w:rsid w:val="3EEC7F81"/>
    <w:rsid w:val="3F0E1560"/>
    <w:rsid w:val="3FA71C20"/>
    <w:rsid w:val="3FDA2F9E"/>
    <w:rsid w:val="40606FB3"/>
    <w:rsid w:val="408A0869"/>
    <w:rsid w:val="40995D81"/>
    <w:rsid w:val="40DC28F6"/>
    <w:rsid w:val="416C231C"/>
    <w:rsid w:val="41B906C9"/>
    <w:rsid w:val="41C01725"/>
    <w:rsid w:val="41C84509"/>
    <w:rsid w:val="421E5E45"/>
    <w:rsid w:val="42305ED2"/>
    <w:rsid w:val="42355182"/>
    <w:rsid w:val="42B172BD"/>
    <w:rsid w:val="43120BD6"/>
    <w:rsid w:val="433755FF"/>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4831FA"/>
    <w:rsid w:val="4A657908"/>
    <w:rsid w:val="4ACC5BD9"/>
    <w:rsid w:val="4BE40D01"/>
    <w:rsid w:val="4CDE060B"/>
    <w:rsid w:val="4E08517B"/>
    <w:rsid w:val="4E2E60EA"/>
    <w:rsid w:val="4E3D5914"/>
    <w:rsid w:val="4E461B89"/>
    <w:rsid w:val="4E834801"/>
    <w:rsid w:val="4E915170"/>
    <w:rsid w:val="4F4C1097"/>
    <w:rsid w:val="4F844CD5"/>
    <w:rsid w:val="4FB01626"/>
    <w:rsid w:val="4FF32FA8"/>
    <w:rsid w:val="50EA0B03"/>
    <w:rsid w:val="512A57AB"/>
    <w:rsid w:val="515A3854"/>
    <w:rsid w:val="5276471A"/>
    <w:rsid w:val="52B20F97"/>
    <w:rsid w:val="52CC47C0"/>
    <w:rsid w:val="52E07D49"/>
    <w:rsid w:val="5374510A"/>
    <w:rsid w:val="53F5005F"/>
    <w:rsid w:val="550C37A2"/>
    <w:rsid w:val="55990DAE"/>
    <w:rsid w:val="563D2137"/>
    <w:rsid w:val="565D015E"/>
    <w:rsid w:val="56836AB2"/>
    <w:rsid w:val="56BC2DE3"/>
    <w:rsid w:val="56D42C4D"/>
    <w:rsid w:val="56EF512A"/>
    <w:rsid w:val="57301D47"/>
    <w:rsid w:val="57487036"/>
    <w:rsid w:val="575D6537"/>
    <w:rsid w:val="57800B40"/>
    <w:rsid w:val="57CD2DFE"/>
    <w:rsid w:val="58244FE5"/>
    <w:rsid w:val="584B13F6"/>
    <w:rsid w:val="59217B49"/>
    <w:rsid w:val="59656964"/>
    <w:rsid w:val="59D926D2"/>
    <w:rsid w:val="5A034680"/>
    <w:rsid w:val="5A096502"/>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9E5C56"/>
    <w:rsid w:val="62A05F08"/>
    <w:rsid w:val="62EA5BC6"/>
    <w:rsid w:val="630737FB"/>
    <w:rsid w:val="63C25DAA"/>
    <w:rsid w:val="64126CC6"/>
    <w:rsid w:val="6451306F"/>
    <w:rsid w:val="64721148"/>
    <w:rsid w:val="648F0582"/>
    <w:rsid w:val="64F540D9"/>
    <w:rsid w:val="6559245A"/>
    <w:rsid w:val="65622F6B"/>
    <w:rsid w:val="658C415A"/>
    <w:rsid w:val="65BD6D5B"/>
    <w:rsid w:val="66C53C4A"/>
    <w:rsid w:val="673B297E"/>
    <w:rsid w:val="678F323C"/>
    <w:rsid w:val="67F105D6"/>
    <w:rsid w:val="67FD6F7B"/>
    <w:rsid w:val="68233EA0"/>
    <w:rsid w:val="68502E34"/>
    <w:rsid w:val="68A30209"/>
    <w:rsid w:val="68C86C57"/>
    <w:rsid w:val="69C2222A"/>
    <w:rsid w:val="6AA57F27"/>
    <w:rsid w:val="6B3B1735"/>
    <w:rsid w:val="6CC37EB5"/>
    <w:rsid w:val="6D1139EB"/>
    <w:rsid w:val="6D3457FF"/>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2EE6"/>
    <w:rsid w:val="7207397B"/>
    <w:rsid w:val="72600B3B"/>
    <w:rsid w:val="729E3A33"/>
    <w:rsid w:val="72C43B37"/>
    <w:rsid w:val="73670AB5"/>
    <w:rsid w:val="737D1DEA"/>
    <w:rsid w:val="748B2EA1"/>
    <w:rsid w:val="74A470FC"/>
    <w:rsid w:val="74AE0F56"/>
    <w:rsid w:val="755328D0"/>
    <w:rsid w:val="76391AC6"/>
    <w:rsid w:val="7672193D"/>
    <w:rsid w:val="770403EE"/>
    <w:rsid w:val="771C50B0"/>
    <w:rsid w:val="771E190D"/>
    <w:rsid w:val="77352B9E"/>
    <w:rsid w:val="77832F9B"/>
    <w:rsid w:val="77C519A6"/>
    <w:rsid w:val="78063C29"/>
    <w:rsid w:val="784004D1"/>
    <w:rsid w:val="784D1858"/>
    <w:rsid w:val="78725E9B"/>
    <w:rsid w:val="78760DAF"/>
    <w:rsid w:val="7877129B"/>
    <w:rsid w:val="787B0173"/>
    <w:rsid w:val="79302291"/>
    <w:rsid w:val="797D7F1B"/>
    <w:rsid w:val="79F44E86"/>
    <w:rsid w:val="79FE7AE0"/>
    <w:rsid w:val="7A083C89"/>
    <w:rsid w:val="7AA15E8B"/>
    <w:rsid w:val="7B1A51D8"/>
    <w:rsid w:val="7B424553"/>
    <w:rsid w:val="7BB96559"/>
    <w:rsid w:val="7BF25D18"/>
    <w:rsid w:val="7C304A31"/>
    <w:rsid w:val="7C6520EB"/>
    <w:rsid w:val="7C85225C"/>
    <w:rsid w:val="7CE56503"/>
    <w:rsid w:val="7D1943FF"/>
    <w:rsid w:val="7D7347EF"/>
    <w:rsid w:val="7D9B14E2"/>
    <w:rsid w:val="7DB761A8"/>
    <w:rsid w:val="7DD52B5A"/>
    <w:rsid w:val="7E522673"/>
    <w:rsid w:val="7E81400A"/>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6">
    <w:name w:val="heading 2"/>
    <w:basedOn w:val="7"/>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7">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8">
    <w:name w:val="heading 4"/>
    <w:basedOn w:val="1"/>
    <w:next w:val="1"/>
    <w:unhideWhenUsed/>
    <w:qFormat/>
    <w:uiPriority w:val="0"/>
    <w:pPr>
      <w:keepNext/>
      <w:keepLines/>
      <w:outlineLvl w:val="3"/>
    </w:pPr>
    <w:rPr>
      <w:b/>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unhideWhenUsed/>
    <w:qFormat/>
    <w:uiPriority w:val="99"/>
    <w:pPr>
      <w:ind w:firstLine="420" w:firstLineChars="200"/>
    </w:pPr>
  </w:style>
  <w:style w:type="paragraph" w:styleId="3">
    <w:name w:val="Body Text Indent"/>
    <w:basedOn w:val="1"/>
    <w:next w:val="2"/>
    <w:unhideWhenUsed/>
    <w:qFormat/>
    <w:uiPriority w:val="99"/>
    <w:pPr>
      <w:spacing w:after="120"/>
      <w:ind w:left="420" w:leftChars="200"/>
    </w:pPr>
  </w:style>
  <w:style w:type="paragraph" w:styleId="4">
    <w:name w:val="Body Text"/>
    <w:basedOn w:val="1"/>
    <w:next w:val="1"/>
    <w:qFormat/>
    <w:uiPriority w:val="99"/>
    <w:rPr>
      <w:sz w:val="28"/>
      <w:szCs w:val="28"/>
    </w:rPr>
  </w:style>
  <w:style w:type="paragraph" w:styleId="9">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10">
    <w:name w:val="toc 5"/>
    <w:basedOn w:val="1"/>
    <w:next w:val="1"/>
    <w:semiHidden/>
    <w:qFormat/>
    <w:uiPriority w:val="0"/>
    <w:pPr>
      <w:ind w:left="1120"/>
      <w:jc w:val="left"/>
    </w:pPr>
    <w:rPr>
      <w:sz w:val="18"/>
      <w:szCs w:val="18"/>
    </w:rPr>
  </w:style>
  <w:style w:type="paragraph" w:styleId="11">
    <w:name w:val="Plain Text"/>
    <w:basedOn w:val="1"/>
    <w:qFormat/>
    <w:uiPriority w:val="0"/>
    <w:rPr>
      <w:rFonts w:ascii="宋体" w:hAnsi="Courier New" w:cs="Courier New"/>
      <w:szCs w:val="21"/>
    </w:rPr>
  </w:style>
  <w:style w:type="paragraph" w:styleId="12">
    <w:name w:val="Date"/>
    <w:basedOn w:val="1"/>
    <w:next w:val="1"/>
    <w:link w:val="46"/>
    <w:qFormat/>
    <w:uiPriority w:val="0"/>
    <w:pPr>
      <w:ind w:left="100" w:leftChars="2500"/>
    </w:pPr>
    <w:rPr>
      <w:rFonts w:ascii="Times New Roman" w:hAnsi="Times New Roman"/>
      <w:b/>
      <w:bCs/>
      <w:sz w:val="28"/>
    </w:rPr>
  </w:style>
  <w:style w:type="paragraph" w:styleId="13">
    <w:name w:val="Body Text Indent 2"/>
    <w:basedOn w:val="1"/>
    <w:qFormat/>
    <w:uiPriority w:val="0"/>
    <w:pPr>
      <w:ind w:firstLine="538" w:firstLineChars="192"/>
    </w:pPr>
    <w:rPr>
      <w:rFonts w:ascii="宋体" w:hAnsi="宋体"/>
      <w:sz w:val="28"/>
    </w:rPr>
  </w:style>
  <w:style w:type="paragraph" w:styleId="14">
    <w:name w:val="Balloon Text"/>
    <w:basedOn w:val="1"/>
    <w:link w:val="32"/>
    <w:qFormat/>
    <w:uiPriority w:val="0"/>
    <w:rPr>
      <w:sz w:val="18"/>
      <w:szCs w:val="18"/>
    </w:rPr>
  </w:style>
  <w:style w:type="paragraph" w:styleId="15">
    <w:name w:val="footer"/>
    <w:basedOn w:val="1"/>
    <w:next w:val="16"/>
    <w:qFormat/>
    <w:uiPriority w:val="0"/>
    <w:pPr>
      <w:tabs>
        <w:tab w:val="center" w:pos="4153"/>
        <w:tab w:val="right" w:pos="8306"/>
      </w:tabs>
      <w:snapToGrid w:val="0"/>
    </w:pPr>
    <w:rPr>
      <w:sz w:val="18"/>
      <w:szCs w:val="18"/>
    </w:rPr>
  </w:style>
  <w:style w:type="paragraph" w:styleId="16">
    <w:name w:val="Normal (Web)"/>
    <w:basedOn w:val="1"/>
    <w:next w:val="17"/>
    <w:qFormat/>
    <w:uiPriority w:val="0"/>
    <w:pPr>
      <w:spacing w:before="100" w:beforeAutospacing="1" w:after="100" w:afterAutospacing="1"/>
      <w:jc w:val="left"/>
    </w:pPr>
    <w:rPr>
      <w:kern w:val="0"/>
      <w:sz w:val="24"/>
    </w:rPr>
  </w:style>
  <w:style w:type="paragraph" w:customStyle="1" w:styleId="17">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jc w:val="left"/>
    </w:pPr>
    <w:rPr>
      <w:rFonts w:ascii="宋体"/>
      <w:b/>
      <w:bCs/>
      <w:caps/>
      <w:sz w:val="20"/>
      <w:szCs w:val="20"/>
    </w:rPr>
  </w:style>
  <w:style w:type="paragraph" w:styleId="20">
    <w:name w:val="Body Text Indent 3"/>
    <w:basedOn w:val="1"/>
    <w:qFormat/>
    <w:uiPriority w:val="0"/>
    <w:pPr>
      <w:ind w:firstLine="630"/>
    </w:pPr>
    <w:rPr>
      <w:rFonts w:ascii="Times New Roman" w:hAnsi="Times New Roman" w:eastAsia="仿宋_GB2312"/>
      <w:sz w:val="28"/>
    </w:rPr>
  </w:style>
  <w:style w:type="paragraph" w:styleId="21">
    <w:name w:val="Body Text First Indent"/>
    <w:basedOn w:val="4"/>
    <w:next w:val="1"/>
    <w:qFormat/>
    <w:uiPriority w:val="0"/>
    <w:pPr>
      <w:spacing w:after="120"/>
      <w:ind w:firstLine="420" w:firstLineChars="100"/>
    </w:pPr>
  </w:style>
  <w:style w:type="paragraph" w:customStyle="1" w:styleId="24">
    <w:name w:val="正文2"/>
    <w:basedOn w:val="1"/>
    <w:qFormat/>
    <w:uiPriority w:val="0"/>
    <w:pPr>
      <w:spacing w:line="440" w:lineRule="atLeast"/>
      <w:ind w:firstLine="567"/>
    </w:pPr>
    <w:rPr>
      <w:sz w:val="24"/>
      <w:szCs w:val="20"/>
    </w:rPr>
  </w:style>
  <w:style w:type="paragraph" w:customStyle="1" w:styleId="25">
    <w:name w:val="样式 首行缩进:  2 字符"/>
    <w:basedOn w:val="1"/>
    <w:next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6"/>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3"/>
    <w:link w:val="14"/>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3"/>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3"/>
    <w:link w:val="12"/>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9</Pages>
  <Words>3618</Words>
  <Characters>4330</Characters>
  <Lines>8</Lines>
  <Paragraphs>2</Paragraphs>
  <TotalTime>0</TotalTime>
  <ScaleCrop>false</ScaleCrop>
  <LinksUpToDate>false</LinksUpToDate>
  <CharactersWithSpaces>4335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2026-06-12T01:59:14Z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BF701FB91A744B049CE4F80DAFD00276_13</vt:lpwstr>
  </property>
  <property fmtid="{D5CDD505-2E9C-101B-9397-08002B2CF9AE}" pid="4" name="KSOTemplateDocerSaveRecord">
    <vt:lpwstr>eyJoZGlkIjoiNDgzMjdiZTZhYWEwMDUyMzMwMzdhZWM2ZmNjMGMzMDkiLCJ1c2VySWQiOiI1NzcyNjAwMzgifQ==</vt:lpwstr>
  </property>
</Properties>
</file>