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34740">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33"/>
        <w:gridCol w:w="1013"/>
        <w:gridCol w:w="192"/>
        <w:gridCol w:w="4674"/>
        <w:gridCol w:w="2508"/>
      </w:tblGrid>
      <w:tr w14:paraId="7650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3" w:type="dxa"/>
            <w:tcBorders>
              <w:tl2br w:val="nil"/>
              <w:tr2bl w:val="nil"/>
            </w:tcBorders>
            <w:shd w:val="clear" w:color="auto" w:fill="FFFFFF"/>
            <w:vAlign w:val="center"/>
          </w:tcPr>
          <w:p w14:paraId="182FB0BF">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387" w:type="dxa"/>
            <w:gridSpan w:val="4"/>
            <w:tcBorders>
              <w:tl2br w:val="nil"/>
              <w:tr2bl w:val="nil"/>
            </w:tcBorders>
            <w:shd w:val="clear" w:color="auto" w:fill="FFFFFF"/>
            <w:vAlign w:val="center"/>
          </w:tcPr>
          <w:p w14:paraId="61A650FF">
            <w:pPr>
              <w:widowControl/>
              <w:spacing w:after="150"/>
              <w:jc w:val="center"/>
              <w:rPr>
                <w:rFonts w:ascii="宋体" w:hAnsi="宋体" w:cs="宋体"/>
                <w:sz w:val="24"/>
              </w:rPr>
            </w:pPr>
            <w:r>
              <w:rPr>
                <w:rFonts w:hint="eastAsia" w:ascii="宋体" w:hAnsi="宋体" w:eastAsia="宋体" w:cs="宋体"/>
                <w:kern w:val="0"/>
                <w:sz w:val="24"/>
                <w:shd w:val="clear" w:color="auto" w:fill="FFFFFF"/>
                <w:lang w:eastAsia="zh-CN"/>
              </w:rPr>
              <w:t>江西锐拓铜业有限公司铜压延加工工艺节能减碳改造项目安全验收评价报告</w:t>
            </w:r>
          </w:p>
        </w:tc>
      </w:tr>
      <w:tr w14:paraId="5426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3" w:type="dxa"/>
            <w:tcBorders>
              <w:tl2br w:val="nil"/>
              <w:tr2bl w:val="nil"/>
            </w:tcBorders>
            <w:shd w:val="clear" w:color="auto" w:fill="FFFFFF"/>
            <w:vAlign w:val="center"/>
          </w:tcPr>
          <w:p w14:paraId="232A0674">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387" w:type="dxa"/>
            <w:gridSpan w:val="4"/>
            <w:tcBorders>
              <w:tl2br w:val="nil"/>
              <w:tr2bl w:val="nil"/>
            </w:tcBorders>
            <w:shd w:val="clear" w:color="auto" w:fill="FFFFFF"/>
            <w:vAlign w:val="center"/>
          </w:tcPr>
          <w:p w14:paraId="0D6A2948">
            <w:pPr>
              <w:widowControl/>
              <w:spacing w:after="150"/>
              <w:jc w:val="center"/>
              <w:rPr>
                <w:rFonts w:hint="default" w:ascii="宋体" w:hAnsi="宋体" w:eastAsia="宋体" w:cs="宋体"/>
                <w:sz w:val="24"/>
                <w:lang w:val="en-US" w:eastAsia="zh-CN"/>
              </w:rPr>
            </w:pPr>
            <w:r>
              <w:rPr>
                <w:rFonts w:hint="eastAsia" w:ascii="宋体" w:hAnsi="宋体" w:cs="宋体"/>
                <w:sz w:val="24"/>
              </w:rPr>
              <w:t>202</w:t>
            </w:r>
            <w:r>
              <w:rPr>
                <w:rFonts w:hint="eastAsia" w:ascii="宋体" w:hAnsi="宋体" w:cs="宋体"/>
                <w:sz w:val="24"/>
                <w:lang w:val="en-US" w:eastAsia="zh-CN"/>
              </w:rPr>
              <w:t>6</w:t>
            </w:r>
            <w:r>
              <w:rPr>
                <w:rFonts w:hint="eastAsia" w:ascii="宋体" w:hAnsi="宋体" w:cs="宋体"/>
                <w:sz w:val="24"/>
              </w:rPr>
              <w:t>年</w:t>
            </w:r>
            <w:r>
              <w:rPr>
                <w:rFonts w:hint="eastAsia" w:ascii="宋体" w:hAnsi="宋体" w:cs="宋体"/>
                <w:sz w:val="24"/>
                <w:lang w:val="en-US" w:eastAsia="zh-CN"/>
              </w:rPr>
              <w:t>5</w:t>
            </w:r>
            <w:r>
              <w:rPr>
                <w:rFonts w:hint="eastAsia" w:ascii="宋体" w:hAnsi="宋体" w:cs="宋体"/>
                <w:sz w:val="24"/>
              </w:rPr>
              <w:t>月</w:t>
            </w:r>
          </w:p>
        </w:tc>
      </w:tr>
      <w:tr w14:paraId="2AD8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20" w:type="dxa"/>
            <w:gridSpan w:val="5"/>
            <w:tcBorders>
              <w:tl2br w:val="nil"/>
              <w:tr2bl w:val="nil"/>
            </w:tcBorders>
            <w:shd w:val="clear" w:color="auto" w:fill="FFFFFF"/>
            <w:vAlign w:val="center"/>
          </w:tcPr>
          <w:p w14:paraId="3EE647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316E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3" w:type="dxa"/>
            <w:tcBorders>
              <w:tl2br w:val="nil"/>
              <w:tr2bl w:val="nil"/>
            </w:tcBorders>
            <w:shd w:val="clear" w:color="auto" w:fill="FFFFFF"/>
            <w:vAlign w:val="center"/>
          </w:tcPr>
          <w:p w14:paraId="10B93473">
            <w:pPr>
              <w:jc w:val="center"/>
              <w:rPr>
                <w:rFonts w:ascii="宋体" w:hAnsi="宋体" w:cs="宋体"/>
                <w:sz w:val="24"/>
              </w:rPr>
            </w:pPr>
          </w:p>
        </w:tc>
        <w:tc>
          <w:tcPr>
            <w:tcW w:w="1013" w:type="dxa"/>
            <w:tcBorders>
              <w:tl2br w:val="nil"/>
              <w:tr2bl w:val="nil"/>
            </w:tcBorders>
            <w:shd w:val="clear" w:color="auto" w:fill="FFFFFF"/>
            <w:vAlign w:val="center"/>
          </w:tcPr>
          <w:p w14:paraId="476FDDF2">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66" w:type="dxa"/>
            <w:gridSpan w:val="2"/>
            <w:tcBorders>
              <w:tl2br w:val="nil"/>
              <w:tr2bl w:val="nil"/>
            </w:tcBorders>
            <w:shd w:val="clear" w:color="auto" w:fill="FFFFFF"/>
            <w:vAlign w:val="center"/>
          </w:tcPr>
          <w:p w14:paraId="41DE2DD7">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508" w:type="dxa"/>
            <w:tcBorders>
              <w:tl2br w:val="nil"/>
              <w:tr2bl w:val="nil"/>
            </w:tcBorders>
            <w:shd w:val="clear" w:color="auto" w:fill="FFFFFF"/>
            <w:vAlign w:val="center"/>
          </w:tcPr>
          <w:p w14:paraId="48A34EEA">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29A8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233" w:type="dxa"/>
            <w:tcBorders>
              <w:tl2br w:val="nil"/>
              <w:tr2bl w:val="nil"/>
            </w:tcBorders>
            <w:shd w:val="clear" w:color="auto" w:fill="FFFFFF"/>
            <w:vAlign w:val="center"/>
          </w:tcPr>
          <w:p w14:paraId="1FB23008">
            <w:pPr>
              <w:jc w:val="center"/>
              <w:rPr>
                <w:rFonts w:ascii="宋体" w:hAnsi="宋体" w:cs="宋体"/>
                <w:sz w:val="24"/>
              </w:rPr>
            </w:pPr>
            <w:r>
              <w:rPr>
                <w:rFonts w:hint="eastAsia" w:ascii="宋体" w:hAnsi="宋体" w:cs="宋体"/>
                <w:sz w:val="24"/>
              </w:rPr>
              <w:t>项目负责人</w:t>
            </w:r>
          </w:p>
        </w:tc>
        <w:tc>
          <w:tcPr>
            <w:tcW w:w="1013" w:type="dxa"/>
            <w:tcBorders>
              <w:tl2br w:val="nil"/>
              <w:tr2bl w:val="nil"/>
            </w:tcBorders>
            <w:shd w:val="clear" w:color="auto" w:fill="auto"/>
            <w:vAlign w:val="center"/>
          </w:tcPr>
          <w:p w14:paraId="56565DEB">
            <w:pPr>
              <w:spacing w:before="156" w:beforeLines="50" w:after="156" w:afterLines="50" w:line="400" w:lineRule="exact"/>
              <w:ind w:firstLine="0" w:firstLineChars="0"/>
              <w:jc w:val="center"/>
              <w:rPr>
                <w:rFonts w:hint="default" w:ascii="Calibri" w:hAnsi="Calibri" w:eastAsia="宋体" w:cs="Times New Roman"/>
                <w:kern w:val="2"/>
                <w:sz w:val="24"/>
                <w:szCs w:val="24"/>
                <w:lang w:val="en-US" w:eastAsia="zh-CN" w:bidi="ar-SA"/>
              </w:rPr>
            </w:pPr>
            <w:r>
              <w:rPr>
                <w:rFonts w:hint="eastAsia" w:ascii="Calibri" w:hAnsi="Calibri" w:cs="Times New Roman"/>
                <w:sz w:val="24"/>
                <w:szCs w:val="24"/>
                <w:lang w:val="en-US" w:eastAsia="zh-CN"/>
              </w:rPr>
              <w:t>谢雨飞</w:t>
            </w:r>
          </w:p>
        </w:tc>
        <w:tc>
          <w:tcPr>
            <w:tcW w:w="4866" w:type="dxa"/>
            <w:gridSpan w:val="2"/>
            <w:tcBorders>
              <w:tl2br w:val="nil"/>
              <w:tr2bl w:val="nil"/>
            </w:tcBorders>
            <w:shd w:val="clear" w:color="auto" w:fill="FFFFFF"/>
            <w:vAlign w:val="center"/>
          </w:tcPr>
          <w:p w14:paraId="74203271">
            <w:pPr>
              <w:spacing w:line="360" w:lineRule="exact"/>
              <w:jc w:val="center"/>
              <w:rPr>
                <w:rFonts w:hint="default" w:ascii="宋体" w:hAnsi="宋体" w:eastAsia="宋体" w:cs="宋体"/>
                <w:kern w:val="2"/>
                <w:sz w:val="24"/>
                <w:szCs w:val="24"/>
                <w:lang w:val="en-US" w:eastAsia="zh-CN" w:bidi="zh-TW"/>
              </w:rPr>
            </w:pPr>
            <w:r>
              <w:rPr>
                <w:rFonts w:ascii="宋体" w:hAnsi="宋体" w:cs="宋体"/>
                <w:sz w:val="24"/>
                <w:lang w:bidi="zh-TW"/>
              </w:rPr>
              <w:t>CAWS350000230200227</w:t>
            </w:r>
          </w:p>
        </w:tc>
        <w:tc>
          <w:tcPr>
            <w:tcW w:w="2508" w:type="dxa"/>
            <w:tcBorders>
              <w:tl2br w:val="nil"/>
              <w:tr2bl w:val="nil"/>
            </w:tcBorders>
            <w:shd w:val="clear" w:color="auto" w:fill="FFFFFF"/>
            <w:vAlign w:val="center"/>
          </w:tcPr>
          <w:p w14:paraId="3EA9A323">
            <w:pPr>
              <w:spacing w:line="360" w:lineRule="exact"/>
              <w:jc w:val="center"/>
              <w:rPr>
                <w:rFonts w:hint="default" w:ascii="宋体" w:hAnsi="宋体" w:eastAsia="宋体" w:cs="宋体"/>
                <w:kern w:val="2"/>
                <w:sz w:val="24"/>
                <w:szCs w:val="24"/>
                <w:lang w:val="en-US" w:eastAsia="zh-CN" w:bidi="zh-TW"/>
              </w:rPr>
            </w:pPr>
            <w:r>
              <w:rPr>
                <w:rFonts w:ascii="宋体" w:hAnsi="宋体" w:cs="宋体"/>
                <w:sz w:val="24"/>
                <w:lang w:bidi="zh-TW"/>
              </w:rPr>
              <w:t>043378</w:t>
            </w:r>
          </w:p>
        </w:tc>
      </w:tr>
      <w:tr w14:paraId="42A3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233" w:type="dxa"/>
            <w:vMerge w:val="restart"/>
            <w:tcBorders>
              <w:tl2br w:val="nil"/>
              <w:tr2bl w:val="nil"/>
            </w:tcBorders>
            <w:shd w:val="clear" w:color="auto" w:fill="FFFFFF"/>
            <w:vAlign w:val="center"/>
          </w:tcPr>
          <w:p w14:paraId="4A4D7CCA">
            <w:pPr>
              <w:jc w:val="center"/>
              <w:rPr>
                <w:rFonts w:ascii="宋体" w:hAnsi="宋体" w:cs="宋体"/>
                <w:sz w:val="24"/>
              </w:rPr>
            </w:pPr>
            <w:r>
              <w:rPr>
                <w:rFonts w:hint="eastAsia" w:ascii="宋体" w:hAnsi="宋体" w:cs="宋体"/>
                <w:sz w:val="24"/>
              </w:rPr>
              <w:t>项目组成员</w:t>
            </w:r>
          </w:p>
        </w:tc>
        <w:tc>
          <w:tcPr>
            <w:tcW w:w="1013" w:type="dxa"/>
            <w:tcBorders>
              <w:tl2br w:val="nil"/>
              <w:tr2bl w:val="nil"/>
            </w:tcBorders>
            <w:shd w:val="clear" w:color="auto" w:fill="auto"/>
            <w:vAlign w:val="center"/>
          </w:tcPr>
          <w:p w14:paraId="2D36C39E">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刘二平</w:t>
            </w:r>
          </w:p>
        </w:tc>
        <w:tc>
          <w:tcPr>
            <w:tcW w:w="4866" w:type="dxa"/>
            <w:gridSpan w:val="2"/>
            <w:tcBorders>
              <w:tl2br w:val="nil"/>
              <w:tr2bl w:val="nil"/>
            </w:tcBorders>
            <w:shd w:val="clear" w:color="auto" w:fill="auto"/>
            <w:vAlign w:val="center"/>
          </w:tcPr>
          <w:p w14:paraId="652AFC5A">
            <w:pPr>
              <w:spacing w:before="156" w:beforeLines="50" w:after="156" w:afterLines="50" w:line="400" w:lineRule="exact"/>
              <w:jc w:val="center"/>
              <w:rPr>
                <w:rFonts w:hint="default" w:ascii="宋体" w:hAnsi="宋体" w:eastAsia="宋体" w:cs="宋体"/>
                <w:kern w:val="2"/>
                <w:sz w:val="24"/>
                <w:szCs w:val="24"/>
                <w:lang w:val="en-US" w:eastAsia="zh-CN" w:bidi="ar-SA"/>
              </w:rPr>
            </w:pPr>
            <w:r>
              <w:rPr>
                <w:rFonts w:hint="eastAsia" w:ascii="宋体" w:hAnsi="宋体" w:cs="宋体"/>
                <w:sz w:val="24"/>
              </w:rPr>
              <w:t>03320241036000000887</w:t>
            </w:r>
          </w:p>
        </w:tc>
        <w:tc>
          <w:tcPr>
            <w:tcW w:w="2508" w:type="dxa"/>
            <w:tcBorders>
              <w:tl2br w:val="nil"/>
              <w:tr2bl w:val="nil"/>
            </w:tcBorders>
            <w:shd w:val="clear" w:color="auto" w:fill="auto"/>
            <w:vAlign w:val="center"/>
          </w:tcPr>
          <w:p w14:paraId="155B3950">
            <w:pPr>
              <w:spacing w:before="156" w:beforeLines="50" w:after="156" w:afterLines="50" w:line="400" w:lineRule="exact"/>
              <w:jc w:val="center"/>
              <w:rPr>
                <w:rFonts w:hint="default" w:ascii="宋体" w:hAnsi="宋体" w:eastAsia="宋体" w:cs="宋体"/>
                <w:kern w:val="2"/>
                <w:sz w:val="24"/>
                <w:szCs w:val="24"/>
                <w:lang w:val="en-US" w:eastAsia="zh-CN" w:bidi="ar-SA"/>
              </w:rPr>
            </w:pPr>
            <w:r>
              <w:rPr>
                <w:rFonts w:hint="eastAsia" w:ascii="宋体" w:hAnsi="宋体" w:cs="宋体"/>
                <w:sz w:val="24"/>
              </w:rPr>
              <w:t>37250438462</w:t>
            </w:r>
          </w:p>
        </w:tc>
      </w:tr>
      <w:tr w14:paraId="594F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3" w:type="dxa"/>
            <w:vMerge w:val="continue"/>
            <w:tcBorders>
              <w:tl2br w:val="nil"/>
              <w:tr2bl w:val="nil"/>
            </w:tcBorders>
            <w:shd w:val="clear" w:color="auto" w:fill="FFFFFF"/>
            <w:vAlign w:val="center"/>
          </w:tcPr>
          <w:p w14:paraId="1894849F">
            <w:pPr>
              <w:jc w:val="center"/>
              <w:rPr>
                <w:rFonts w:ascii="宋体" w:hAnsi="宋体" w:cs="宋体"/>
                <w:sz w:val="24"/>
              </w:rPr>
            </w:pPr>
          </w:p>
        </w:tc>
        <w:tc>
          <w:tcPr>
            <w:tcW w:w="1013" w:type="dxa"/>
            <w:tcBorders>
              <w:tl2br w:val="nil"/>
              <w:tr2bl w:val="nil"/>
            </w:tcBorders>
            <w:shd w:val="clear" w:color="auto" w:fill="auto"/>
            <w:vAlign w:val="center"/>
          </w:tcPr>
          <w:p w14:paraId="4A9331A7">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乔贯德</w:t>
            </w:r>
          </w:p>
        </w:tc>
        <w:tc>
          <w:tcPr>
            <w:tcW w:w="4866" w:type="dxa"/>
            <w:gridSpan w:val="2"/>
            <w:tcBorders>
              <w:tl2br w:val="nil"/>
              <w:tr2bl w:val="nil"/>
            </w:tcBorders>
            <w:shd w:val="clear" w:color="auto" w:fill="auto"/>
            <w:vAlign w:val="center"/>
          </w:tcPr>
          <w:p w14:paraId="3E4AF7D5">
            <w:pPr>
              <w:spacing w:before="156" w:beforeLines="50" w:after="156" w:afterLines="50" w:line="400" w:lineRule="exact"/>
              <w:jc w:val="center"/>
              <w:rPr>
                <w:rFonts w:hint="default" w:ascii="宋体" w:hAnsi="宋体" w:eastAsia="宋体" w:cs="宋体"/>
                <w:kern w:val="2"/>
                <w:sz w:val="24"/>
                <w:szCs w:val="24"/>
                <w:lang w:val="en-US" w:eastAsia="zh-CN" w:bidi="ar-SA"/>
              </w:rPr>
            </w:pPr>
            <w:r>
              <w:rPr>
                <w:rFonts w:hint="eastAsia" w:ascii="宋体" w:hAnsi="宋体" w:cs="宋体"/>
                <w:sz w:val="24"/>
              </w:rPr>
              <w:t>1700000000300087</w:t>
            </w:r>
          </w:p>
        </w:tc>
        <w:tc>
          <w:tcPr>
            <w:tcW w:w="2508" w:type="dxa"/>
            <w:tcBorders>
              <w:tl2br w:val="nil"/>
              <w:tr2bl w:val="nil"/>
            </w:tcBorders>
            <w:shd w:val="clear" w:color="auto" w:fill="auto"/>
            <w:vAlign w:val="center"/>
          </w:tcPr>
          <w:p w14:paraId="097E9CF2">
            <w:pPr>
              <w:spacing w:before="156" w:beforeLines="50" w:after="156" w:afterLines="50" w:line="400" w:lineRule="exact"/>
              <w:jc w:val="center"/>
              <w:rPr>
                <w:rFonts w:hint="default" w:ascii="宋体" w:hAnsi="宋体" w:eastAsia="宋体" w:cs="宋体"/>
                <w:kern w:val="2"/>
                <w:sz w:val="24"/>
                <w:szCs w:val="24"/>
                <w:lang w:val="en-US" w:eastAsia="zh-CN" w:bidi="ar-SA"/>
              </w:rPr>
            </w:pPr>
            <w:r>
              <w:rPr>
                <w:rFonts w:hint="eastAsia" w:ascii="宋体" w:hAnsi="宋体" w:cs="宋体"/>
                <w:sz w:val="24"/>
              </w:rPr>
              <w:t>030797</w:t>
            </w:r>
          </w:p>
        </w:tc>
      </w:tr>
      <w:tr w14:paraId="7518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3" w:type="dxa"/>
            <w:vMerge w:val="continue"/>
            <w:tcBorders>
              <w:tl2br w:val="nil"/>
              <w:tr2bl w:val="nil"/>
            </w:tcBorders>
            <w:shd w:val="clear" w:color="auto" w:fill="FFFFFF"/>
            <w:vAlign w:val="center"/>
          </w:tcPr>
          <w:p w14:paraId="218282FC">
            <w:pPr>
              <w:jc w:val="center"/>
              <w:rPr>
                <w:rFonts w:ascii="宋体" w:hAnsi="宋体" w:cs="宋体"/>
                <w:sz w:val="24"/>
              </w:rPr>
            </w:pPr>
          </w:p>
        </w:tc>
        <w:tc>
          <w:tcPr>
            <w:tcW w:w="1013" w:type="dxa"/>
            <w:tcBorders>
              <w:tl2br w:val="nil"/>
              <w:tr2bl w:val="nil"/>
            </w:tcBorders>
            <w:shd w:val="clear" w:color="auto" w:fill="auto"/>
            <w:vAlign w:val="center"/>
          </w:tcPr>
          <w:p w14:paraId="07C8D395">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张志辉</w:t>
            </w:r>
          </w:p>
        </w:tc>
        <w:tc>
          <w:tcPr>
            <w:tcW w:w="4866" w:type="dxa"/>
            <w:gridSpan w:val="2"/>
            <w:tcBorders>
              <w:tl2br w:val="nil"/>
              <w:tr2bl w:val="nil"/>
            </w:tcBorders>
            <w:shd w:val="clear" w:color="auto" w:fill="auto"/>
            <w:vAlign w:val="center"/>
          </w:tcPr>
          <w:p w14:paraId="1F79760F">
            <w:pPr>
              <w:spacing w:before="156" w:beforeLines="50" w:after="156" w:afterLines="50" w:line="400" w:lineRule="exact"/>
              <w:jc w:val="center"/>
              <w:rPr>
                <w:rFonts w:hint="default" w:ascii="宋体" w:hAnsi="宋体" w:eastAsia="宋体" w:cs="宋体"/>
                <w:kern w:val="2"/>
                <w:sz w:val="24"/>
                <w:szCs w:val="24"/>
                <w:lang w:val="en-US" w:eastAsia="zh-CN" w:bidi="ar-SA"/>
              </w:rPr>
            </w:pPr>
            <w:r>
              <w:rPr>
                <w:rFonts w:hint="eastAsia" w:ascii="宋体" w:hAnsi="宋体" w:cs="宋体"/>
                <w:sz w:val="24"/>
              </w:rPr>
              <w:t xml:space="preserve">20211004615000001171  </w:t>
            </w:r>
          </w:p>
        </w:tc>
        <w:tc>
          <w:tcPr>
            <w:tcW w:w="2508" w:type="dxa"/>
            <w:tcBorders>
              <w:tl2br w:val="nil"/>
              <w:tr2bl w:val="nil"/>
            </w:tcBorders>
            <w:shd w:val="clear" w:color="auto" w:fill="auto"/>
            <w:vAlign w:val="center"/>
          </w:tcPr>
          <w:p w14:paraId="05E42F8E">
            <w:pPr>
              <w:spacing w:before="156" w:beforeLines="50" w:after="156" w:afterLines="50" w:line="400" w:lineRule="exact"/>
              <w:jc w:val="center"/>
              <w:rPr>
                <w:rFonts w:hint="default" w:ascii="宋体" w:hAnsi="宋体" w:eastAsia="宋体" w:cs="宋体"/>
                <w:kern w:val="2"/>
                <w:sz w:val="24"/>
                <w:szCs w:val="24"/>
                <w:lang w:val="en-US" w:eastAsia="zh-CN" w:bidi="ar-SA"/>
              </w:rPr>
            </w:pPr>
            <w:r>
              <w:rPr>
                <w:rFonts w:hint="eastAsia" w:ascii="宋体" w:hAnsi="宋体" w:cs="宋体"/>
                <w:sz w:val="24"/>
              </w:rPr>
              <w:t>15220306682</w:t>
            </w:r>
          </w:p>
        </w:tc>
      </w:tr>
      <w:tr w14:paraId="2E47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3" w:type="dxa"/>
            <w:vMerge w:val="continue"/>
            <w:tcBorders>
              <w:tl2br w:val="nil"/>
              <w:tr2bl w:val="nil"/>
            </w:tcBorders>
            <w:shd w:val="clear" w:color="auto" w:fill="FFFFFF"/>
            <w:vAlign w:val="center"/>
          </w:tcPr>
          <w:p w14:paraId="1F732C06">
            <w:pPr>
              <w:jc w:val="center"/>
              <w:rPr>
                <w:rFonts w:ascii="宋体" w:hAnsi="宋体" w:cs="宋体"/>
                <w:sz w:val="24"/>
              </w:rPr>
            </w:pPr>
          </w:p>
        </w:tc>
        <w:tc>
          <w:tcPr>
            <w:tcW w:w="1013" w:type="dxa"/>
            <w:tcBorders>
              <w:tl2br w:val="nil"/>
              <w:tr2bl w:val="nil"/>
            </w:tcBorders>
            <w:shd w:val="clear" w:color="auto" w:fill="auto"/>
            <w:vAlign w:val="center"/>
          </w:tcPr>
          <w:p w14:paraId="54F4E8F4">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default" w:ascii="宋体" w:hAnsi="宋体" w:eastAsia="宋体" w:cs="宋体"/>
                <w:sz w:val="24"/>
                <w:szCs w:val="24"/>
                <w:lang w:val="en-US" w:eastAsia="zh-CN"/>
              </w:rPr>
              <w:t>赵云峰</w:t>
            </w:r>
          </w:p>
        </w:tc>
        <w:tc>
          <w:tcPr>
            <w:tcW w:w="4866" w:type="dxa"/>
            <w:gridSpan w:val="2"/>
            <w:tcBorders>
              <w:tl2br w:val="nil"/>
              <w:tr2bl w:val="nil"/>
            </w:tcBorders>
            <w:shd w:val="clear" w:color="auto" w:fill="auto"/>
            <w:vAlign w:val="center"/>
          </w:tcPr>
          <w:p w14:paraId="00C17882">
            <w:pPr>
              <w:spacing w:before="156" w:beforeLines="50" w:after="156" w:afterLines="50" w:line="4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 xml:space="preserve">1600000000200809 </w:t>
            </w:r>
          </w:p>
        </w:tc>
        <w:tc>
          <w:tcPr>
            <w:tcW w:w="2508" w:type="dxa"/>
            <w:tcBorders>
              <w:tl2br w:val="nil"/>
              <w:tr2bl w:val="nil"/>
            </w:tcBorders>
            <w:shd w:val="clear" w:color="auto" w:fill="auto"/>
            <w:vAlign w:val="center"/>
          </w:tcPr>
          <w:p w14:paraId="3D85FB31">
            <w:pPr>
              <w:spacing w:before="156" w:beforeLines="50" w:after="156" w:afterLines="50" w:line="400" w:lineRule="exact"/>
              <w:jc w:val="center"/>
              <w:rPr>
                <w:rFonts w:hint="default" w:ascii="宋体" w:hAnsi="宋体" w:eastAsia="宋体" w:cs="宋体"/>
                <w:kern w:val="2"/>
                <w:sz w:val="24"/>
                <w:szCs w:val="24"/>
                <w:lang w:val="en-US" w:eastAsia="zh-CN" w:bidi="ar-SA"/>
              </w:rPr>
            </w:pPr>
            <w:r>
              <w:rPr>
                <w:rFonts w:ascii="宋体" w:hAnsi="宋体" w:cs="宋体"/>
                <w:sz w:val="24"/>
              </w:rPr>
              <w:t>030095</w:t>
            </w:r>
          </w:p>
        </w:tc>
      </w:tr>
      <w:tr w14:paraId="31090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3" w:type="dxa"/>
            <w:vMerge w:val="continue"/>
            <w:tcBorders>
              <w:tl2br w:val="nil"/>
              <w:tr2bl w:val="nil"/>
            </w:tcBorders>
            <w:shd w:val="clear" w:color="auto" w:fill="FFFFFF"/>
            <w:vAlign w:val="center"/>
          </w:tcPr>
          <w:p w14:paraId="21AC23D0">
            <w:pPr>
              <w:jc w:val="center"/>
              <w:rPr>
                <w:rFonts w:ascii="宋体" w:hAnsi="宋体" w:cs="宋体"/>
                <w:sz w:val="24"/>
              </w:rPr>
            </w:pPr>
          </w:p>
        </w:tc>
        <w:tc>
          <w:tcPr>
            <w:tcW w:w="1013" w:type="dxa"/>
            <w:tcBorders>
              <w:tl2br w:val="nil"/>
              <w:tr2bl w:val="nil"/>
            </w:tcBorders>
            <w:shd w:val="clear" w:color="auto" w:fill="auto"/>
            <w:vAlign w:val="center"/>
          </w:tcPr>
          <w:p w14:paraId="4FE08C8F">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王静</w:t>
            </w:r>
          </w:p>
        </w:tc>
        <w:tc>
          <w:tcPr>
            <w:tcW w:w="4866" w:type="dxa"/>
            <w:gridSpan w:val="2"/>
            <w:tcBorders>
              <w:tl2br w:val="nil"/>
              <w:tr2bl w:val="nil"/>
            </w:tcBorders>
            <w:shd w:val="clear" w:color="auto" w:fill="auto"/>
            <w:vAlign w:val="center"/>
          </w:tcPr>
          <w:p w14:paraId="2F53413F">
            <w:pPr>
              <w:spacing w:before="156" w:beforeLines="50" w:after="156" w:afterLines="50" w:line="4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1800000000300838</w:t>
            </w:r>
          </w:p>
        </w:tc>
        <w:tc>
          <w:tcPr>
            <w:tcW w:w="2508" w:type="dxa"/>
            <w:tcBorders>
              <w:tl2br w:val="nil"/>
              <w:tr2bl w:val="nil"/>
            </w:tcBorders>
            <w:shd w:val="clear" w:color="auto" w:fill="auto"/>
            <w:vAlign w:val="center"/>
          </w:tcPr>
          <w:p w14:paraId="31B47B28">
            <w:pPr>
              <w:spacing w:before="156" w:beforeLines="50" w:after="156" w:afterLines="50" w:line="400" w:lineRule="exact"/>
              <w:jc w:val="center"/>
              <w:rPr>
                <w:rFonts w:hint="default" w:ascii="宋体" w:hAnsi="宋体" w:eastAsia="宋体" w:cs="宋体"/>
                <w:kern w:val="2"/>
                <w:sz w:val="24"/>
                <w:szCs w:val="24"/>
                <w:lang w:val="en-US" w:eastAsia="zh-CN" w:bidi="ar-SA"/>
              </w:rPr>
            </w:pPr>
            <w:r>
              <w:rPr>
                <w:rFonts w:hint="eastAsia" w:ascii="宋体" w:hAnsi="宋体" w:cs="宋体"/>
                <w:sz w:val="24"/>
              </w:rPr>
              <w:t>034276</w:t>
            </w:r>
          </w:p>
        </w:tc>
      </w:tr>
      <w:tr w14:paraId="1968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233" w:type="dxa"/>
            <w:tcBorders>
              <w:tl2br w:val="nil"/>
              <w:tr2bl w:val="nil"/>
            </w:tcBorders>
            <w:shd w:val="clear" w:color="auto" w:fill="FFFFFF"/>
            <w:vAlign w:val="center"/>
          </w:tcPr>
          <w:p w14:paraId="1393FDAF">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387" w:type="dxa"/>
            <w:gridSpan w:val="4"/>
            <w:tcBorders>
              <w:tl2br w:val="nil"/>
              <w:tr2bl w:val="nil"/>
            </w:tcBorders>
            <w:shd w:val="clear" w:color="auto" w:fill="FFFFFF"/>
            <w:vAlign w:val="center"/>
          </w:tcPr>
          <w:p w14:paraId="06BC571F">
            <w:pPr>
              <w:jc w:val="center"/>
              <w:rPr>
                <w:rFonts w:ascii="宋体" w:hAnsi="宋体" w:cs="宋体"/>
                <w:sz w:val="24"/>
              </w:rPr>
            </w:pPr>
            <w:r>
              <w:rPr>
                <w:rFonts w:hint="eastAsia" w:ascii="宋体" w:hAnsi="宋体" w:cs="宋体"/>
                <w:sz w:val="24"/>
              </w:rPr>
              <w:t>/</w:t>
            </w:r>
          </w:p>
        </w:tc>
      </w:tr>
      <w:tr w14:paraId="4F7E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9" w:hRule="atLeast"/>
          <w:jc w:val="center"/>
        </w:trPr>
        <w:tc>
          <w:tcPr>
            <w:tcW w:w="2438" w:type="dxa"/>
            <w:gridSpan w:val="3"/>
            <w:tcBorders>
              <w:tl2br w:val="nil"/>
              <w:tr2bl w:val="nil"/>
            </w:tcBorders>
            <w:shd w:val="clear" w:color="auto" w:fill="FFFFFF"/>
            <w:vAlign w:val="center"/>
          </w:tcPr>
          <w:p w14:paraId="29ED6B3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7182" w:type="dxa"/>
            <w:gridSpan w:val="2"/>
            <w:tcBorders>
              <w:tl2br w:val="nil"/>
              <w:tr2bl w:val="nil"/>
            </w:tcBorders>
            <w:shd w:val="clear" w:color="auto" w:fill="FFFFFF"/>
            <w:vAlign w:val="center"/>
          </w:tcPr>
          <w:p w14:paraId="0A9BD943">
            <w:pPr>
              <w:widowControl/>
              <w:spacing w:after="150"/>
              <w:jc w:val="center"/>
              <w:rPr>
                <w:rFonts w:hint="default" w:ascii="Times New Roman" w:hAnsi="Times New Roman" w:eastAsia="宋体"/>
                <w:sz w:val="24"/>
                <w:lang w:val="en-US" w:eastAsia="zh-CN"/>
              </w:rPr>
            </w:pPr>
            <w:r>
              <w:rPr>
                <w:rFonts w:hint="eastAsia" w:ascii="Calibri" w:hAnsi="Calibri" w:cs="Times New Roman"/>
                <w:sz w:val="24"/>
                <w:szCs w:val="24"/>
                <w:lang w:val="en-US" w:eastAsia="zh-CN"/>
              </w:rPr>
              <w:t>谢雨飞</w:t>
            </w:r>
            <w:r>
              <w:rPr>
                <w:rFonts w:hint="eastAsia" w:cs="Times New Roman"/>
                <w:sz w:val="24"/>
                <w:szCs w:val="24"/>
                <w:lang w:val="en-US" w:eastAsia="zh-CN"/>
              </w:rPr>
              <w:t>、</w:t>
            </w:r>
            <w:r>
              <w:rPr>
                <w:rFonts w:ascii="宋体" w:hAnsi="宋体" w:eastAsia="宋体" w:cs="宋体"/>
                <w:sz w:val="24"/>
                <w:szCs w:val="24"/>
              </w:rPr>
              <w:t>刘二平</w:t>
            </w:r>
            <w:r>
              <w:rPr>
                <w:rFonts w:hint="eastAsia"/>
                <w:sz w:val="24"/>
              </w:rPr>
              <w:t xml:space="preserve"> </w:t>
            </w:r>
            <w:r>
              <w:rPr>
                <w:rFonts w:hint="eastAsia"/>
                <w:sz w:val="24"/>
                <w:lang w:val="en-US" w:eastAsia="zh-CN"/>
              </w:rPr>
              <w:t>2025年11月05日</w:t>
            </w:r>
          </w:p>
        </w:tc>
      </w:tr>
      <w:tr w14:paraId="0A65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2" w:hRule="atLeast"/>
          <w:jc w:val="center"/>
        </w:trPr>
        <w:tc>
          <w:tcPr>
            <w:tcW w:w="2438" w:type="dxa"/>
            <w:gridSpan w:val="3"/>
            <w:tcBorders>
              <w:tl2br w:val="nil"/>
              <w:tr2bl w:val="nil"/>
            </w:tcBorders>
            <w:shd w:val="clear" w:color="auto" w:fill="FFFFFF"/>
            <w:vAlign w:val="center"/>
          </w:tcPr>
          <w:p w14:paraId="716803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7182" w:type="dxa"/>
            <w:gridSpan w:val="2"/>
            <w:tcBorders>
              <w:tl2br w:val="nil"/>
              <w:tr2bl w:val="nil"/>
            </w:tcBorders>
            <w:shd w:val="clear" w:color="auto" w:fill="FFFFFF"/>
            <w:vAlign w:val="center"/>
          </w:tcPr>
          <w:p w14:paraId="0C6652F1">
            <w:pPr>
              <w:widowControl/>
              <w:spacing w:after="150"/>
              <w:jc w:val="center"/>
              <w:rPr>
                <w:rFonts w:hint="default" w:ascii="Times New Roman" w:hAnsi="Times New Roman" w:eastAsia="宋体"/>
                <w:color w:val="FF0000"/>
                <w:sz w:val="24"/>
                <w:lang w:val="en-US" w:eastAsia="zh-CN"/>
              </w:rPr>
            </w:pPr>
            <w:r>
              <w:rPr>
                <w:rFonts w:hint="eastAsia" w:ascii="Calibri" w:hAnsi="Calibri" w:cs="Times New Roman"/>
                <w:sz w:val="24"/>
                <w:szCs w:val="24"/>
                <w:lang w:val="en-US" w:eastAsia="zh-CN"/>
              </w:rPr>
              <w:t>谢雨飞</w:t>
            </w:r>
            <w:r>
              <w:rPr>
                <w:rFonts w:hint="eastAsia" w:cs="Times New Roman"/>
                <w:sz w:val="24"/>
                <w:szCs w:val="24"/>
                <w:lang w:val="en-US" w:eastAsia="zh-CN"/>
              </w:rPr>
              <w:t>、</w:t>
            </w:r>
            <w:r>
              <w:rPr>
                <w:rFonts w:ascii="宋体" w:hAnsi="宋体" w:eastAsia="宋体" w:cs="宋体"/>
                <w:sz w:val="24"/>
                <w:szCs w:val="24"/>
              </w:rPr>
              <w:t>刘二平</w:t>
            </w:r>
            <w:r>
              <w:rPr>
                <w:rFonts w:hint="eastAsia"/>
                <w:sz w:val="24"/>
              </w:rPr>
              <w:t xml:space="preserve"> </w:t>
            </w:r>
            <w:r>
              <w:rPr>
                <w:rFonts w:hint="eastAsia"/>
                <w:sz w:val="24"/>
                <w:lang w:val="en-US" w:eastAsia="zh-CN"/>
              </w:rPr>
              <w:t>2025年11月12日</w:t>
            </w:r>
          </w:p>
        </w:tc>
      </w:tr>
      <w:tr w14:paraId="7F3E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33" w:type="dxa"/>
            <w:tcBorders>
              <w:tl2br w:val="nil"/>
              <w:tr2bl w:val="nil"/>
            </w:tcBorders>
            <w:shd w:val="clear" w:color="auto" w:fill="FFFFFF"/>
            <w:vAlign w:val="center"/>
          </w:tcPr>
          <w:p w14:paraId="79FDD196">
            <w:pPr>
              <w:widowControl/>
              <w:spacing w:after="150"/>
              <w:jc w:val="center"/>
              <w:rPr>
                <w:rFonts w:ascii="宋体" w:hAnsi="宋体" w:cs="宋体"/>
                <w:sz w:val="24"/>
              </w:rPr>
            </w:pPr>
            <w:r>
              <w:rPr>
                <w:rFonts w:hint="eastAsia" w:ascii="宋体" w:hAnsi="宋体" w:cs="宋体"/>
                <w:color w:val="FF0000"/>
                <w:kern w:val="0"/>
                <w:sz w:val="24"/>
                <w:shd w:val="clear" w:color="auto" w:fill="FFFFFF"/>
              </w:rPr>
              <w:t>项目简介</w:t>
            </w:r>
          </w:p>
        </w:tc>
        <w:tc>
          <w:tcPr>
            <w:tcW w:w="8387" w:type="dxa"/>
            <w:gridSpan w:val="4"/>
            <w:tcBorders>
              <w:tl2br w:val="nil"/>
              <w:tr2bl w:val="nil"/>
            </w:tcBorders>
            <w:shd w:val="clear" w:color="auto" w:fill="FFFFFF"/>
          </w:tcPr>
          <w:p w14:paraId="5F8AA606">
            <w:pPr>
              <w:pStyle w:val="8"/>
              <w:ind w:firstLine="480" w:firstLineChars="200"/>
              <w:rPr>
                <w:rFonts w:hint="eastAsia"/>
                <w:sz w:val="24"/>
                <w:szCs w:val="24"/>
                <w:lang w:val="en-US" w:eastAsia="zh-CN"/>
              </w:rPr>
            </w:pPr>
            <w:r>
              <w:rPr>
                <w:rFonts w:hint="eastAsia"/>
                <w:sz w:val="24"/>
                <w:szCs w:val="24"/>
                <w:lang w:val="en-US" w:eastAsia="zh-CN"/>
              </w:rPr>
              <w:t>江西锐拓铜业有限公司是一家从事有色金属合金制造,有色金属压延加工,有色金属合金销售等业务的公司，成立于2018年10月11日，公司详细地址为：江西省上饶市广信区循环经济产业园。企业的经营范围为:一般项目：有色金属合金制造，有色金属压延加工，有色金属合金销售，金属材料制造，高性能有色金属及合金材料销售，塑料加工专用设备制造，塑料制品销售，塑料制品制造，建筑防水卷材产品制造，再生资源回收（除生产性废旧金属），再生资源销售，再生资源加工，金属切削加工服务，非金属废料和碎屑加工处理，道路货物运输站经营，普通货物仓储服务（不含危险化学品等需许可审批的项目），技术进出口，货物进出口，煤炭及制品销售，金属制品研发，金属制品销售，金属制品修理，金属废料和碎屑加工处理，生产性废旧金属回收，锻件及粉末冶金制品制造，锻件及粉末冶金制品销售（除依法须经批准的项目外，凭营业执照依法自主开展经营活动）。</w:t>
            </w:r>
          </w:p>
          <w:p w14:paraId="45549F87">
            <w:pPr>
              <w:pStyle w:val="8"/>
              <w:ind w:firstLine="480" w:firstLineChars="200"/>
              <w:rPr>
                <w:rFonts w:hint="eastAsia"/>
                <w:sz w:val="24"/>
                <w:szCs w:val="24"/>
                <w:lang w:val="en-US" w:eastAsia="zh-CN"/>
              </w:rPr>
            </w:pPr>
            <w:r>
              <w:rPr>
                <w:rFonts w:hint="eastAsia"/>
                <w:sz w:val="24"/>
                <w:szCs w:val="24"/>
                <w:lang w:val="en-US" w:eastAsia="zh-CN"/>
              </w:rPr>
              <w:t>2025年4月，因建设单位产业布局调整。产品方案及规模：技改后年产4万吨铜杆生产线。</w:t>
            </w:r>
          </w:p>
          <w:p w14:paraId="06052D70">
            <w:pPr>
              <w:ind w:firstLine="480" w:firstLineChars="200"/>
              <w:rPr>
                <w:rFonts w:hint="eastAsia" w:eastAsia="宋体"/>
                <w:lang w:val="en-US" w:eastAsia="zh-CN"/>
              </w:rPr>
            </w:pPr>
            <w:r>
              <w:rPr>
                <w:rFonts w:hint="eastAsia" w:ascii="Calibri" w:hAnsi="Calibri" w:eastAsia="宋体" w:cs="Times New Roman"/>
                <w:kern w:val="2"/>
                <w:sz w:val="24"/>
                <w:szCs w:val="24"/>
                <w:lang w:val="en-US" w:eastAsia="zh-CN" w:bidi="ar-SA"/>
              </w:rPr>
              <w:t>目前，江西锐拓铜业有限公司铜压延加工工艺节能减碳改造项目已完成项目建设。根据《建设项目安全设施“三同时”监督管理办法》要求，江西锐拓铜业有限公司委托山东新安达工程咨询有限公司对其铜压延加工工艺节能减碳改造项目进行安全验收。我公司根据《安全评价通则》《安全验收评价导则》及《金属冶炼建设项目安全设施验收评价报告编写提纲》编制完成了《江西锐拓铜业有限公司铜压延加工工艺节能减碳改造项目安全设施验收评价报告》。以作为该建设项目申请安全设施“三同时”验收的技术依据。</w:t>
            </w:r>
          </w:p>
        </w:tc>
      </w:tr>
      <w:tr w14:paraId="7E28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33" w:type="dxa"/>
            <w:tcBorders>
              <w:tl2br w:val="nil"/>
              <w:tr2bl w:val="nil"/>
            </w:tcBorders>
            <w:shd w:val="clear" w:color="auto" w:fill="FFFFFF"/>
            <w:vAlign w:val="center"/>
          </w:tcPr>
          <w:p w14:paraId="20115CC1">
            <w:pPr>
              <w:widowControl/>
              <w:spacing w:after="150"/>
              <w:jc w:val="center"/>
            </w:pPr>
            <w:r>
              <w:rPr>
                <w:rFonts w:hint="eastAsia"/>
                <w:color w:val="FF0000"/>
                <w:sz w:val="24"/>
              </w:rPr>
              <w:t>工艺流程</w:t>
            </w:r>
          </w:p>
        </w:tc>
        <w:tc>
          <w:tcPr>
            <w:tcW w:w="8387" w:type="dxa"/>
            <w:gridSpan w:val="4"/>
            <w:tcBorders>
              <w:tl2br w:val="nil"/>
              <w:tr2bl w:val="nil"/>
            </w:tcBorders>
            <w:shd w:val="clear" w:color="auto" w:fill="FFFFFF"/>
          </w:tcPr>
          <w:p w14:paraId="1D9B03DA">
            <w:pPr>
              <w:pStyle w:val="53"/>
              <w:spacing w:before="156" w:after="156"/>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 xml:space="preserve">.5 </w:t>
            </w:r>
            <w:r>
              <w:rPr>
                <w:rFonts w:hint="eastAsia"/>
                <w:color w:val="000000" w:themeColor="text1"/>
                <w:sz w:val="24"/>
                <w:szCs w:val="24"/>
                <w14:textFill>
                  <w14:solidFill>
                    <w14:schemeClr w14:val="tx1"/>
                  </w14:solidFill>
                </w14:textFill>
              </w:rPr>
              <w:t>项目工艺流程</w:t>
            </w:r>
          </w:p>
          <w:p w14:paraId="012044B8">
            <w:pPr>
              <w:spacing w:line="540" w:lineRule="exact"/>
              <w:ind w:firstLine="480" w:firstLineChars="200"/>
              <w:rPr>
                <w:color w:val="000000" w:themeColor="text1"/>
                <w:sz w:val="24"/>
                <w:szCs w:val="24"/>
                <w14:textFill>
                  <w14:solidFill>
                    <w14:schemeClr w14:val="tx1"/>
                  </w14:solidFill>
                </w14:textFill>
              </w:rPr>
            </w:pPr>
            <w:bookmarkStart w:id="0" w:name="_Hlk46151501"/>
            <w:bookmarkStart w:id="1" w:name="_Hlk152662164"/>
            <w:r>
              <w:rPr>
                <w:color w:val="000000" w:themeColor="text1"/>
                <w:sz w:val="24"/>
                <w:szCs w:val="24"/>
                <w14:textFill>
                  <w14:solidFill>
                    <w14:schemeClr w14:val="tx1"/>
                  </w14:solidFill>
                </w14:textFill>
              </w:rPr>
              <w:t>（1）主要技术方案</w:t>
            </w:r>
          </w:p>
          <w:p w14:paraId="135D2F55">
            <w:pPr>
              <w:spacing w:line="54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主要原辅材料</w:t>
            </w:r>
            <w:r>
              <w:rPr>
                <w:rFonts w:hint="eastAsia"/>
                <w:color w:val="000000" w:themeColor="text1"/>
                <w:sz w:val="24"/>
                <w:szCs w:val="24"/>
                <w14:textFill>
                  <w14:solidFill>
                    <w14:schemeClr w14:val="tx1"/>
                  </w14:solidFill>
                </w14:textFill>
              </w:rPr>
              <w:t>为T2废铜、电解铜、光亮铜、木炭、石墨磷片以及叉车和柴油发电机使用的柴油等</w:t>
            </w:r>
            <w:r>
              <w:rPr>
                <w:color w:val="000000" w:themeColor="text1"/>
                <w:sz w:val="24"/>
                <w:szCs w:val="24"/>
                <w14:textFill>
                  <w14:solidFill>
                    <w14:schemeClr w14:val="tx1"/>
                  </w14:solidFill>
                </w14:textFill>
              </w:rPr>
              <w:t>，产品为铜杆。</w:t>
            </w:r>
          </w:p>
          <w:p w14:paraId="7D8067B7">
            <w:pPr>
              <w:spacing w:line="54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铜杆通过上引炉熔炼</w:t>
            </w:r>
            <w:r>
              <w:rPr>
                <w:rFonts w:hint="eastAsia"/>
                <w:color w:val="000000" w:themeColor="text1"/>
                <w:sz w:val="24"/>
                <w:szCs w:val="24"/>
                <w14:textFill>
                  <w14:solidFill>
                    <w14:schemeClr w14:val="tx1"/>
                  </w14:solidFill>
                </w14:textFill>
              </w:rPr>
              <w:t>，经过结晶器、卷线机得到铜杆产品</w:t>
            </w:r>
            <w:r>
              <w:rPr>
                <w:color w:val="000000" w:themeColor="text1"/>
                <w:sz w:val="24"/>
                <w:szCs w:val="24"/>
                <w14:textFill>
                  <w14:solidFill>
                    <w14:schemeClr w14:val="tx1"/>
                  </w14:solidFill>
                </w14:textFill>
              </w:rPr>
              <w:t>。</w:t>
            </w:r>
          </w:p>
          <w:p w14:paraId="15E2F15A">
            <w:pPr>
              <w:spacing w:line="54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（2）生产工艺流程</w:t>
            </w:r>
          </w:p>
          <w:p w14:paraId="7A00A6B7">
            <w:pPr>
              <w:spacing w:line="54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1）原材料配料</w:t>
            </w:r>
          </w:p>
          <w:p w14:paraId="498FADDD">
            <w:pPr>
              <w:spacing w:line="54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原料的预处理通常包括挑选分类、解体、打包压块。</w:t>
            </w:r>
          </w:p>
          <w:p w14:paraId="31F61971">
            <w:pPr>
              <w:spacing w:line="54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2）熔化</w:t>
            </w:r>
          </w:p>
          <w:p w14:paraId="32DEB256">
            <w:pPr>
              <w:spacing w:line="540" w:lineRule="exact"/>
              <w:ind w:firstLine="480" w:firstLineChars="200"/>
              <w:rPr>
                <w:rFonts w:ascii="宋体" w:hAnsi="宋体"/>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采用上引炉对原料进行熔化（中频炉加热方式为电加热，炉体采用循环水冷却，缺少冷却水，可能炉体破裂，导致熔融金属泄漏），熔化温度为1180℃左右，熔化过程中产生熔化烟气。炉渣采用人工分选后，大块铜块回用于生产工艺，其他作为危险废物处理</w:t>
            </w:r>
            <w:r>
              <w:rPr>
                <w:rFonts w:hint="eastAsia" w:ascii="宋体" w:hAnsi="宋体"/>
                <w:color w:val="000000" w:themeColor="text1"/>
                <w:sz w:val="24"/>
                <w:szCs w:val="24"/>
                <w14:textFill>
                  <w14:solidFill>
                    <w14:schemeClr w14:val="tx1"/>
                  </w14:solidFill>
                </w14:textFill>
              </w:rPr>
              <w:t>。</w:t>
            </w:r>
          </w:p>
          <w:p w14:paraId="5A1CAF07">
            <w:pPr>
              <w:spacing w:line="54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3）牵引</w:t>
            </w:r>
          </w:p>
          <w:p w14:paraId="292C3039">
            <w:pPr>
              <w:spacing w:line="54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感应炉出铜口处设结晶器，通过冷却水间接冷却（冷却结晶用冷却水：在生产厂房外东部设置冷却水池，有效容积约为288m³；设置1座冷却水塔，水处理流量为300m³/h；水池旁设置2台冷却水泵，同时在循环水池上方设有一个</w:t>
            </w:r>
            <w:r>
              <w:rPr>
                <w:rFonts w:hint="eastAsia"/>
                <w:snapToGrid w:val="0"/>
                <w:color w:val="000000" w:themeColor="text1"/>
                <w:sz w:val="24"/>
                <w:szCs w:val="24"/>
                <w14:textFill>
                  <w14:solidFill>
                    <w14:schemeClr w14:val="tx1"/>
                  </w14:solidFill>
                </w14:textFill>
              </w:rPr>
              <w:t>30m³的高位水箱以备紧急情况下使用</w:t>
            </w:r>
            <w:r>
              <w:rPr>
                <w:rFonts w:hint="eastAsia" w:ascii="宋体" w:hAnsi="宋体"/>
                <w:color w:val="000000" w:themeColor="text1"/>
                <w:sz w:val="24"/>
                <w:szCs w:val="24"/>
                <w14:textFill>
                  <w14:solidFill>
                    <w14:schemeClr w14:val="tx1"/>
                  </w14:solidFill>
                </w14:textFill>
              </w:rPr>
              <w:t>；冷却结晶器的冷却水系统设置出水温度、压力、进水流量的监测报警装置，进水温度不大于35℃，出水温度不大于55℃；单台上引炉结晶器冷却水循环水流量约为50m³/d；水压为0.2~0.3MPa），得到铜杆，牵引机牵引，绕卷，得到粗铜杆。</w:t>
            </w:r>
          </w:p>
          <w:p w14:paraId="7F280D21">
            <w:pPr>
              <w:spacing w:line="54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4）打包外售</w:t>
            </w:r>
          </w:p>
          <w:p w14:paraId="1C81967D">
            <w:pPr>
              <w:spacing w:line="54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铜杆冷却后，经过打包机打包，暂存在成品暂存区，等待外售。</w:t>
            </w:r>
          </w:p>
          <w:p w14:paraId="6C4A889F">
            <w:pP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114300" distR="114300">
                  <wp:extent cx="4959350" cy="2883535"/>
                  <wp:effectExtent l="0" t="0" r="12700" b="1206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4"/>
                          <a:stretch>
                            <a:fillRect/>
                          </a:stretch>
                        </pic:blipFill>
                        <pic:spPr>
                          <a:xfrm>
                            <a:off x="0" y="0"/>
                            <a:ext cx="4959350" cy="2883535"/>
                          </a:xfrm>
                          <a:prstGeom prst="rect">
                            <a:avLst/>
                          </a:prstGeom>
                          <a:noFill/>
                          <a:ln>
                            <a:noFill/>
                          </a:ln>
                        </pic:spPr>
                      </pic:pic>
                    </a:graphicData>
                  </a:graphic>
                </wp:inline>
              </w:drawing>
            </w:r>
          </w:p>
          <w:p w14:paraId="01FDD26B">
            <w:pPr>
              <w:spacing w:line="240" w:lineRule="atLeast"/>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图2.2.5-1上引连铸生产线示意图</w:t>
            </w:r>
          </w:p>
          <w:p w14:paraId="7818F594">
            <w:pPr>
              <w:tabs>
                <w:tab w:val="left" w:pos="0"/>
              </w:tabs>
              <w:adjustRightInd w:val="0"/>
              <w:snapToGrid w:val="0"/>
              <w:jc w:val="both"/>
              <w:rPr>
                <w:rFonts w:hint="eastAsia" w:eastAsia="宋体"/>
                <w:b/>
                <w:bCs/>
                <w:color w:val="000000" w:themeColor="text1"/>
                <w:sz w:val="24"/>
                <w:szCs w:val="24"/>
                <w:lang w:val="en-US" w:eastAsia="zh-CN"/>
                <w14:textFill>
                  <w14:solidFill>
                    <w14:schemeClr w14:val="tx1"/>
                  </w14:solidFill>
                </w14:textFill>
              </w:rPr>
            </w:pPr>
          </w:p>
          <w:p w14:paraId="433E47C6">
            <w:pPr>
              <w:tabs>
                <w:tab w:val="left" w:pos="0"/>
              </w:tabs>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drawing>
                <wp:inline distT="0" distB="0" distL="114300" distR="114300">
                  <wp:extent cx="1555115" cy="3705225"/>
                  <wp:effectExtent l="0" t="0" r="6985" b="9525"/>
                  <wp:docPr id="16" name="图片 4" descr="45a2946696d903a49e53d7d4cda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45a2946696d903a49e53d7d4cda0655"/>
                          <pic:cNvPicPr>
                            <a:picLocks noChangeAspect="1"/>
                          </pic:cNvPicPr>
                        </pic:nvPicPr>
                        <pic:blipFill>
                          <a:blip r:embed="rId5"/>
                          <a:stretch>
                            <a:fillRect/>
                          </a:stretch>
                        </pic:blipFill>
                        <pic:spPr>
                          <a:xfrm>
                            <a:off x="0" y="0"/>
                            <a:ext cx="1555115" cy="3705225"/>
                          </a:xfrm>
                          <a:prstGeom prst="rect">
                            <a:avLst/>
                          </a:prstGeom>
                          <a:noFill/>
                          <a:ln>
                            <a:noFill/>
                          </a:ln>
                        </pic:spPr>
                      </pic:pic>
                    </a:graphicData>
                  </a:graphic>
                </wp:inline>
              </w:drawing>
            </w:r>
          </w:p>
          <w:p w14:paraId="0FAF18E0">
            <w:pPr>
              <w:tabs>
                <w:tab w:val="left" w:pos="0"/>
              </w:tabs>
              <w:adjustRightInd w:val="0"/>
              <w:snapToGrid w:val="0"/>
              <w:jc w:val="center"/>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图2</w:t>
            </w:r>
            <w:r>
              <w:rPr>
                <w:rFonts w:hint="eastAsia"/>
                <w:b/>
                <w:bCs/>
                <w:color w:val="000000" w:themeColor="text1"/>
                <w:sz w:val="24"/>
                <w:szCs w:val="24"/>
                <w14:textFill>
                  <w14:solidFill>
                    <w14:schemeClr w14:val="tx1"/>
                  </w14:solidFill>
                </w14:textFill>
              </w:rPr>
              <w:t>.2-5-2</w:t>
            </w:r>
            <w:r>
              <w:rPr>
                <w:b/>
                <w:bCs/>
                <w:color w:val="000000" w:themeColor="text1"/>
                <w:sz w:val="24"/>
                <w:szCs w:val="24"/>
                <w14:textFill>
                  <w14:solidFill>
                    <w14:schemeClr w14:val="tx1"/>
                  </w14:solidFill>
                </w14:textFill>
              </w:rPr>
              <w:t>铜杆生产工艺流程图</w:t>
            </w:r>
          </w:p>
          <w:bookmarkEnd w:id="0"/>
          <w:bookmarkEnd w:id="1"/>
          <w:p w14:paraId="0240F373">
            <w:pPr>
              <w:bidi w:val="0"/>
              <w:jc w:val="left"/>
              <w:rPr>
                <w:rFonts w:hint="eastAsia"/>
                <w:b/>
                <w:bCs/>
                <w:szCs w:val="28"/>
                <w:lang w:val="en-US" w:eastAsia="zh-CN"/>
              </w:rPr>
            </w:pPr>
          </w:p>
        </w:tc>
      </w:tr>
      <w:tr w14:paraId="1BF1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33" w:type="dxa"/>
            <w:tcBorders>
              <w:tl2br w:val="nil"/>
              <w:tr2bl w:val="nil"/>
            </w:tcBorders>
            <w:shd w:val="clear" w:color="auto" w:fill="FFFFFF"/>
            <w:vAlign w:val="center"/>
          </w:tcPr>
          <w:p w14:paraId="3409B03F">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387" w:type="dxa"/>
            <w:gridSpan w:val="4"/>
            <w:tcBorders>
              <w:tl2br w:val="nil"/>
              <w:tr2bl w:val="nil"/>
            </w:tcBorders>
            <w:shd w:val="clear" w:color="auto" w:fill="FFFFFF"/>
            <w:vAlign w:val="center"/>
          </w:tcPr>
          <w:p w14:paraId="7EFBC9DB">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D345BA6">
      <w:pPr>
        <w:rPr>
          <w:rFonts w:hint="eastAsia" w:eastAsia="宋体"/>
          <w:lang w:eastAsia="zh-CN"/>
        </w:rPr>
      </w:pPr>
      <w:r>
        <w:br w:type="page"/>
      </w:r>
    </w:p>
    <w:p w14:paraId="43C137D6">
      <w:pPr>
        <w:rPr>
          <w:rFonts w:hint="eastAsia" w:eastAsia="宋体"/>
          <w:lang w:eastAsia="zh-CN"/>
        </w:rPr>
        <w:sectPr>
          <w:pgSz w:w="11906" w:h="16838"/>
          <w:pgMar w:top="1440" w:right="1800" w:bottom="1440" w:left="1800" w:header="851" w:footer="992" w:gutter="0"/>
          <w:cols w:space="720" w:num="1"/>
          <w:docGrid w:type="lines" w:linePitch="312" w:charSpace="0"/>
        </w:sectPr>
      </w:pPr>
    </w:p>
    <w:p w14:paraId="2A9DFABB"/>
    <w:p w14:paraId="15BAEE2D">
      <w:pPr>
        <w:pStyle w:val="8"/>
        <w:rPr>
          <w:rFonts w:hint="eastAsia" w:eastAsia="宋体"/>
          <w:lang w:eastAsia="zh-CN"/>
        </w:rPr>
      </w:pPr>
    </w:p>
    <w:p w14:paraId="28AB43C3">
      <w:pPr>
        <w:rPr>
          <w:rFonts w:hint="eastAsia" w:eastAsia="宋体"/>
          <w:lang w:eastAsia="zh-CN"/>
        </w:rPr>
      </w:pPr>
    </w:p>
    <w:p w14:paraId="48AFF16E">
      <w:r>
        <w:drawing>
          <wp:inline distT="0" distB="0" distL="114300" distR="114300">
            <wp:extent cx="5268595" cy="3950335"/>
            <wp:effectExtent l="0" t="0" r="8255" b="12065"/>
            <wp:docPr id="13" name="图片 13" descr="ba4dec83d7f6ec4dd49861e1ff7b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a4dec83d7f6ec4dd49861e1ff7bd51"/>
                    <pic:cNvPicPr>
                      <a:picLocks noChangeAspect="1"/>
                    </pic:cNvPicPr>
                  </pic:nvPicPr>
                  <pic:blipFill>
                    <a:blip r:embed="rId6"/>
                    <a:stretch>
                      <a:fillRect/>
                    </a:stretch>
                  </pic:blipFill>
                  <pic:spPr>
                    <a:xfrm>
                      <a:off x="0" y="0"/>
                      <a:ext cx="5268595" cy="3950335"/>
                    </a:xfrm>
                    <a:prstGeom prst="rect">
                      <a:avLst/>
                    </a:prstGeom>
                  </pic:spPr>
                </pic:pic>
              </a:graphicData>
            </a:graphic>
          </wp:inline>
        </w:drawing>
      </w:r>
      <w:r>
        <w:drawing>
          <wp:inline distT="0" distB="0" distL="114300" distR="114300">
            <wp:extent cx="5268595" cy="3950335"/>
            <wp:effectExtent l="0" t="0" r="8255" b="12065"/>
            <wp:docPr id="14" name="图片 14" descr="54684de8cc0b8b2d4a4b45b9183a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4684de8cc0b8b2d4a4b45b9183a816"/>
                    <pic:cNvPicPr>
                      <a:picLocks noChangeAspect="1"/>
                    </pic:cNvPicPr>
                  </pic:nvPicPr>
                  <pic:blipFill>
                    <a:blip r:embed="rId7"/>
                    <a:stretch>
                      <a:fillRect/>
                    </a:stretch>
                  </pic:blipFill>
                  <pic:spPr>
                    <a:xfrm>
                      <a:off x="0" y="0"/>
                      <a:ext cx="5268595" cy="3950335"/>
                    </a:xfrm>
                    <a:prstGeom prst="rect">
                      <a:avLst/>
                    </a:prstGeom>
                  </pic:spPr>
                </pic:pic>
              </a:graphicData>
            </a:graphic>
          </wp:inline>
        </w:drawing>
      </w:r>
      <w:r>
        <w:br w:type="page"/>
      </w:r>
      <w:r>
        <w:drawing>
          <wp:inline distT="0" distB="0" distL="114300" distR="114300">
            <wp:extent cx="5048250" cy="7115175"/>
            <wp:effectExtent l="0" t="0" r="0"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8"/>
                    <a:stretch>
                      <a:fillRect/>
                    </a:stretch>
                  </pic:blipFill>
                  <pic:spPr>
                    <a:xfrm>
                      <a:off x="0" y="0"/>
                      <a:ext cx="5048250" cy="7115175"/>
                    </a:xfrm>
                    <a:prstGeom prst="rect">
                      <a:avLst/>
                    </a:prstGeom>
                    <a:noFill/>
                    <a:ln>
                      <a:noFill/>
                    </a:ln>
                  </pic:spPr>
                </pic:pic>
              </a:graphicData>
            </a:graphic>
          </wp:inline>
        </w:drawing>
      </w:r>
      <w:r>
        <w:br w:type="page"/>
      </w:r>
    </w:p>
    <w:p w14:paraId="02489FE8">
      <w:pPr>
        <w:pStyle w:val="5"/>
      </w:pPr>
    </w:p>
    <w:p w14:paraId="7B5ED8B3">
      <w:pPr>
        <w:rPr>
          <w:rFonts w:hint="eastAsia" w:eastAsia="宋体"/>
          <w:lang w:eastAsia="zh-CN"/>
        </w:rPr>
      </w:pPr>
    </w:p>
    <w:p w14:paraId="76F6EF7C">
      <w:r>
        <w:drawing>
          <wp:inline distT="0" distB="0" distL="114300" distR="114300">
            <wp:extent cx="5259070" cy="7450455"/>
            <wp:effectExtent l="0" t="0" r="17780" b="1714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9"/>
                    <a:stretch>
                      <a:fillRect/>
                    </a:stretch>
                  </pic:blipFill>
                  <pic:spPr>
                    <a:xfrm>
                      <a:off x="0" y="0"/>
                      <a:ext cx="5259070" cy="7450455"/>
                    </a:xfrm>
                    <a:prstGeom prst="rect">
                      <a:avLst/>
                    </a:prstGeom>
                    <a:noFill/>
                    <a:ln>
                      <a:noFill/>
                    </a:ln>
                  </pic:spPr>
                </pic:pic>
              </a:graphicData>
            </a:graphic>
          </wp:inline>
        </w:drawing>
      </w:r>
    </w:p>
    <w:p w14:paraId="3063B77D">
      <w:r>
        <w:br w:type="page"/>
      </w:r>
    </w:p>
    <w:p w14:paraId="21C9E949">
      <w:r>
        <w:drawing>
          <wp:inline distT="0" distB="0" distL="114300" distR="114300">
            <wp:extent cx="5478145" cy="7760970"/>
            <wp:effectExtent l="0" t="0" r="8255" b="1143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0"/>
                    <a:stretch>
                      <a:fillRect/>
                    </a:stretch>
                  </pic:blipFill>
                  <pic:spPr>
                    <a:xfrm>
                      <a:off x="0" y="0"/>
                      <a:ext cx="5478145" cy="7760970"/>
                    </a:xfrm>
                    <a:prstGeom prst="rect">
                      <a:avLst/>
                    </a:prstGeom>
                    <a:noFill/>
                    <a:ln>
                      <a:noFill/>
                    </a:ln>
                  </pic:spPr>
                </pic:pic>
              </a:graphicData>
            </a:graphic>
          </wp:inline>
        </w:drawing>
      </w:r>
    </w:p>
    <w:p w14:paraId="79870BEA">
      <w:pPr>
        <w:rPr>
          <w:rFonts w:hint="eastAsia"/>
          <w:lang w:eastAsia="zh-CN"/>
        </w:rPr>
      </w:pPr>
    </w:p>
    <w:p w14:paraId="18C6F74C">
      <w:pPr>
        <w:rPr>
          <w:rFonts w:hint="eastAsia"/>
          <w:lang w:eastAsia="zh-CN"/>
        </w:rPr>
      </w:pPr>
    </w:p>
    <w:p w14:paraId="39330F72">
      <w:pPr>
        <w:rPr>
          <w:rFonts w:hint="eastAsia"/>
          <w:lang w:eastAsia="zh-CN"/>
        </w:rPr>
      </w:pPr>
    </w:p>
    <w:p w14:paraId="363BBF44">
      <w:pPr>
        <w:rPr>
          <w:rFonts w:hint="eastAsia"/>
          <w:lang w:eastAsia="zh-CN"/>
        </w:rPr>
      </w:pPr>
      <w:bookmarkStart w:id="2" w:name="_GoBack"/>
      <w:bookmarkEnd w:id="2"/>
    </w:p>
    <w:p w14:paraId="2A812FD1">
      <w:pPr>
        <w:rPr>
          <w:rFonts w:hint="eastAsia"/>
          <w:lang w:eastAsia="zh-CN"/>
        </w:rPr>
      </w:pPr>
      <w:r>
        <w:drawing>
          <wp:inline distT="0" distB="0" distL="114300" distR="114300">
            <wp:extent cx="5269230" cy="8474075"/>
            <wp:effectExtent l="0" t="0" r="7620" b="317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1"/>
                    <a:stretch>
                      <a:fillRect/>
                    </a:stretch>
                  </pic:blipFill>
                  <pic:spPr>
                    <a:xfrm>
                      <a:off x="0" y="0"/>
                      <a:ext cx="5269230" cy="847407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3855F"/>
    <w:multiLevelType w:val="singleLevel"/>
    <w:tmpl w:val="5183855F"/>
    <w:lvl w:ilvl="0" w:tentative="0">
      <w:start w:val="1"/>
      <w:numFmt w:val="chineseCounting"/>
      <w:pStyle w:val="46"/>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 w:name="KSO_WPS_MARK_KEY" w:val="f0c94484-18bf-41d0-a894-232196517eb0"/>
  </w:docVars>
  <w:rsids>
    <w:rsidRoot w:val="00E3751A"/>
    <w:rsid w:val="00047227"/>
    <w:rsid w:val="00303C12"/>
    <w:rsid w:val="003A7C06"/>
    <w:rsid w:val="004340C8"/>
    <w:rsid w:val="004D1AF7"/>
    <w:rsid w:val="005858BE"/>
    <w:rsid w:val="00756850"/>
    <w:rsid w:val="007A2261"/>
    <w:rsid w:val="00802085"/>
    <w:rsid w:val="008F01AE"/>
    <w:rsid w:val="00C75118"/>
    <w:rsid w:val="00C82162"/>
    <w:rsid w:val="00D40559"/>
    <w:rsid w:val="00E3751A"/>
    <w:rsid w:val="00FF47EE"/>
    <w:rsid w:val="01381A2C"/>
    <w:rsid w:val="030516AD"/>
    <w:rsid w:val="03463A74"/>
    <w:rsid w:val="03C37305"/>
    <w:rsid w:val="04334FFF"/>
    <w:rsid w:val="04543719"/>
    <w:rsid w:val="045937F4"/>
    <w:rsid w:val="04664971"/>
    <w:rsid w:val="04714B20"/>
    <w:rsid w:val="04D11406"/>
    <w:rsid w:val="04E23328"/>
    <w:rsid w:val="050505ED"/>
    <w:rsid w:val="056B2B55"/>
    <w:rsid w:val="057E7A8F"/>
    <w:rsid w:val="059D6561"/>
    <w:rsid w:val="06007F0A"/>
    <w:rsid w:val="062E2CC9"/>
    <w:rsid w:val="06EF6353"/>
    <w:rsid w:val="07D32EB9"/>
    <w:rsid w:val="07E46E00"/>
    <w:rsid w:val="0814540D"/>
    <w:rsid w:val="08300409"/>
    <w:rsid w:val="08302FF8"/>
    <w:rsid w:val="08E81855"/>
    <w:rsid w:val="08ED0200"/>
    <w:rsid w:val="096769A3"/>
    <w:rsid w:val="096F1B10"/>
    <w:rsid w:val="09806C85"/>
    <w:rsid w:val="0A0E1339"/>
    <w:rsid w:val="0A173A74"/>
    <w:rsid w:val="0A4F7A65"/>
    <w:rsid w:val="0BC750FD"/>
    <w:rsid w:val="0D073DB5"/>
    <w:rsid w:val="0D081033"/>
    <w:rsid w:val="0E564C35"/>
    <w:rsid w:val="0EC817E1"/>
    <w:rsid w:val="0F1C6141"/>
    <w:rsid w:val="0F2A5ABA"/>
    <w:rsid w:val="0FFD1618"/>
    <w:rsid w:val="10806817"/>
    <w:rsid w:val="10A546BD"/>
    <w:rsid w:val="10AE1BD9"/>
    <w:rsid w:val="10D96D50"/>
    <w:rsid w:val="12486EC1"/>
    <w:rsid w:val="13FA1B12"/>
    <w:rsid w:val="141C622E"/>
    <w:rsid w:val="147F5532"/>
    <w:rsid w:val="156C314D"/>
    <w:rsid w:val="15CB68F5"/>
    <w:rsid w:val="16B10157"/>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ED50FA6"/>
    <w:rsid w:val="1F0F5E71"/>
    <w:rsid w:val="1F142A61"/>
    <w:rsid w:val="1F2A023E"/>
    <w:rsid w:val="1F642D26"/>
    <w:rsid w:val="1FAC2BD1"/>
    <w:rsid w:val="1FF45CE7"/>
    <w:rsid w:val="2107263D"/>
    <w:rsid w:val="214C4107"/>
    <w:rsid w:val="21980169"/>
    <w:rsid w:val="21A13C43"/>
    <w:rsid w:val="22366385"/>
    <w:rsid w:val="224031F6"/>
    <w:rsid w:val="2282270A"/>
    <w:rsid w:val="229735F9"/>
    <w:rsid w:val="22AD2D70"/>
    <w:rsid w:val="23532900"/>
    <w:rsid w:val="23B37411"/>
    <w:rsid w:val="242E50EF"/>
    <w:rsid w:val="244E33BB"/>
    <w:rsid w:val="24775815"/>
    <w:rsid w:val="24BD596D"/>
    <w:rsid w:val="24D12D46"/>
    <w:rsid w:val="25FB3FD9"/>
    <w:rsid w:val="271635D9"/>
    <w:rsid w:val="27280E94"/>
    <w:rsid w:val="27F61196"/>
    <w:rsid w:val="28814447"/>
    <w:rsid w:val="297A3C20"/>
    <w:rsid w:val="298C1931"/>
    <w:rsid w:val="29925FE1"/>
    <w:rsid w:val="29C972C6"/>
    <w:rsid w:val="2AB26CD9"/>
    <w:rsid w:val="2BD9110B"/>
    <w:rsid w:val="2C9D3BC7"/>
    <w:rsid w:val="2CF2686E"/>
    <w:rsid w:val="2CFD4E2E"/>
    <w:rsid w:val="2E925474"/>
    <w:rsid w:val="2E9E272A"/>
    <w:rsid w:val="2EAE6403"/>
    <w:rsid w:val="31055C5A"/>
    <w:rsid w:val="3256187C"/>
    <w:rsid w:val="3259568C"/>
    <w:rsid w:val="32A66941"/>
    <w:rsid w:val="334B2415"/>
    <w:rsid w:val="339918AA"/>
    <w:rsid w:val="33BD2F62"/>
    <w:rsid w:val="341F407D"/>
    <w:rsid w:val="34A214B2"/>
    <w:rsid w:val="34BD4A82"/>
    <w:rsid w:val="351530F3"/>
    <w:rsid w:val="35211925"/>
    <w:rsid w:val="35524794"/>
    <w:rsid w:val="35583A15"/>
    <w:rsid w:val="36577381"/>
    <w:rsid w:val="366115C7"/>
    <w:rsid w:val="37285AB1"/>
    <w:rsid w:val="375C6F30"/>
    <w:rsid w:val="3781684D"/>
    <w:rsid w:val="3823766B"/>
    <w:rsid w:val="396748BA"/>
    <w:rsid w:val="3A751F6D"/>
    <w:rsid w:val="3AB6680E"/>
    <w:rsid w:val="3AD61658"/>
    <w:rsid w:val="3ADD7367"/>
    <w:rsid w:val="3AF50232"/>
    <w:rsid w:val="3B251FB8"/>
    <w:rsid w:val="3B3712DA"/>
    <w:rsid w:val="3B622014"/>
    <w:rsid w:val="3C7D28D5"/>
    <w:rsid w:val="3CE43836"/>
    <w:rsid w:val="3D027FC2"/>
    <w:rsid w:val="3D3D4FC4"/>
    <w:rsid w:val="3D4729D1"/>
    <w:rsid w:val="3DEB4A20"/>
    <w:rsid w:val="3E2D53F7"/>
    <w:rsid w:val="3EB62D94"/>
    <w:rsid w:val="3EEC7F81"/>
    <w:rsid w:val="3FA71C20"/>
    <w:rsid w:val="3FDA2F9E"/>
    <w:rsid w:val="40606FB3"/>
    <w:rsid w:val="408A0869"/>
    <w:rsid w:val="40995D81"/>
    <w:rsid w:val="40DC28F6"/>
    <w:rsid w:val="416C231C"/>
    <w:rsid w:val="41B906C9"/>
    <w:rsid w:val="41C84509"/>
    <w:rsid w:val="421E5E45"/>
    <w:rsid w:val="42305ED2"/>
    <w:rsid w:val="42355182"/>
    <w:rsid w:val="42A00721"/>
    <w:rsid w:val="42AB766E"/>
    <w:rsid w:val="43120BD6"/>
    <w:rsid w:val="43B14016"/>
    <w:rsid w:val="43F50190"/>
    <w:rsid w:val="4432163F"/>
    <w:rsid w:val="44476729"/>
    <w:rsid w:val="4546743F"/>
    <w:rsid w:val="458212E9"/>
    <w:rsid w:val="45A13141"/>
    <w:rsid w:val="46966FC2"/>
    <w:rsid w:val="47EE36B2"/>
    <w:rsid w:val="485E76F8"/>
    <w:rsid w:val="48AF6D87"/>
    <w:rsid w:val="49CE6C17"/>
    <w:rsid w:val="4CDE060B"/>
    <w:rsid w:val="4E3D5914"/>
    <w:rsid w:val="4E461B89"/>
    <w:rsid w:val="4F4C1097"/>
    <w:rsid w:val="4F540982"/>
    <w:rsid w:val="4F844CD5"/>
    <w:rsid w:val="4FF32FA8"/>
    <w:rsid w:val="50EA0B03"/>
    <w:rsid w:val="512A57AB"/>
    <w:rsid w:val="515A3854"/>
    <w:rsid w:val="5276471A"/>
    <w:rsid w:val="52CC47C0"/>
    <w:rsid w:val="52E07D49"/>
    <w:rsid w:val="534122A6"/>
    <w:rsid w:val="5374510A"/>
    <w:rsid w:val="53F5005F"/>
    <w:rsid w:val="54BA1C16"/>
    <w:rsid w:val="561327C0"/>
    <w:rsid w:val="56183FCE"/>
    <w:rsid w:val="563D2137"/>
    <w:rsid w:val="56836AB2"/>
    <w:rsid w:val="56BC2DE3"/>
    <w:rsid w:val="56D42C4D"/>
    <w:rsid w:val="57301D47"/>
    <w:rsid w:val="57487036"/>
    <w:rsid w:val="575D6537"/>
    <w:rsid w:val="577B3C9E"/>
    <w:rsid w:val="57800B40"/>
    <w:rsid w:val="57CD2DFE"/>
    <w:rsid w:val="5815058C"/>
    <w:rsid w:val="58244FE5"/>
    <w:rsid w:val="584B13F6"/>
    <w:rsid w:val="59217B49"/>
    <w:rsid w:val="59656964"/>
    <w:rsid w:val="59D926D2"/>
    <w:rsid w:val="5A034680"/>
    <w:rsid w:val="5AA52A54"/>
    <w:rsid w:val="5BC05975"/>
    <w:rsid w:val="5BD743DE"/>
    <w:rsid w:val="5D63281F"/>
    <w:rsid w:val="5D706898"/>
    <w:rsid w:val="5D731EE5"/>
    <w:rsid w:val="5D7C7100"/>
    <w:rsid w:val="5D89238E"/>
    <w:rsid w:val="5D8C28DB"/>
    <w:rsid w:val="5DA30A1C"/>
    <w:rsid w:val="5E3F6556"/>
    <w:rsid w:val="5E4A7A0E"/>
    <w:rsid w:val="5E8C3C37"/>
    <w:rsid w:val="5EBC6D64"/>
    <w:rsid w:val="5ED03402"/>
    <w:rsid w:val="5F182B4A"/>
    <w:rsid w:val="5FD163AE"/>
    <w:rsid w:val="60057BEA"/>
    <w:rsid w:val="60B44CEE"/>
    <w:rsid w:val="60B460AF"/>
    <w:rsid w:val="619747AF"/>
    <w:rsid w:val="619A3EE4"/>
    <w:rsid w:val="621C336D"/>
    <w:rsid w:val="62A05F08"/>
    <w:rsid w:val="62EA5BC6"/>
    <w:rsid w:val="630737FB"/>
    <w:rsid w:val="63C25DAA"/>
    <w:rsid w:val="64126CC6"/>
    <w:rsid w:val="648F0582"/>
    <w:rsid w:val="64F540D9"/>
    <w:rsid w:val="6559245A"/>
    <w:rsid w:val="65622F6B"/>
    <w:rsid w:val="658C415A"/>
    <w:rsid w:val="65BD6D5B"/>
    <w:rsid w:val="66C53C4A"/>
    <w:rsid w:val="673B297E"/>
    <w:rsid w:val="678F323C"/>
    <w:rsid w:val="68233EA0"/>
    <w:rsid w:val="68A30209"/>
    <w:rsid w:val="68C86C57"/>
    <w:rsid w:val="6A3C5D07"/>
    <w:rsid w:val="6AA57F27"/>
    <w:rsid w:val="6B185020"/>
    <w:rsid w:val="6CC37EB5"/>
    <w:rsid w:val="6D1139EB"/>
    <w:rsid w:val="6D3457FF"/>
    <w:rsid w:val="6E2A4841"/>
    <w:rsid w:val="6EEF19E2"/>
    <w:rsid w:val="6F272686"/>
    <w:rsid w:val="6F3D1DEF"/>
    <w:rsid w:val="6F963F3C"/>
    <w:rsid w:val="6FE54B28"/>
    <w:rsid w:val="71276AD1"/>
    <w:rsid w:val="7160445C"/>
    <w:rsid w:val="71697143"/>
    <w:rsid w:val="716C6A50"/>
    <w:rsid w:val="7207397B"/>
    <w:rsid w:val="729E3A33"/>
    <w:rsid w:val="72C43B37"/>
    <w:rsid w:val="737D1DEA"/>
    <w:rsid w:val="748B2EA1"/>
    <w:rsid w:val="74AE0F56"/>
    <w:rsid w:val="76391AC6"/>
    <w:rsid w:val="7672193D"/>
    <w:rsid w:val="770403EE"/>
    <w:rsid w:val="771C50B0"/>
    <w:rsid w:val="771E190D"/>
    <w:rsid w:val="77832F9B"/>
    <w:rsid w:val="77C519A6"/>
    <w:rsid w:val="784004D1"/>
    <w:rsid w:val="78725E9B"/>
    <w:rsid w:val="7877129B"/>
    <w:rsid w:val="79302291"/>
    <w:rsid w:val="797D7F1B"/>
    <w:rsid w:val="799B33AA"/>
    <w:rsid w:val="79FE7AE0"/>
    <w:rsid w:val="7A083C89"/>
    <w:rsid w:val="7AA15E8B"/>
    <w:rsid w:val="7AC314B7"/>
    <w:rsid w:val="7B424553"/>
    <w:rsid w:val="7BB96559"/>
    <w:rsid w:val="7C210095"/>
    <w:rsid w:val="7C304A31"/>
    <w:rsid w:val="7C6520EB"/>
    <w:rsid w:val="7D1943FF"/>
    <w:rsid w:val="7D7347EF"/>
    <w:rsid w:val="7D9B14E2"/>
    <w:rsid w:val="7DB761A8"/>
    <w:rsid w:val="7DD52B5A"/>
    <w:rsid w:val="7E522673"/>
    <w:rsid w:val="7FE74340"/>
    <w:rsid w:val="7FFF0A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1"/>
    <w:next w:val="1"/>
    <w:autoRedefine/>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autoRedefine/>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autoRedefine/>
    <w:unhideWhenUsed/>
    <w:qFormat/>
    <w:uiPriority w:val="0"/>
    <w:pPr>
      <w:keepNext/>
      <w:keepLines/>
      <w:outlineLvl w:val="3"/>
    </w:pPr>
    <w:rPr>
      <w:b/>
    </w:rPr>
  </w:style>
  <w:style w:type="character" w:default="1" w:styleId="24">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annotation text"/>
    <w:basedOn w:val="1"/>
    <w:qFormat/>
    <w:uiPriority w:val="0"/>
    <w:pPr>
      <w:jc w:val="left"/>
    </w:pPr>
  </w:style>
  <w:style w:type="paragraph" w:styleId="8">
    <w:name w:val="Body Text"/>
    <w:basedOn w:val="1"/>
    <w:next w:val="1"/>
    <w:autoRedefine/>
    <w:qFormat/>
    <w:uiPriority w:val="99"/>
    <w:rPr>
      <w:sz w:val="28"/>
      <w:szCs w:val="28"/>
    </w:rPr>
  </w:style>
  <w:style w:type="paragraph" w:styleId="9">
    <w:name w:val="Body Text Indent"/>
    <w:basedOn w:val="1"/>
    <w:next w:val="8"/>
    <w:autoRedefine/>
    <w:unhideWhenUsed/>
    <w:qFormat/>
    <w:uiPriority w:val="99"/>
    <w:pPr>
      <w:spacing w:after="120"/>
      <w:ind w:left="420" w:leftChars="200"/>
    </w:pPr>
  </w:style>
  <w:style w:type="paragraph" w:styleId="10">
    <w:name w:val="toc 5"/>
    <w:basedOn w:val="1"/>
    <w:next w:val="1"/>
    <w:autoRedefine/>
    <w:semiHidden/>
    <w:qFormat/>
    <w:uiPriority w:val="0"/>
    <w:pPr>
      <w:ind w:left="1120"/>
      <w:jc w:val="left"/>
    </w:pPr>
    <w:rPr>
      <w:sz w:val="18"/>
      <w:szCs w:val="18"/>
    </w:rPr>
  </w:style>
  <w:style w:type="paragraph" w:styleId="11">
    <w:name w:val="Plain Text"/>
    <w:basedOn w:val="1"/>
    <w:autoRedefine/>
    <w:qFormat/>
    <w:uiPriority w:val="0"/>
    <w:rPr>
      <w:rFonts w:ascii="宋体" w:hAnsi="Courier New" w:cs="Courier New"/>
      <w:szCs w:val="21"/>
    </w:rPr>
  </w:style>
  <w:style w:type="paragraph" w:styleId="12">
    <w:name w:val="Date"/>
    <w:basedOn w:val="1"/>
    <w:next w:val="1"/>
    <w:link w:val="50"/>
    <w:autoRedefine/>
    <w:qFormat/>
    <w:uiPriority w:val="0"/>
    <w:pPr>
      <w:ind w:left="100" w:leftChars="2500"/>
    </w:pPr>
    <w:rPr>
      <w:rFonts w:ascii="Times New Roman" w:hAnsi="Times New Roman"/>
      <w:b/>
      <w:bCs/>
      <w:sz w:val="28"/>
    </w:rPr>
  </w:style>
  <w:style w:type="paragraph" w:styleId="13">
    <w:name w:val="Body Text Indent 2"/>
    <w:basedOn w:val="1"/>
    <w:autoRedefine/>
    <w:qFormat/>
    <w:uiPriority w:val="0"/>
    <w:pPr>
      <w:ind w:firstLine="538" w:firstLineChars="192"/>
    </w:pPr>
    <w:rPr>
      <w:rFonts w:ascii="宋体" w:hAnsi="宋体"/>
      <w:sz w:val="28"/>
    </w:rPr>
  </w:style>
  <w:style w:type="paragraph" w:styleId="14">
    <w:name w:val="Balloon Text"/>
    <w:basedOn w:val="1"/>
    <w:link w:val="36"/>
    <w:autoRedefine/>
    <w:qFormat/>
    <w:uiPriority w:val="0"/>
    <w:rPr>
      <w:sz w:val="18"/>
      <w:szCs w:val="18"/>
    </w:rPr>
  </w:style>
  <w:style w:type="paragraph" w:styleId="15">
    <w:name w:val="footer"/>
    <w:basedOn w:val="1"/>
    <w:autoRedefine/>
    <w:qFormat/>
    <w:uiPriority w:val="99"/>
    <w:pPr>
      <w:tabs>
        <w:tab w:val="center" w:pos="4153"/>
        <w:tab w:val="right" w:pos="8306"/>
      </w:tabs>
      <w:snapToGrid w:val="0"/>
    </w:pPr>
    <w:rPr>
      <w:sz w:val="18"/>
      <w:szCs w:val="18"/>
    </w:rPr>
  </w:style>
  <w:style w:type="paragraph" w:styleId="16">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qFormat/>
    <w:uiPriority w:val="39"/>
    <w:pPr>
      <w:jc w:val="left"/>
    </w:pPr>
    <w:rPr>
      <w:rFonts w:ascii="宋体"/>
      <w:b/>
      <w:bCs/>
      <w:caps/>
      <w:sz w:val="20"/>
      <w:szCs w:val="20"/>
    </w:rPr>
  </w:style>
  <w:style w:type="paragraph" w:styleId="18">
    <w:name w:val="Body Text Indent 3"/>
    <w:basedOn w:val="1"/>
    <w:autoRedefine/>
    <w:qFormat/>
    <w:uiPriority w:val="0"/>
    <w:pPr>
      <w:ind w:firstLine="630"/>
    </w:pPr>
    <w:rPr>
      <w:rFonts w:ascii="Times New Roman" w:hAnsi="Times New Roman" w:eastAsia="仿宋_GB2312"/>
      <w:sz w:val="28"/>
    </w:rPr>
  </w:style>
  <w:style w:type="paragraph" w:styleId="19">
    <w:name w:val="Normal (Web)"/>
    <w:basedOn w:val="1"/>
    <w:next w:val="20"/>
    <w:autoRedefine/>
    <w:qFormat/>
    <w:uiPriority w:val="0"/>
    <w:pPr>
      <w:spacing w:before="100" w:beforeAutospacing="1" w:after="100" w:afterAutospacing="1"/>
      <w:jc w:val="left"/>
    </w:pPr>
    <w:rPr>
      <w:kern w:val="0"/>
      <w:sz w:val="24"/>
    </w:rPr>
  </w:style>
  <w:style w:type="paragraph" w:customStyle="1" w:styleId="20">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21">
    <w:name w:val="Body Text First Indent"/>
    <w:basedOn w:val="8"/>
    <w:autoRedefine/>
    <w:qFormat/>
    <w:uiPriority w:val="0"/>
    <w:pPr>
      <w:spacing w:after="120"/>
      <w:ind w:firstLine="420" w:firstLineChars="100"/>
    </w:pPr>
  </w:style>
  <w:style w:type="paragraph" w:styleId="22">
    <w:name w:val="Body Text First Indent 2"/>
    <w:basedOn w:val="8"/>
    <w:next w:val="1"/>
    <w:autoRedefine/>
    <w:unhideWhenUsed/>
    <w:qFormat/>
    <w:uiPriority w:val="99"/>
    <w:pPr>
      <w:ind w:firstLine="420" w:firstLineChars="200"/>
    </w:pPr>
  </w:style>
  <w:style w:type="character" w:styleId="25">
    <w:name w:val="annotation reference"/>
    <w:qFormat/>
    <w:uiPriority w:val="0"/>
    <w:rPr>
      <w:sz w:val="21"/>
      <w:szCs w:val="21"/>
    </w:rPr>
  </w:style>
  <w:style w:type="paragraph" w:customStyle="1" w:styleId="26">
    <w:name w:val="Default1"/>
    <w:basedOn w:val="27"/>
    <w:next w:val="1"/>
    <w:autoRedefine/>
    <w:qFormat/>
    <w:uiPriority w:val="0"/>
    <w:pPr>
      <w:widowControl w:val="0"/>
      <w:autoSpaceDE w:val="0"/>
      <w:autoSpaceDN w:val="0"/>
      <w:adjustRightInd w:val="0"/>
    </w:pPr>
    <w:rPr>
      <w:rFonts w:ascii="宋体" w:cs="宋体"/>
      <w:color w:val="000000"/>
      <w:sz w:val="24"/>
      <w:szCs w:val="24"/>
      <w:lang w:val="en-US" w:eastAsia="zh-CN"/>
    </w:rPr>
  </w:style>
  <w:style w:type="paragraph" w:customStyle="1" w:styleId="27">
    <w:name w:val="Normal_14_0"/>
    <w:autoRedefine/>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28">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
    <w:name w:val="Default"/>
    <w:basedOn w:val="30"/>
    <w:next w:val="22"/>
    <w:autoRedefine/>
    <w:qFormat/>
    <w:uiPriority w:val="0"/>
    <w:pPr>
      <w:autoSpaceDE w:val="0"/>
      <w:autoSpaceDN w:val="0"/>
    </w:pPr>
    <w:rPr>
      <w:rFonts w:hint="eastAsia" w:ascii="宋体"/>
      <w:sz w:val="24"/>
    </w:rPr>
  </w:style>
  <w:style w:type="paragraph" w:customStyle="1" w:styleId="30">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1">
    <w:name w:val="正文2"/>
    <w:basedOn w:val="1"/>
    <w:autoRedefine/>
    <w:qFormat/>
    <w:uiPriority w:val="0"/>
    <w:pPr>
      <w:spacing w:line="440" w:lineRule="atLeast"/>
      <w:ind w:firstLine="567"/>
    </w:pPr>
    <w:rPr>
      <w:sz w:val="24"/>
      <w:szCs w:val="20"/>
    </w:rPr>
  </w:style>
  <w:style w:type="paragraph" w:customStyle="1" w:styleId="32">
    <w:name w:val="样式 首行缩进:  2 字符"/>
    <w:basedOn w:val="1"/>
    <w:next w:val="1"/>
    <w:autoRedefine/>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33">
    <w:name w:val="li_正文"/>
    <w:basedOn w:val="1"/>
    <w:autoRedefine/>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4">
    <w:name w:val="样式 标题 2"/>
    <w:basedOn w:val="3"/>
    <w:autoRedefine/>
    <w:qFormat/>
    <w:uiPriority w:val="0"/>
    <w:pPr>
      <w:spacing w:beforeLines="0" w:afterLines="0"/>
    </w:pPr>
    <w:rPr>
      <w:rFonts w:ascii="Arial" w:hAnsi="Arial" w:eastAsia="宋体" w:cs="宋体"/>
      <w:snapToGrid/>
      <w:kern w:val="2"/>
      <w:szCs w:val="32"/>
      <w:lang w:val="zh-CN"/>
    </w:rPr>
  </w:style>
  <w:style w:type="paragraph" w:customStyle="1" w:styleId="35">
    <w:name w:val="p0"/>
    <w:basedOn w:val="1"/>
    <w:autoRedefine/>
    <w:qFormat/>
    <w:uiPriority w:val="0"/>
    <w:pPr>
      <w:widowControl/>
    </w:pPr>
    <w:rPr>
      <w:kern w:val="0"/>
      <w:szCs w:val="21"/>
    </w:rPr>
  </w:style>
  <w:style w:type="character" w:customStyle="1" w:styleId="36">
    <w:name w:val="批注框文本 字符"/>
    <w:basedOn w:val="24"/>
    <w:link w:val="14"/>
    <w:autoRedefine/>
    <w:qFormat/>
    <w:uiPriority w:val="0"/>
    <w:rPr>
      <w:rFonts w:ascii="Calibri" w:hAnsi="Calibri"/>
      <w:kern w:val="2"/>
      <w:sz w:val="18"/>
      <w:szCs w:val="18"/>
    </w:rPr>
  </w:style>
  <w:style w:type="paragraph" w:customStyle="1" w:styleId="37">
    <w:name w:val="111"/>
    <w:basedOn w:val="1"/>
    <w:autoRedefine/>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8">
    <w:name w:val="表头 Char Char Char"/>
    <w:basedOn w:val="24"/>
    <w:autoRedefine/>
    <w:qFormat/>
    <w:uiPriority w:val="0"/>
    <w:rPr>
      <w:rFonts w:ascii="宋体" w:hAnsi="Tahoma" w:eastAsia="宋体"/>
      <w:snapToGrid w:val="0"/>
      <w:spacing w:val="6"/>
      <w:kern w:val="10"/>
      <w:sz w:val="24"/>
    </w:rPr>
  </w:style>
  <w:style w:type="paragraph" w:customStyle="1" w:styleId="39">
    <w:name w:val="表格居中"/>
    <w:basedOn w:val="40"/>
    <w:autoRedefine/>
    <w:qFormat/>
    <w:uiPriority w:val="0"/>
    <w:pPr>
      <w:jc w:val="center"/>
    </w:pPr>
  </w:style>
  <w:style w:type="paragraph" w:customStyle="1" w:styleId="40">
    <w:name w:val="表格一"/>
    <w:basedOn w:val="1"/>
    <w:autoRedefine/>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41">
    <w:name w:val="伟灿工贸-表格文字"/>
    <w:basedOn w:val="1"/>
    <w:autoRedefine/>
    <w:qFormat/>
    <w:uiPriority w:val="0"/>
    <w:pPr>
      <w:jc w:val="center"/>
    </w:pPr>
    <w:rPr>
      <w:rFonts w:hint="eastAsia" w:ascii="宋体" w:hAnsi="宋体" w:cs="宋体"/>
      <w:szCs w:val="21"/>
    </w:rPr>
  </w:style>
  <w:style w:type="paragraph" w:customStyle="1" w:styleId="42">
    <w:name w:val="QQ表正文"/>
    <w:basedOn w:val="1"/>
    <w:autoRedefine/>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3">
    <w:name w:val="表名、图名"/>
    <w:basedOn w:val="1"/>
    <w:next w:val="1"/>
    <w:autoRedefine/>
    <w:qFormat/>
    <w:uiPriority w:val="0"/>
    <w:pPr>
      <w:jc w:val="center"/>
    </w:pPr>
    <w:rPr>
      <w:b/>
      <w:bCs/>
    </w:rPr>
  </w:style>
  <w:style w:type="paragraph" w:customStyle="1" w:styleId="44">
    <w:name w:val="标题 三"/>
    <w:basedOn w:val="1"/>
    <w:autoRedefine/>
    <w:qFormat/>
    <w:uiPriority w:val="0"/>
    <w:pPr>
      <w:tabs>
        <w:tab w:val="left" w:pos="3544"/>
      </w:tabs>
      <w:snapToGrid w:val="0"/>
      <w:spacing w:line="360" w:lineRule="auto"/>
      <w:outlineLvl w:val="2"/>
    </w:pPr>
    <w:rPr>
      <w:rFonts w:ascii="宋体" w:hAnsi="宋体"/>
      <w:b/>
      <w:bCs/>
      <w:sz w:val="28"/>
      <w:szCs w:val="28"/>
    </w:rPr>
  </w:style>
  <w:style w:type="paragraph" w:customStyle="1" w:styleId="45">
    <w:name w:val="ENFI正文"/>
    <w:basedOn w:val="1"/>
    <w:autoRedefine/>
    <w:qFormat/>
    <w:uiPriority w:val="0"/>
    <w:pPr>
      <w:adjustRightInd w:val="0"/>
      <w:snapToGrid w:val="0"/>
      <w:ind w:firstLine="567"/>
    </w:pPr>
    <w:rPr>
      <w:rFonts w:eastAsia="仿宋_GB2312"/>
      <w:snapToGrid w:val="0"/>
      <w:color w:val="000000"/>
      <w:kern w:val="0"/>
      <w:sz w:val="28"/>
    </w:rPr>
  </w:style>
  <w:style w:type="paragraph" w:customStyle="1" w:styleId="46">
    <w:name w:val="工艺序号"/>
    <w:basedOn w:val="1"/>
    <w:autoRedefine/>
    <w:qFormat/>
    <w:uiPriority w:val="0"/>
    <w:pPr>
      <w:numPr>
        <w:ilvl w:val="0"/>
        <w:numId w:val="1"/>
      </w:numPr>
    </w:pPr>
    <w:rPr>
      <w:b/>
      <w:bCs/>
    </w:rPr>
  </w:style>
  <w:style w:type="paragraph" w:customStyle="1" w:styleId="47">
    <w:name w:val="伟灿-表格文字"/>
    <w:basedOn w:val="1"/>
    <w:autoRedefine/>
    <w:qFormat/>
    <w:uiPriority w:val="0"/>
    <w:pPr>
      <w:jc w:val="center"/>
    </w:pPr>
    <w:rPr>
      <w:rFonts w:hint="eastAsia" w:ascii="宋体" w:hAnsi="宋体" w:cs="宋体"/>
      <w:szCs w:val="21"/>
    </w:rPr>
  </w:style>
  <w:style w:type="paragraph" w:styleId="48">
    <w:name w:val="List Paragraph"/>
    <w:basedOn w:val="1"/>
    <w:autoRedefine/>
    <w:qFormat/>
    <w:uiPriority w:val="99"/>
    <w:pPr>
      <w:ind w:firstLine="420" w:firstLineChars="200"/>
    </w:pPr>
  </w:style>
  <w:style w:type="paragraph" w:customStyle="1" w:styleId="49">
    <w:name w:val="表格1（标题）"/>
    <w:basedOn w:val="1"/>
    <w:autoRedefine/>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50">
    <w:name w:val="日期 字符"/>
    <w:basedOn w:val="24"/>
    <w:link w:val="12"/>
    <w:autoRedefine/>
    <w:qFormat/>
    <w:uiPriority w:val="0"/>
    <w:rPr>
      <w:b/>
      <w:bCs/>
      <w:kern w:val="2"/>
      <w:sz w:val="28"/>
      <w:szCs w:val="24"/>
    </w:rPr>
  </w:style>
  <w:style w:type="paragraph" w:customStyle="1" w:styleId="51">
    <w:name w:val="AAA"/>
    <w:basedOn w:val="1"/>
    <w:qFormat/>
    <w:uiPriority w:val="0"/>
    <w:pPr>
      <w:ind w:firstLine="200" w:firstLineChars="200"/>
      <w:contextualSpacing/>
    </w:pPr>
    <w:rPr>
      <w:color w:val="000000"/>
      <w:szCs w:val="24"/>
    </w:rPr>
  </w:style>
  <w:style w:type="paragraph" w:customStyle="1" w:styleId="52">
    <w:name w:val="BBB"/>
    <w:qFormat/>
    <w:uiPriority w:val="99"/>
    <w:pPr>
      <w:spacing w:after="160" w:line="278" w:lineRule="auto"/>
      <w:jc w:val="center"/>
    </w:pPr>
    <w:rPr>
      <w:rFonts w:ascii="宋体" w:hAnsi="宋体" w:eastAsia="宋体" w:cs="Times New Roman"/>
      <w:bCs/>
      <w:color w:val="000000"/>
      <w:sz w:val="21"/>
      <w:szCs w:val="21"/>
      <w:lang w:val="en-US" w:eastAsia="zh-CN" w:bidi="ar-SA"/>
    </w:rPr>
  </w:style>
  <w:style w:type="paragraph" w:customStyle="1" w:styleId="53">
    <w:name w:val="鑫安利1.1.1"/>
    <w:basedOn w:val="54"/>
    <w:qFormat/>
    <w:uiPriority w:val="0"/>
    <w:pPr>
      <w:spacing w:before="50" w:beforeLines="50" w:after="50" w:afterLines="50"/>
      <w:ind w:firstLine="0" w:firstLineChars="0"/>
      <w:outlineLvl w:val="2"/>
    </w:pPr>
    <w:rPr>
      <w:b/>
    </w:rPr>
  </w:style>
  <w:style w:type="paragraph" w:customStyle="1" w:styleId="54">
    <w:name w:val="鑫安利正文"/>
    <w:basedOn w:val="1"/>
    <w:qFormat/>
    <w:uiPriority w:val="0"/>
    <w:pPr>
      <w:spacing w:line="500" w:lineRule="exact"/>
      <w:ind w:firstLine="200" w:firstLineChars="200"/>
      <w:jc w:val="left"/>
    </w:pPr>
    <w:rPr>
      <w:rFonts w:ascii="Calibri" w:hAnsi="Calibri"/>
      <w:sz w:val="28"/>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8</Pages>
  <Words>1355</Words>
  <Characters>1566</Characters>
  <Lines>8</Lines>
  <Paragraphs>2</Paragraphs>
  <TotalTime>1</TotalTime>
  <ScaleCrop>false</ScaleCrop>
  <LinksUpToDate>false</LinksUpToDate>
  <CharactersWithSpaces>1572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2026-06-08T02:40:30Z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151B791E3F6F4A638B8AEA08BF22E63C_13</vt:lpwstr>
  </property>
  <property fmtid="{D5CDD505-2E9C-101B-9397-08002B2CF9AE}" pid="4" name="KSOTemplateDocerSaveRecord">
    <vt:lpwstr>eyJoZGlkIjoiNDgzMjdiZTZhYWEwMDUyMzMwMzdhZWM2ZmNjMGMzMDkiLCJ1c2VySWQiOiI1NzcyNjAwMzgifQ==</vt:lpwstr>
  </property>
</Properties>
</file>