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bookmarkStart w:id="14" w:name="_GoBack"/>
      <w:bookmarkEnd w:id="14"/>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17"/>
        <w:gridCol w:w="1015"/>
        <w:gridCol w:w="4674"/>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4"/>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大余县游仙加油站经营（零售）成品油项目安全现状评价报告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4"/>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3</w:t>
            </w:r>
            <w:r>
              <w:rPr>
                <w:rFonts w:hint="eastAsia" w:ascii="宋体" w:hAnsi="宋体" w:cs="宋体"/>
                <w:sz w:val="24"/>
              </w:rPr>
              <w:t>月</w:t>
            </w:r>
            <w:r>
              <w:rPr>
                <w:rFonts w:hint="eastAsia" w:ascii="宋体" w:hAnsi="宋体" w:cs="宋体"/>
                <w:sz w:val="24"/>
                <w:lang w:val="en-US" w:eastAsia="zh-CN"/>
              </w:rPr>
              <w:t>18日</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20" w:type="dxa"/>
            <w:gridSpan w:val="5"/>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17"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89" w:type="dxa"/>
            <w:gridSpan w:val="2"/>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17" w:type="dxa"/>
            <w:tcBorders>
              <w:tl2br w:val="nil"/>
              <w:tr2bl w:val="nil"/>
            </w:tcBorders>
            <w:shd w:val="clear" w:color="auto" w:fill="auto"/>
            <w:vAlign w:val="center"/>
          </w:tcPr>
          <w:p w14:paraId="56565DEB">
            <w:pPr>
              <w:spacing w:before="156" w:beforeLines="50" w:after="156" w:afterLines="50" w:line="400" w:lineRule="exact"/>
              <w:ind w:firstLine="0" w:firstLineChars="0"/>
              <w:jc w:val="center"/>
              <w:rPr>
                <w:rFonts w:hint="default" w:ascii="Calibri" w:hAnsi="Calibri" w:eastAsia="宋体" w:cs="Times New Roman"/>
                <w:color w:val="auto"/>
                <w:kern w:val="2"/>
                <w:sz w:val="24"/>
                <w:szCs w:val="24"/>
                <w:lang w:val="en-US" w:eastAsia="zh-CN" w:bidi="ar-SA"/>
              </w:rPr>
            </w:pPr>
            <w:r>
              <w:rPr>
                <w:rFonts w:hint="eastAsia" w:ascii="Calibri" w:hAnsi="Calibri" w:eastAsia="宋体" w:cs="Times New Roman"/>
                <w:color w:val="auto"/>
                <w:sz w:val="24"/>
                <w:szCs w:val="24"/>
                <w:lang w:val="en-US" w:eastAsia="zh-CN"/>
              </w:rPr>
              <w:t>蓝家财</w:t>
            </w:r>
          </w:p>
        </w:tc>
        <w:tc>
          <w:tcPr>
            <w:tcW w:w="5689" w:type="dxa"/>
            <w:gridSpan w:val="2"/>
            <w:tcBorders>
              <w:tl2br w:val="nil"/>
              <w:tr2bl w:val="nil"/>
            </w:tcBorders>
            <w:shd w:val="clear" w:color="auto" w:fill="FFFFFF"/>
            <w:vAlign w:val="center"/>
          </w:tcPr>
          <w:p w14:paraId="74203271">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CAWS530000230200862</w:t>
            </w:r>
          </w:p>
        </w:tc>
        <w:tc>
          <w:tcPr>
            <w:tcW w:w="2508" w:type="dxa"/>
            <w:tcBorders>
              <w:tl2br w:val="nil"/>
              <w:tr2bl w:val="nil"/>
            </w:tcBorders>
            <w:shd w:val="clear" w:color="auto" w:fill="FFFFFF"/>
            <w:vAlign w:val="center"/>
          </w:tcPr>
          <w:p w14:paraId="3EA9A323">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042916</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17"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乔贯德</w:t>
            </w:r>
          </w:p>
        </w:tc>
        <w:tc>
          <w:tcPr>
            <w:tcW w:w="5689" w:type="dxa"/>
            <w:gridSpan w:val="2"/>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1700000000300087</w:t>
            </w:r>
          </w:p>
        </w:tc>
        <w:tc>
          <w:tcPr>
            <w:tcW w:w="2508"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17"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程冬红</w:t>
            </w:r>
          </w:p>
        </w:tc>
        <w:tc>
          <w:tcPr>
            <w:tcW w:w="5689" w:type="dxa"/>
            <w:gridSpan w:val="2"/>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1500000000301714</w:t>
            </w:r>
          </w:p>
        </w:tc>
        <w:tc>
          <w:tcPr>
            <w:tcW w:w="2508"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026812</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17"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于志勇</w:t>
            </w:r>
          </w:p>
        </w:tc>
        <w:tc>
          <w:tcPr>
            <w:tcW w:w="5689" w:type="dxa"/>
            <w:gridSpan w:val="2"/>
            <w:tcBorders>
              <w:tl2br w:val="nil"/>
              <w:tr2bl w:val="nil"/>
            </w:tcBorders>
            <w:shd w:val="clear" w:color="auto" w:fill="FFFFFF"/>
            <w:vAlign w:val="center"/>
          </w:tcPr>
          <w:p w14:paraId="1F79760F">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2014033230330000003310230030</w:t>
            </w:r>
          </w:p>
        </w:tc>
        <w:tc>
          <w:tcPr>
            <w:tcW w:w="2508" w:type="dxa"/>
            <w:tcBorders>
              <w:tl2br w:val="nil"/>
              <w:tr2bl w:val="nil"/>
            </w:tcBorders>
            <w:shd w:val="clear" w:color="auto" w:fill="FFFFFF"/>
            <w:vAlign w:val="center"/>
          </w:tcPr>
          <w:p w14:paraId="05E42F8E">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51190209624</w:t>
            </w:r>
          </w:p>
        </w:tc>
      </w:tr>
      <w:tr w14:paraId="2E47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F732C06">
            <w:pPr>
              <w:jc w:val="center"/>
              <w:rPr>
                <w:rFonts w:ascii="宋体" w:hAnsi="宋体" w:cs="宋体"/>
                <w:sz w:val="24"/>
              </w:rPr>
            </w:pPr>
          </w:p>
        </w:tc>
        <w:tc>
          <w:tcPr>
            <w:tcW w:w="817" w:type="dxa"/>
            <w:tcBorders>
              <w:tl2br w:val="nil"/>
              <w:tr2bl w:val="nil"/>
            </w:tcBorders>
            <w:shd w:val="clear" w:color="auto" w:fill="FFFFFF"/>
            <w:vAlign w:val="center"/>
          </w:tcPr>
          <w:p w14:paraId="54F4E8F4">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刘二平</w:t>
            </w:r>
          </w:p>
        </w:tc>
        <w:tc>
          <w:tcPr>
            <w:tcW w:w="5689" w:type="dxa"/>
            <w:gridSpan w:val="2"/>
            <w:tcBorders>
              <w:tl2br w:val="nil"/>
              <w:tr2bl w:val="nil"/>
            </w:tcBorders>
            <w:shd w:val="clear" w:color="auto" w:fill="FFFFFF"/>
            <w:vAlign w:val="center"/>
          </w:tcPr>
          <w:p w14:paraId="00C17882">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03320241036000000887</w:t>
            </w:r>
          </w:p>
        </w:tc>
        <w:tc>
          <w:tcPr>
            <w:tcW w:w="2508" w:type="dxa"/>
            <w:tcBorders>
              <w:tl2br w:val="nil"/>
              <w:tr2bl w:val="nil"/>
            </w:tcBorders>
            <w:shd w:val="clear" w:color="auto" w:fill="FFFFFF"/>
            <w:vAlign w:val="center"/>
          </w:tcPr>
          <w:p w14:paraId="3D85FB31">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37250438462</w:t>
            </w:r>
          </w:p>
        </w:tc>
      </w:tr>
      <w:tr w14:paraId="3109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AC23D0">
            <w:pPr>
              <w:jc w:val="center"/>
              <w:rPr>
                <w:rFonts w:ascii="宋体" w:hAnsi="宋体" w:cs="宋体"/>
                <w:sz w:val="24"/>
              </w:rPr>
            </w:pPr>
          </w:p>
        </w:tc>
        <w:tc>
          <w:tcPr>
            <w:tcW w:w="817" w:type="dxa"/>
            <w:tcBorders>
              <w:tl2br w:val="nil"/>
              <w:tr2bl w:val="nil"/>
            </w:tcBorders>
            <w:shd w:val="clear" w:color="auto" w:fill="FFFFFF"/>
            <w:vAlign w:val="center"/>
          </w:tcPr>
          <w:p w14:paraId="4FE08C8F">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徐顺星</w:t>
            </w:r>
          </w:p>
        </w:tc>
        <w:tc>
          <w:tcPr>
            <w:tcW w:w="5689" w:type="dxa"/>
            <w:gridSpan w:val="2"/>
            <w:tcBorders>
              <w:tl2br w:val="nil"/>
              <w:tr2bl w:val="nil"/>
            </w:tcBorders>
            <w:shd w:val="clear" w:color="auto" w:fill="FFFFFF"/>
            <w:vAlign w:val="center"/>
          </w:tcPr>
          <w:p w14:paraId="2F53413F">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S011041000110192002229</w:t>
            </w:r>
          </w:p>
        </w:tc>
        <w:tc>
          <w:tcPr>
            <w:tcW w:w="2508" w:type="dxa"/>
            <w:tcBorders>
              <w:tl2br w:val="nil"/>
              <w:tr2bl w:val="nil"/>
            </w:tcBorders>
            <w:shd w:val="clear" w:color="auto" w:fill="FFFFFF"/>
            <w:vAlign w:val="center"/>
          </w:tcPr>
          <w:p w14:paraId="31B47B28">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018803</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1"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4"/>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9" w:hRule="atLeast"/>
          <w:jc w:val="center"/>
        </w:trPr>
        <w:tc>
          <w:tcPr>
            <w:tcW w:w="2438" w:type="dxa"/>
            <w:gridSpan w:val="3"/>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7182" w:type="dxa"/>
            <w:gridSpan w:val="2"/>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2026年3月14日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2" w:hRule="atLeast"/>
          <w:jc w:val="center"/>
        </w:trPr>
        <w:tc>
          <w:tcPr>
            <w:tcW w:w="2438" w:type="dxa"/>
            <w:gridSpan w:val="3"/>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7182" w:type="dxa"/>
            <w:gridSpan w:val="2"/>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2026年3月16日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4"/>
            <w:tcBorders>
              <w:tl2br w:val="nil"/>
              <w:tr2bl w:val="nil"/>
            </w:tcBorders>
            <w:shd w:val="clear" w:color="auto" w:fill="FFFFFF"/>
          </w:tcPr>
          <w:p w14:paraId="5F8AA606">
            <w:pPr>
              <w:pStyle w:val="8"/>
              <w:ind w:firstLine="480" w:firstLineChars="200"/>
              <w:rPr>
                <w:rFonts w:hint="eastAsia"/>
                <w:sz w:val="24"/>
                <w:szCs w:val="24"/>
                <w:lang w:val="en-US" w:eastAsia="zh-CN"/>
              </w:rPr>
            </w:pPr>
            <w:r>
              <w:rPr>
                <w:rFonts w:hint="eastAsia"/>
                <w:sz w:val="24"/>
                <w:szCs w:val="24"/>
                <w:lang w:val="en-US" w:eastAsia="zh-CN"/>
              </w:rPr>
              <w:t>大余县游仙加油站是从事成品油储存、经营的企业，位于江西省赣州市大余县吉村镇解放村小内线北侧，成立日期：2019年05月27日，统一社会信用代码：91360723MA38LRN8XP，投资人：林庆洋。2024年10月12日取得了赣州市行政审批局颁发的《成品油零售经营批准证书》，证书编号为油零售证书第 虔0037号。证书有效期2024年10月18日至2029年10月17日。2023年06月09日，该加油站取得了大余县应急管理局颁发的《危险化学品经营许可证》，证书编号：赣虔危化经字【2023】Y004号，证书有效期2023年6月9日至2026年6月8日，该加油站经营范围为汽油、柴油零售。</w:t>
            </w:r>
          </w:p>
          <w:p w14:paraId="45549F87">
            <w:pPr>
              <w:pStyle w:val="8"/>
              <w:ind w:firstLine="480" w:firstLineChars="200"/>
              <w:rPr>
                <w:rFonts w:hint="eastAsia"/>
                <w:lang w:val="en-US" w:eastAsia="zh-CN"/>
              </w:rPr>
            </w:pPr>
            <w:r>
              <w:rPr>
                <w:rFonts w:hint="eastAsia"/>
                <w:sz w:val="24"/>
                <w:szCs w:val="24"/>
                <w:lang w:val="en-US" w:eastAsia="zh-CN"/>
              </w:rPr>
              <w:t>根据《中华人民共和国安全生产法》（中华人民共和国主席令13号令，[2021]第88号修订），《危险化学品安全管理条例》（国务院第591号令、645号修订），《危险化学品经营许可证管理办法》（原国家安全生产监督管理总局第55号令）和原江西省安全生产监督管理局分别下发的《关于做好危险化学品经营许可证换证工作的通知》的要求，所有经营成品油企业的危险化学品经营许可证到期后须申请延期换证，必须经过安全评价，换发新的危险化学品经营许可证后方可营业。该站的危险化学品经营许可证于2026年6月8日到期。</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4"/>
            <w:tcBorders>
              <w:tl2br w:val="nil"/>
              <w:tr2bl w:val="nil"/>
            </w:tcBorders>
            <w:shd w:val="clear" w:color="auto" w:fill="FFFFFF"/>
          </w:tcPr>
          <w:p w14:paraId="58C73B82">
            <w:pPr>
              <w:keepNext/>
              <w:keepLines/>
              <w:adjustRightInd w:val="0"/>
              <w:snapToGrid w:val="0"/>
              <w:spacing w:line="500" w:lineRule="exact"/>
              <w:ind w:firstLine="602" w:firstLineChars="200"/>
              <w:outlineLvl w:val="1"/>
              <w:rPr>
                <w:rFonts w:ascii="黑体" w:hAnsi="黑体" w:eastAsia="宋体" w:cs="Times New Roman"/>
                <w:b/>
                <w:bCs/>
                <w:sz w:val="30"/>
                <w:szCs w:val="32"/>
              </w:rPr>
            </w:pPr>
            <w:bookmarkStart w:id="0" w:name="_Toc15323"/>
            <w:bookmarkStart w:id="1" w:name="_Toc30506"/>
            <w:bookmarkStart w:id="2" w:name="_Toc23857"/>
            <w:bookmarkStart w:id="3" w:name="_Toc3663"/>
            <w:bookmarkStart w:id="4" w:name="_Toc368911559"/>
            <w:bookmarkStart w:id="5" w:name="_Toc6669"/>
            <w:bookmarkStart w:id="6" w:name="_Toc380744559"/>
            <w:bookmarkStart w:id="7" w:name="_Toc5488"/>
            <w:bookmarkStart w:id="8" w:name="_Toc29040"/>
            <w:bookmarkStart w:id="9" w:name="_Toc8309"/>
            <w:bookmarkStart w:id="10" w:name="_Toc240859955"/>
            <w:r>
              <w:rPr>
                <w:rFonts w:hint="eastAsia" w:ascii="黑体" w:hAnsi="黑体" w:eastAsia="宋体" w:cs="Times New Roman"/>
                <w:b/>
                <w:bCs/>
                <w:sz w:val="30"/>
                <w:szCs w:val="32"/>
              </w:rPr>
              <w:t>2.9工艺流程</w:t>
            </w:r>
            <w:bookmarkEnd w:id="0"/>
            <w:bookmarkEnd w:id="1"/>
            <w:bookmarkEnd w:id="2"/>
            <w:bookmarkEnd w:id="3"/>
            <w:bookmarkEnd w:id="4"/>
            <w:bookmarkEnd w:id="5"/>
            <w:bookmarkEnd w:id="6"/>
            <w:bookmarkEnd w:id="7"/>
            <w:bookmarkEnd w:id="8"/>
            <w:bookmarkEnd w:id="9"/>
          </w:p>
          <w:p w14:paraId="5B539191">
            <w:pPr>
              <w:adjustRightInd w:val="0"/>
              <w:snapToGrid w:val="0"/>
              <w:spacing w:line="500" w:lineRule="exact"/>
              <w:ind w:firstLine="560" w:firstLineChars="200"/>
              <w:rPr>
                <w:rFonts w:ascii="Times New Roman" w:hAnsi="Times New Roman" w:eastAsia="宋体" w:cs="Times New Roman"/>
                <w:sz w:val="28"/>
              </w:rPr>
            </w:pPr>
            <w:r>
              <w:rPr>
                <w:rFonts w:ascii="Times New Roman" w:hAnsi="Times New Roman" w:eastAsia="宋体" w:cs="Times New Roman"/>
                <w:sz w:val="28"/>
              </w:rPr>
              <w:t>加油站经营</w:t>
            </w:r>
            <w:r>
              <w:rPr>
                <w:rFonts w:hint="eastAsia" w:ascii="Times New Roman" w:hAnsi="Times New Roman" w:eastAsia="宋体" w:cs="Times New Roman"/>
                <w:sz w:val="28"/>
              </w:rPr>
              <w:t>的</w:t>
            </w:r>
            <w:r>
              <w:rPr>
                <w:rFonts w:ascii="Times New Roman" w:hAnsi="Times New Roman" w:eastAsia="宋体" w:cs="Times New Roman"/>
                <w:sz w:val="28"/>
              </w:rPr>
              <w:t>汽油</w:t>
            </w:r>
            <w:r>
              <w:rPr>
                <w:rFonts w:hint="eastAsia" w:ascii="Times New Roman" w:hAnsi="Times New Roman" w:eastAsia="宋体" w:cs="Times New Roman"/>
                <w:sz w:val="28"/>
              </w:rPr>
              <w:t>、柴油</w:t>
            </w:r>
            <w:r>
              <w:rPr>
                <w:rFonts w:ascii="Times New Roman" w:hAnsi="Times New Roman" w:eastAsia="宋体" w:cs="Times New Roman"/>
                <w:sz w:val="28"/>
              </w:rPr>
              <w:t>，其来料运输由专业</w:t>
            </w:r>
            <w:r>
              <w:rPr>
                <w:rFonts w:hint="eastAsia" w:ascii="Times New Roman" w:hAnsi="Times New Roman" w:eastAsia="宋体" w:cs="Times New Roman"/>
                <w:sz w:val="28"/>
              </w:rPr>
              <w:t>柴油、</w:t>
            </w:r>
            <w:r>
              <w:rPr>
                <w:rFonts w:ascii="Times New Roman" w:hAnsi="Times New Roman" w:eastAsia="宋体" w:cs="Times New Roman"/>
                <w:sz w:val="28"/>
              </w:rPr>
              <w:t>汽油运输单位及车辆负责到站，加油站不负责化学品（汽油</w:t>
            </w:r>
            <w:r>
              <w:rPr>
                <w:rFonts w:hint="eastAsia" w:ascii="Times New Roman" w:hAnsi="Times New Roman" w:eastAsia="宋体" w:cs="Times New Roman"/>
                <w:sz w:val="28"/>
              </w:rPr>
              <w:t>、柴油</w:t>
            </w:r>
            <w:r>
              <w:rPr>
                <w:rFonts w:ascii="Times New Roman" w:hAnsi="Times New Roman" w:eastAsia="宋体" w:cs="Times New Roman"/>
                <w:sz w:val="28"/>
              </w:rPr>
              <w:t>）的道路运输。其经营工艺如下：</w:t>
            </w:r>
          </w:p>
          <w:bookmarkEnd w:id="10"/>
          <w:p w14:paraId="6AD8E80B">
            <w:pPr>
              <w:keepNext/>
              <w:keepLines/>
              <w:adjustRightInd w:val="0"/>
              <w:snapToGrid w:val="0"/>
              <w:spacing w:line="520" w:lineRule="exact"/>
              <w:ind w:firstLine="562" w:firstLineChars="200"/>
              <w:outlineLvl w:val="2"/>
              <w:rPr>
                <w:rFonts w:ascii="宋体" w:hAnsi="宋体" w:eastAsia="宋体" w:cs="Times New Roman"/>
                <w:b/>
                <w:bCs/>
                <w:sz w:val="28"/>
                <w:szCs w:val="32"/>
              </w:rPr>
            </w:pPr>
            <w:bookmarkStart w:id="11" w:name="_Toc16334"/>
            <w:r>
              <w:rPr>
                <w:rFonts w:hint="eastAsia" w:ascii="宋体" w:hAnsi="宋体" w:eastAsia="宋体" w:cs="Times New Roman"/>
                <w:b/>
                <w:bCs/>
                <w:sz w:val="28"/>
                <w:szCs w:val="32"/>
              </w:rPr>
              <w:t>2.9.</w:t>
            </w:r>
            <w:r>
              <w:rPr>
                <w:rFonts w:ascii="宋体" w:hAnsi="宋体" w:eastAsia="宋体" w:cs="Times New Roman"/>
                <w:b/>
                <w:bCs/>
                <w:sz w:val="28"/>
                <w:szCs w:val="32"/>
              </w:rPr>
              <w:t>1卸油工艺</w:t>
            </w:r>
            <w:r>
              <w:rPr>
                <w:rFonts w:hint="eastAsia" w:ascii="宋体" w:hAnsi="宋体" w:eastAsia="宋体" w:cs="Times New Roman"/>
                <w:b/>
                <w:bCs/>
                <w:sz w:val="28"/>
                <w:szCs w:val="32"/>
              </w:rPr>
              <w:t>流程</w:t>
            </w:r>
            <w:bookmarkEnd w:id="11"/>
          </w:p>
          <w:p w14:paraId="757DF3D8">
            <w:pPr>
              <w:adjustRightInd w:val="0"/>
              <w:snapToGrid w:val="0"/>
              <w:spacing w:line="500" w:lineRule="exact"/>
              <w:ind w:firstLine="560" w:firstLineChars="200"/>
              <w:rPr>
                <w:rFonts w:ascii="宋体" w:hAnsi="宋体" w:eastAsia="宋体" w:cs="宋体"/>
                <w:sz w:val="28"/>
              </w:rPr>
            </w:pPr>
            <w:r>
              <w:rPr>
                <w:rFonts w:hint="eastAsia" w:ascii="宋体" w:hAnsi="宋体" w:eastAsia="宋体" w:cs="宋体"/>
                <w:sz w:val="28"/>
              </w:rPr>
              <w:t>该站采用密闭自流卸油方式。先检查静电接地装置是否完好，当油品用油罐车拉到加油站后，在卸油口附近停稳熄火，先用加油站的静电接地导线与油罐车的静电导出接点跨接在一起，静置5分钟后导除静电。然后用快速接头将油罐车的卸油软管与储油罐的快速密闭卸油口连接在一起（汽油要同步连接油气回收软管），开始卸油。油品卸完后，先关闭油罐车的阀门，再拆除连通软管及静电接地装置。检查没有溢油、漏油后，人工封闭好卸油口，静置5分钟以后发动油品罐车缓慢离开油罐区。卸油中注意观察管线、阀门等相关设备的运行情况。卸油结束时，检查并确认没有溢油、漏油后，关好阀门，断开卸油快速接头，盖好口盖，清理现场。卸油过程采用卸油油气回收系统。</w:t>
            </w:r>
          </w:p>
          <w:p w14:paraId="05166AF9">
            <w:pPr>
              <w:adjustRightInd w:val="0"/>
              <w:snapToGrid w:val="0"/>
              <w:spacing w:line="500" w:lineRule="exact"/>
              <w:ind w:firstLine="560" w:firstLineChars="200"/>
              <w:rPr>
                <w:rFonts w:ascii="宋体" w:hAnsi="宋体" w:eastAsia="宋体" w:cs="宋体"/>
                <w:sz w:val="28"/>
              </w:rPr>
            </w:pPr>
            <w:r>
              <w:rPr>
                <w:rFonts w:hint="eastAsia" w:ascii="宋体" w:hAnsi="宋体" w:eastAsia="宋体" w:cs="宋体"/>
                <w:sz w:val="28"/>
              </w:rPr>
              <w:t>汽油卸油工艺框图如下：</w:t>
            </w:r>
          </w:p>
          <w:p w14:paraId="28D18D92">
            <w:pPr>
              <w:suppressAutoHyphens/>
              <w:adjustRightInd w:val="0"/>
              <w:snapToGrid w:val="0"/>
              <w:spacing w:line="360" w:lineRule="auto"/>
              <w:ind w:firstLine="480" w:firstLineChars="200"/>
              <w:textAlignment w:val="center"/>
              <w:rPr>
                <w:rFonts w:ascii="宋体" w:hAnsi="宋体" w:eastAsia="宋体" w:cs="宋体"/>
                <w:snapToGrid w:val="0"/>
                <w:kern w:val="0"/>
                <w:sz w:val="24"/>
              </w:rPr>
            </w:pPr>
            <w:r>
              <w:rPr>
                <w:rFonts w:ascii="Times New Roman" w:hAnsi="Times New Roman" w:eastAsia="宋体" w:cs="Times New Roman"/>
                <w:snapToGrid w:val="0"/>
                <w:kern w:val="0"/>
                <w:sz w:val="24"/>
                <w:lang w:val="zh-CN"/>
              </w:rPr>
              <w:object>
                <v:shape id="_x0000_i1025" o:spt="75" alt="" type="#_x0000_t75" style="height:83.7pt;width:384.3pt;" o:ole="t" filled="f" o:preferrelative="t" stroked="f" coordsize="21600,21600">
                  <v:path/>
                  <v:fill on="f" focussize="0,0"/>
                  <v:stroke on="f"/>
                  <v:imagedata r:id="rId5" o:title=""/>
                  <o:lock v:ext="edit" aspectratio="f"/>
                  <w10:wrap type="none"/>
                  <w10:anchorlock/>
                </v:shape>
                <o:OLEObject Type="Embed" ProgID="Visio.Drawing.11" ShapeID="_x0000_i1025" DrawAspect="Content" ObjectID="_1468075725" r:id="rId4">
                  <o:LockedField>false</o:LockedField>
                </o:OLEObject>
              </w:object>
            </w:r>
          </w:p>
          <w:p w14:paraId="4B9D9956">
            <w:pPr>
              <w:adjustRightInd w:val="0"/>
              <w:snapToGrid w:val="0"/>
              <w:spacing w:after="240" w:afterLines="100" w:line="500" w:lineRule="exact"/>
              <w:ind w:firstLine="560" w:firstLineChars="200"/>
              <w:rPr>
                <w:rFonts w:ascii="Times New Roman" w:hAnsi="Times New Roman" w:eastAsia="宋体" w:cs="Times New Roman"/>
                <w:sz w:val="28"/>
              </w:rPr>
            </w:pPr>
            <w:r>
              <w:rPr>
                <w:rFonts w:hint="eastAsia" w:ascii="Times New Roman" w:hAnsi="Times New Roman" w:eastAsia="宋体" w:cs="Times New Roman"/>
                <w:sz w:val="28"/>
              </w:rPr>
              <w:t>柴油卸油工艺框图如下：</w:t>
            </w:r>
          </w:p>
          <w:p w14:paraId="18730EDD">
            <w:pPr>
              <w:suppressAutoHyphens/>
              <w:adjustRightInd w:val="0"/>
              <w:snapToGrid w:val="0"/>
              <w:spacing w:line="500" w:lineRule="exact"/>
              <w:ind w:firstLine="560" w:firstLineChars="200"/>
              <w:jc w:val="center"/>
              <w:textAlignment w:val="center"/>
              <w:rPr>
                <w:rFonts w:ascii="宋体" w:hAnsi="宋体" w:eastAsia="宋体" w:cs="Tahoma"/>
                <w:kern w:val="28"/>
                <w:sz w:val="28"/>
              </w:rPr>
            </w:pPr>
            <w:bookmarkStart w:id="12" w:name="_Toc240859956"/>
            <w:r>
              <w:rPr>
                <w:rFonts w:ascii="Times New Roman" w:hAnsi="Times New Roman" w:eastAsia="宋体" w:cs="Times New Roman"/>
                <w:sz w:val="28"/>
              </w:rPr>
              <w:drawing>
                <wp:inline distT="0" distB="0" distL="0" distR="0">
                  <wp:extent cx="5229225" cy="428625"/>
                  <wp:effectExtent l="0" t="0" r="952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29225" cy="428625"/>
                          </a:xfrm>
                          <a:prstGeom prst="rect">
                            <a:avLst/>
                          </a:prstGeom>
                          <a:noFill/>
                          <a:ln>
                            <a:noFill/>
                          </a:ln>
                        </pic:spPr>
                      </pic:pic>
                    </a:graphicData>
                  </a:graphic>
                </wp:inline>
              </w:drawing>
            </w:r>
          </w:p>
          <w:p w14:paraId="5A5EC896">
            <w:pPr>
              <w:keepNext/>
              <w:keepLines/>
              <w:adjustRightInd w:val="0"/>
              <w:snapToGrid w:val="0"/>
              <w:spacing w:line="520" w:lineRule="exact"/>
              <w:ind w:firstLine="562" w:firstLineChars="200"/>
              <w:outlineLvl w:val="2"/>
              <w:rPr>
                <w:rFonts w:ascii="宋体" w:hAnsi="宋体" w:eastAsia="宋体" w:cs="Times New Roman"/>
                <w:b/>
                <w:bCs/>
                <w:sz w:val="28"/>
                <w:szCs w:val="32"/>
              </w:rPr>
            </w:pPr>
            <w:bookmarkStart w:id="13" w:name="_Toc13879"/>
            <w:r>
              <w:rPr>
                <w:rFonts w:hint="eastAsia" w:ascii="宋体" w:hAnsi="宋体" w:eastAsia="宋体" w:cs="Times New Roman"/>
                <w:b/>
                <w:bCs/>
                <w:sz w:val="28"/>
                <w:szCs w:val="32"/>
              </w:rPr>
              <w:t>2.9.2</w:t>
            </w:r>
            <w:bookmarkEnd w:id="12"/>
            <w:r>
              <w:rPr>
                <w:rFonts w:hint="eastAsia" w:ascii="宋体" w:hAnsi="宋体" w:eastAsia="宋体" w:cs="Times New Roman"/>
                <w:b/>
                <w:bCs/>
                <w:sz w:val="28"/>
                <w:szCs w:val="32"/>
              </w:rPr>
              <w:t>加油工艺流程</w:t>
            </w:r>
            <w:bookmarkEnd w:id="13"/>
          </w:p>
          <w:p w14:paraId="46CB0F04">
            <w:pPr>
              <w:adjustRightInd w:val="0"/>
              <w:snapToGrid w:val="0"/>
              <w:spacing w:after="240" w:afterLines="100" w:line="500" w:lineRule="exact"/>
              <w:ind w:firstLine="560" w:firstLineChars="200"/>
              <w:rPr>
                <w:rFonts w:ascii="Times New Roman" w:hAnsi="Times New Roman" w:eastAsia="宋体" w:cs="Times New Roman"/>
                <w:sz w:val="28"/>
              </w:rPr>
            </w:pPr>
            <w:r>
              <w:rPr>
                <w:rFonts w:hint="eastAsia" w:ascii="Times New Roman" w:hAnsi="Times New Roman" w:eastAsia="宋体" w:cs="Times New Roman"/>
                <w:sz w:val="28"/>
              </w:rPr>
              <w:t>加油作业时，采用潜油泵提供的动力，油品通过加油管道至加油机，油品通过加油管道至加油机，进入受油容器。同时，加汽油作业时，设有油气回收系统，汽油蒸汽通过油气回收管道回至汽油罐。</w:t>
            </w:r>
          </w:p>
          <w:p w14:paraId="19BAFC20">
            <w:pPr>
              <w:adjustRightInd w:val="0"/>
              <w:snapToGrid w:val="0"/>
              <w:spacing w:line="500" w:lineRule="exact"/>
              <w:ind w:firstLine="560" w:firstLineChars="200"/>
              <w:rPr>
                <w:rFonts w:ascii="Times New Roman" w:hAnsi="Times New Roman" w:eastAsia="宋体" w:cs="Times New Roman"/>
                <w:sz w:val="28"/>
              </w:rPr>
            </w:pPr>
            <w:r>
              <w:rPr>
                <w:rFonts w:ascii="Times New Roman" w:hAnsi="Times New Roman" w:eastAsia="宋体" w:cs="Times New Roman"/>
                <w:sz w:val="28"/>
              </w:rPr>
              <w:pict>
                <v:shape id="Object 117" o:spid="_x0000_s1026" o:spt="75" alt="" type="#_x0000_t75" style="position:absolute;left:0pt;margin-left:27.7pt;margin-top:1.4pt;height:196.2pt;width:406.85pt;z-index:251659264;mso-width-relative:page;mso-height-relative:page;" o:ole="t" filled="f" o:preferrelative="t" stroked="f" coordsize="21600,21600">
                  <v:path/>
                  <v:fill on="f" focussize="0,0"/>
                  <v:stroke on="f"/>
                  <v:imagedata r:id="rId8" o:title=""/>
                  <o:lock v:ext="edit" aspectratio="f"/>
                </v:shape>
                <o:OLEObject Type="Embed" ProgID="Visio.Drawing.11" ShapeID="Object 117" DrawAspect="Content" ObjectID="_1468075726" r:id="rId7">
                  <o:LockedField>false</o:LockedField>
                </o:OLEObject>
              </w:pict>
            </w:r>
          </w:p>
          <w:p w14:paraId="21D92971">
            <w:pPr>
              <w:adjustRightInd w:val="0"/>
              <w:snapToGrid w:val="0"/>
              <w:spacing w:line="500" w:lineRule="exact"/>
              <w:ind w:firstLine="560" w:firstLineChars="200"/>
              <w:rPr>
                <w:rFonts w:ascii="Times New Roman" w:hAnsi="Times New Roman" w:eastAsia="宋体" w:cs="Times New Roman"/>
                <w:sz w:val="28"/>
              </w:rPr>
            </w:pPr>
          </w:p>
          <w:p w14:paraId="0F2518F1">
            <w:pPr>
              <w:tabs>
                <w:tab w:val="center" w:pos="4153"/>
                <w:tab w:val="right" w:pos="8306"/>
              </w:tabs>
              <w:adjustRightInd w:val="0"/>
              <w:snapToGrid w:val="0"/>
              <w:spacing w:line="500" w:lineRule="exact"/>
              <w:ind w:firstLine="360" w:firstLineChars="200"/>
              <w:jc w:val="left"/>
              <w:rPr>
                <w:rFonts w:ascii="Times New Roman" w:hAnsi="Times New Roman" w:eastAsia="宋体" w:cs="Times New Roman"/>
                <w:sz w:val="18"/>
                <w:szCs w:val="18"/>
              </w:rPr>
            </w:pPr>
          </w:p>
          <w:p w14:paraId="5E2FB9D0">
            <w:pPr>
              <w:widowControl/>
              <w:adjustRightInd w:val="0"/>
              <w:snapToGrid w:val="0"/>
              <w:spacing w:before="100" w:beforeAutospacing="1" w:after="100" w:afterAutospacing="1" w:line="500" w:lineRule="exact"/>
              <w:ind w:firstLine="480" w:firstLineChars="200"/>
              <w:jc w:val="left"/>
              <w:rPr>
                <w:rFonts w:ascii="宋体" w:hAnsi="宋体" w:eastAsia="宋体" w:cs="Times New Roman"/>
                <w:kern w:val="0"/>
                <w:sz w:val="24"/>
              </w:rPr>
            </w:pPr>
          </w:p>
          <w:p w14:paraId="538EB422">
            <w:pPr>
              <w:wordWrap w:val="0"/>
              <w:ind w:left="2975"/>
              <w:rPr>
                <w:rFonts w:ascii="Times New Roman" w:hAnsi="Times New Roman" w:eastAsia="宋体" w:cs="Times New Roman"/>
                <w:szCs w:val="22"/>
              </w:rPr>
            </w:pPr>
          </w:p>
          <w:p w14:paraId="374ACF81">
            <w:pPr>
              <w:adjustRightInd w:val="0"/>
              <w:snapToGrid w:val="0"/>
              <w:spacing w:line="500" w:lineRule="exact"/>
              <w:ind w:firstLine="560" w:firstLineChars="200"/>
              <w:rPr>
                <w:rFonts w:ascii="Times New Roman" w:hAnsi="Times New Roman" w:eastAsia="宋体" w:cs="Times New Roman"/>
                <w:sz w:val="28"/>
              </w:rPr>
            </w:pPr>
          </w:p>
          <w:p w14:paraId="45917190">
            <w:pPr>
              <w:tabs>
                <w:tab w:val="center" w:pos="4153"/>
                <w:tab w:val="right" w:pos="8306"/>
              </w:tabs>
              <w:adjustRightInd w:val="0"/>
              <w:snapToGrid w:val="0"/>
              <w:spacing w:line="500" w:lineRule="exact"/>
              <w:ind w:firstLine="360" w:firstLineChars="200"/>
              <w:jc w:val="left"/>
              <w:rPr>
                <w:rFonts w:ascii="Times New Roman" w:hAnsi="Times New Roman" w:eastAsia="宋体" w:cs="Times New Roman"/>
                <w:sz w:val="18"/>
                <w:szCs w:val="18"/>
              </w:rPr>
            </w:pPr>
          </w:p>
          <w:p w14:paraId="23481AF5">
            <w:pPr>
              <w:keepNext w:val="0"/>
              <w:keepLines w:val="0"/>
              <w:pageBreakBefore w:val="0"/>
              <w:widowControl/>
              <w:kinsoku/>
              <w:wordWrap/>
              <w:overflowPunct/>
              <w:topLinePunct w:val="0"/>
              <w:autoSpaceDE/>
              <w:autoSpaceDN/>
              <w:bidi w:val="0"/>
              <w:adjustRightInd/>
              <w:snapToGrid/>
              <w:ind w:firstLine="480" w:firstLineChars="200"/>
              <w:jc w:val="left"/>
              <w:textAlignment w:val="auto"/>
              <w:rPr>
                <w:b w:val="0"/>
                <w:bCs/>
                <w:sz w:val="24"/>
                <w:szCs w:val="24"/>
              </w:rPr>
            </w:pPr>
          </w:p>
          <w:p w14:paraId="0240F373">
            <w:pPr>
              <w:bidi w:val="0"/>
              <w:ind w:firstLine="532" w:firstLineChars="0"/>
              <w:jc w:val="left"/>
              <w:rPr>
                <w:rFonts w:hint="eastAsia"/>
                <w:b/>
                <w:bCs/>
                <w:szCs w:val="28"/>
                <w:lang w:val="en-US" w:eastAsia="zh-CN"/>
              </w:rPr>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4"/>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43C137D6">
      <w:pPr>
        <w:rPr>
          <w:rFonts w:hint="eastAsia" w:eastAsia="宋体"/>
          <w:lang w:eastAsia="zh-CN"/>
        </w:rPr>
        <w:sectPr>
          <w:pgSz w:w="11906" w:h="16838"/>
          <w:pgMar w:top="1440" w:right="1800" w:bottom="1440" w:left="1800" w:header="851" w:footer="992" w:gutter="0"/>
          <w:cols w:space="720" w:num="1"/>
          <w:docGrid w:type="lines" w:linePitch="312" w:charSpace="0"/>
        </w:sectPr>
      </w:pPr>
    </w:p>
    <w:p w14:paraId="2A9DFABB">
      <w:r>
        <w:drawing>
          <wp:inline distT="0" distB="0" distL="114300" distR="114300">
            <wp:extent cx="5267960" cy="7459980"/>
            <wp:effectExtent l="0" t="0" r="8890" b="76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267960" cy="7459980"/>
                    </a:xfrm>
                    <a:prstGeom prst="rect">
                      <a:avLst/>
                    </a:prstGeom>
                    <a:noFill/>
                    <a:ln>
                      <a:noFill/>
                    </a:ln>
                  </pic:spPr>
                </pic:pic>
              </a:graphicData>
            </a:graphic>
          </wp:inline>
        </w:drawing>
      </w:r>
      <w:r>
        <w:br w:type="page"/>
      </w:r>
      <w:r>
        <w:drawing>
          <wp:inline distT="0" distB="0" distL="114300" distR="114300">
            <wp:extent cx="5267960" cy="7459980"/>
            <wp:effectExtent l="0" t="0" r="8890" b="762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5267960" cy="7459980"/>
                    </a:xfrm>
                    <a:prstGeom prst="rect">
                      <a:avLst/>
                    </a:prstGeom>
                    <a:noFill/>
                    <a:ln>
                      <a:noFill/>
                    </a:ln>
                  </pic:spPr>
                </pic:pic>
              </a:graphicData>
            </a:graphic>
          </wp:inline>
        </w:drawing>
      </w:r>
      <w:r>
        <w:br w:type="page"/>
      </w:r>
    </w:p>
    <w:p w14:paraId="15BAEE2D">
      <w:pPr>
        <w:pStyle w:val="8"/>
      </w:pPr>
    </w:p>
    <w:p w14:paraId="28AB43C3">
      <w:r>
        <w:drawing>
          <wp:inline distT="0" distB="0" distL="114300" distR="114300">
            <wp:extent cx="5233670" cy="3924935"/>
            <wp:effectExtent l="0" t="0" r="5080" b="18415"/>
            <wp:docPr id="11" name="图片 11" descr="IMG_20260321_11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60321_112756"/>
                    <pic:cNvPicPr>
                      <a:picLocks noChangeAspect="1"/>
                    </pic:cNvPicPr>
                  </pic:nvPicPr>
                  <pic:blipFill>
                    <a:blip r:embed="rId11"/>
                    <a:stretch>
                      <a:fillRect/>
                    </a:stretch>
                  </pic:blipFill>
                  <pic:spPr>
                    <a:xfrm>
                      <a:off x="0" y="0"/>
                      <a:ext cx="5233670" cy="3924935"/>
                    </a:xfrm>
                    <a:prstGeom prst="rect">
                      <a:avLst/>
                    </a:prstGeom>
                  </pic:spPr>
                </pic:pic>
              </a:graphicData>
            </a:graphic>
          </wp:inline>
        </w:drawing>
      </w:r>
    </w:p>
    <w:p w14:paraId="48AFF16E">
      <w:r>
        <w:drawing>
          <wp:inline distT="0" distB="0" distL="114300" distR="114300">
            <wp:extent cx="5233670" cy="3924935"/>
            <wp:effectExtent l="0" t="0" r="5080" b="18415"/>
            <wp:docPr id="12" name="图片 12" descr="IMG_20260321_11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60321_113032"/>
                    <pic:cNvPicPr>
                      <a:picLocks noChangeAspect="1"/>
                    </pic:cNvPicPr>
                  </pic:nvPicPr>
                  <pic:blipFill>
                    <a:blip r:embed="rId12"/>
                    <a:stretch>
                      <a:fillRect/>
                    </a:stretch>
                  </pic:blipFill>
                  <pic:spPr>
                    <a:xfrm>
                      <a:off x="0" y="0"/>
                      <a:ext cx="5233670" cy="3924935"/>
                    </a:xfrm>
                    <a:prstGeom prst="rect">
                      <a:avLst/>
                    </a:prstGeom>
                  </pic:spPr>
                </pic:pic>
              </a:graphicData>
            </a:graphic>
          </wp:inline>
        </w:drawing>
      </w:r>
      <w:r>
        <w:br w:type="page"/>
      </w:r>
    </w:p>
    <w:p w14:paraId="7B5ED8B3">
      <w:pPr>
        <w:rPr>
          <w:rFonts w:hint="eastAsia" w:eastAsia="宋体"/>
          <w:lang w:eastAsia="zh-CN"/>
        </w:rPr>
      </w:pPr>
    </w:p>
    <w:p w14:paraId="76F6EF7C">
      <w:r>
        <w:drawing>
          <wp:inline distT="0" distB="0" distL="114300" distR="114300">
            <wp:extent cx="5262880" cy="6810375"/>
            <wp:effectExtent l="0" t="0" r="13970" b="952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a:stretch>
                      <a:fillRect/>
                    </a:stretch>
                  </pic:blipFill>
                  <pic:spPr>
                    <a:xfrm>
                      <a:off x="0" y="0"/>
                      <a:ext cx="5262880" cy="6810375"/>
                    </a:xfrm>
                    <a:prstGeom prst="rect">
                      <a:avLst/>
                    </a:prstGeom>
                    <a:noFill/>
                    <a:ln>
                      <a:noFill/>
                    </a:ln>
                  </pic:spPr>
                </pic:pic>
              </a:graphicData>
            </a:graphic>
          </wp:inline>
        </w:drawing>
      </w:r>
    </w:p>
    <w:p w14:paraId="3063B77D">
      <w:r>
        <w:br w:type="page"/>
      </w:r>
    </w:p>
    <w:p w14:paraId="16D620A9">
      <w:pPr>
        <w:pStyle w:val="8"/>
      </w:pPr>
      <w:r>
        <w:drawing>
          <wp:inline distT="0" distB="0" distL="114300" distR="114300">
            <wp:extent cx="5259070" cy="7450455"/>
            <wp:effectExtent l="0" t="0" r="17780" b="171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a:stretch>
                      <a:fillRect/>
                    </a:stretch>
                  </pic:blipFill>
                  <pic:spPr>
                    <a:xfrm>
                      <a:off x="0" y="0"/>
                      <a:ext cx="5259070" cy="7450455"/>
                    </a:xfrm>
                    <a:prstGeom prst="rect">
                      <a:avLst/>
                    </a:prstGeom>
                    <a:noFill/>
                    <a:ln>
                      <a:noFill/>
                    </a:ln>
                  </pic:spPr>
                </pic:pic>
              </a:graphicData>
            </a:graphic>
          </wp:inline>
        </w:drawing>
      </w:r>
    </w:p>
    <w:p w14:paraId="21C9E949">
      <w:r>
        <w:br w:type="page"/>
      </w:r>
    </w:p>
    <w:p w14:paraId="79870BEA">
      <w:pPr>
        <w:rPr>
          <w:rFonts w:hint="eastAsia"/>
          <w:lang w:eastAsia="zh-CN"/>
        </w:rPr>
      </w:pPr>
      <w:r>
        <w:drawing>
          <wp:inline distT="0" distB="0" distL="114300" distR="114300">
            <wp:extent cx="5259070" cy="7450455"/>
            <wp:effectExtent l="0" t="0" r="17780" b="1714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a:stretch>
                      <a:fillRect/>
                    </a:stretch>
                  </pic:blipFill>
                  <pic:spPr>
                    <a:xfrm>
                      <a:off x="0" y="0"/>
                      <a:ext cx="5259070" cy="745045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6B2B55"/>
    <w:rsid w:val="057E7A8F"/>
    <w:rsid w:val="059D6561"/>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AB26CD9"/>
    <w:rsid w:val="2BD9110B"/>
    <w:rsid w:val="2C9D3BC7"/>
    <w:rsid w:val="2CF2686E"/>
    <w:rsid w:val="2CFD4E2E"/>
    <w:rsid w:val="2E925474"/>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5583A15"/>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2A00721"/>
    <w:rsid w:val="43120BD6"/>
    <w:rsid w:val="43B14016"/>
    <w:rsid w:val="43F50190"/>
    <w:rsid w:val="4432163F"/>
    <w:rsid w:val="44476729"/>
    <w:rsid w:val="4546743F"/>
    <w:rsid w:val="45A13141"/>
    <w:rsid w:val="46966FC2"/>
    <w:rsid w:val="47EE36B2"/>
    <w:rsid w:val="485E76F8"/>
    <w:rsid w:val="48AF6D87"/>
    <w:rsid w:val="49CE6C17"/>
    <w:rsid w:val="4AD72C2E"/>
    <w:rsid w:val="4CDE060B"/>
    <w:rsid w:val="4E3D5914"/>
    <w:rsid w:val="4E461B89"/>
    <w:rsid w:val="4F4C1097"/>
    <w:rsid w:val="4F540982"/>
    <w:rsid w:val="4F844CD5"/>
    <w:rsid w:val="4FF32FA8"/>
    <w:rsid w:val="50EA0B03"/>
    <w:rsid w:val="512A57AB"/>
    <w:rsid w:val="515A3854"/>
    <w:rsid w:val="5276471A"/>
    <w:rsid w:val="52CC47C0"/>
    <w:rsid w:val="52E07D49"/>
    <w:rsid w:val="534122A6"/>
    <w:rsid w:val="5374510A"/>
    <w:rsid w:val="53F5005F"/>
    <w:rsid w:val="54BA1C16"/>
    <w:rsid w:val="561327C0"/>
    <w:rsid w:val="56183FCE"/>
    <w:rsid w:val="563D2137"/>
    <w:rsid w:val="56836AB2"/>
    <w:rsid w:val="56BC2DE3"/>
    <w:rsid w:val="56D42C4D"/>
    <w:rsid w:val="57301D47"/>
    <w:rsid w:val="57487036"/>
    <w:rsid w:val="575D6537"/>
    <w:rsid w:val="577B3C9E"/>
    <w:rsid w:val="57800B40"/>
    <w:rsid w:val="57CD2DFE"/>
    <w:rsid w:val="5815058C"/>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0"/>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6"/>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jc w:val="left"/>
    </w:pPr>
    <w:rPr>
      <w:rFonts w:ascii="宋体"/>
      <w:b/>
      <w:bCs/>
      <w:caps/>
      <w:sz w:val="20"/>
      <w:szCs w:val="20"/>
    </w:rPr>
  </w:style>
  <w:style w:type="paragraph" w:styleId="18">
    <w:name w:val="Body Text Indent 3"/>
    <w:basedOn w:val="1"/>
    <w:autoRedefine/>
    <w:qFormat/>
    <w:uiPriority w:val="0"/>
    <w:pPr>
      <w:ind w:firstLine="630"/>
    </w:pPr>
    <w:rPr>
      <w:rFonts w:ascii="Times New Roman" w:hAnsi="Times New Roman" w:eastAsia="仿宋_GB2312"/>
      <w:sz w:val="28"/>
    </w:rPr>
  </w:style>
  <w:style w:type="paragraph" w:styleId="19">
    <w:name w:val="Normal (Web)"/>
    <w:basedOn w:val="1"/>
    <w:next w:val="20"/>
    <w:autoRedefine/>
    <w:qFormat/>
    <w:uiPriority w:val="0"/>
    <w:pPr>
      <w:spacing w:before="100" w:beforeAutospacing="1" w:after="100" w:afterAutospacing="1"/>
      <w:jc w:val="left"/>
    </w:pPr>
    <w:rPr>
      <w:kern w:val="0"/>
      <w:sz w:val="24"/>
    </w:rPr>
  </w:style>
  <w:style w:type="paragraph" w:customStyle="1" w:styleId="20">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Body Text First Indent"/>
    <w:basedOn w:val="8"/>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1"/>
    <w:basedOn w:val="27"/>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7">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
    <w:basedOn w:val="30"/>
    <w:next w:val="22"/>
    <w:autoRedefine/>
    <w:qFormat/>
    <w:uiPriority w:val="0"/>
    <w:pPr>
      <w:autoSpaceDE w:val="0"/>
      <w:autoSpaceDN w:val="0"/>
    </w:pPr>
    <w:rPr>
      <w:rFonts w:hint="eastAsia" w:ascii="宋体"/>
      <w:sz w:val="24"/>
    </w:rPr>
  </w:style>
  <w:style w:type="paragraph" w:customStyle="1" w:styleId="30">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1">
    <w:name w:val="正文2"/>
    <w:basedOn w:val="1"/>
    <w:autoRedefine/>
    <w:qFormat/>
    <w:uiPriority w:val="0"/>
    <w:pPr>
      <w:spacing w:line="440" w:lineRule="atLeast"/>
      <w:ind w:firstLine="567"/>
    </w:pPr>
    <w:rPr>
      <w:sz w:val="24"/>
      <w:szCs w:val="20"/>
    </w:rPr>
  </w:style>
  <w:style w:type="paragraph" w:customStyle="1" w:styleId="32">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3">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4">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5">
    <w:name w:val="p0"/>
    <w:basedOn w:val="1"/>
    <w:autoRedefine/>
    <w:qFormat/>
    <w:uiPriority w:val="0"/>
    <w:pPr>
      <w:widowControl/>
    </w:pPr>
    <w:rPr>
      <w:kern w:val="0"/>
      <w:szCs w:val="21"/>
    </w:rPr>
  </w:style>
  <w:style w:type="character" w:customStyle="1" w:styleId="36">
    <w:name w:val="批注框文本 字符"/>
    <w:basedOn w:val="24"/>
    <w:link w:val="14"/>
    <w:autoRedefine/>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4"/>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4"/>
    <w:link w:val="12"/>
    <w:autoRedefine/>
    <w:qFormat/>
    <w:uiPriority w:val="0"/>
    <w:rPr>
      <w:b/>
      <w:bCs/>
      <w:kern w:val="2"/>
      <w:sz w:val="28"/>
      <w:szCs w:val="24"/>
    </w:rPr>
  </w:style>
  <w:style w:type="paragraph" w:customStyle="1" w:styleId="51">
    <w:name w:val="AAA"/>
    <w:basedOn w:val="1"/>
    <w:qFormat/>
    <w:uiPriority w:val="0"/>
    <w:pPr>
      <w:ind w:firstLine="200" w:firstLineChars="200"/>
      <w:contextualSpacing/>
    </w:pPr>
    <w:rPr>
      <w:color w:val="000000"/>
      <w:szCs w:val="24"/>
    </w:rPr>
  </w:style>
  <w:style w:type="paragraph" w:customStyle="1" w:styleId="52">
    <w:name w:val="BBB"/>
    <w:qFormat/>
    <w:uiPriority w:val="99"/>
    <w:pPr>
      <w:spacing w:after="160" w:line="278" w:lineRule="auto"/>
      <w:jc w:val="center"/>
    </w:pPr>
    <w:rPr>
      <w:rFonts w:ascii="宋体" w:hAnsi="宋体" w:eastAsia="宋体" w:cs="Times New Roman"/>
      <w:bCs/>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emf"/><Relationship Id="rId7" Type="http://schemas.openxmlformats.org/officeDocument/2006/relationships/oleObject" Target="embeddings/Microsoft_Visio_2003-2010___2.vsd"/><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oleObject" Target="embeddings/Microsoft_Visio_2003-2010___1.vsd"/><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Pages>
  <Words>1139</Words>
  <Characters>1388</Characters>
  <Lines>8</Lines>
  <Paragraphs>2</Paragraphs>
  <TotalTime>3</TotalTime>
  <ScaleCrop>false</ScaleCrop>
  <LinksUpToDate>false</LinksUpToDate>
  <CharactersWithSpaces>1392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2026-05-07T01:30:56Z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77F6FFB7071447A3BD68A63C9F68CEFD_13</vt:lpwstr>
  </property>
  <property fmtid="{D5CDD505-2E9C-101B-9397-08002B2CF9AE}" pid="4" name="KSOTemplateDocerSaveRecord">
    <vt:lpwstr>eyJoZGlkIjoiYzJmYThmZTViOGE1ZWVkN2ZmYjcyMzk1NTlmNjQ2YjIiLCJ1c2VySWQiOiI0OTA1OTA4NjAifQ==</vt:lpwstr>
  </property>
</Properties>
</file>