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E64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4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6"/>
        <w:gridCol w:w="1128"/>
        <w:gridCol w:w="4803"/>
        <w:gridCol w:w="2115"/>
      </w:tblGrid>
      <w:tr w14:paraId="2BAB0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AF31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04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0755C1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cs="宋体"/>
                <w:lang w:eastAsia="zh-CN"/>
              </w:rPr>
              <w:t>吉安正扬电路有限公司配套危险化学品经营储存项目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安全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条件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评价报告</w:t>
            </w:r>
          </w:p>
        </w:tc>
      </w:tr>
      <w:tr w14:paraId="04AF1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DDF14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04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4C4CC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2026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EFF2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442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C8A51D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5190A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7511B6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02781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6D54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404C5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3FC45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3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B56D90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D66A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熊克书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3657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S011035000110192001546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07D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027024</w:t>
            </w:r>
          </w:p>
        </w:tc>
      </w:tr>
      <w:tr w14:paraId="01A4E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396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69E34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2220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谢雨飞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F7BD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20211004636000000716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5FF8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36230354334</w:t>
            </w:r>
          </w:p>
        </w:tc>
      </w:tr>
      <w:tr w14:paraId="0F2BA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9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6D179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31B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周巧云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54E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2023104632000007942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A3F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32240386462</w:t>
            </w:r>
          </w:p>
        </w:tc>
      </w:tr>
      <w:tr w14:paraId="423C5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9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6BB98D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320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蓝家财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245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201911046360000294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DC6C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53220292316</w:t>
            </w:r>
          </w:p>
        </w:tc>
      </w:tr>
      <w:tr w14:paraId="011B0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9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7B04B95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508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刘二平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1A6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03320241036000000887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039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37250438462</w:t>
            </w:r>
          </w:p>
        </w:tc>
      </w:tr>
      <w:tr w14:paraId="4F9CE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9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542EE4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20B2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张志辉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C9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S011011000110193000138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C5E2B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038124</w:t>
            </w:r>
          </w:p>
        </w:tc>
      </w:tr>
      <w:tr w14:paraId="0664B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5419EC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04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155A6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  <w:bookmarkStart w:id="0" w:name="_GoBack"/>
            <w:bookmarkEnd w:id="0"/>
          </w:p>
        </w:tc>
      </w:tr>
      <w:tr w14:paraId="7701F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3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81712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04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5711E2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熊克书</w:t>
            </w:r>
            <w:r>
              <w:rPr>
                <w:rFonts w:hint="eastAsia"/>
                <w:sz w:val="24"/>
                <w:lang w:val="en-US" w:eastAsia="zh-CN"/>
              </w:rPr>
              <w:t>2026年1月15日</w:t>
            </w:r>
          </w:p>
        </w:tc>
      </w:tr>
      <w:tr w14:paraId="699DF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  <w:jc w:val="center"/>
        </w:trPr>
        <w:tc>
          <w:tcPr>
            <w:tcW w:w="13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480C70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04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100CE6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/</w:t>
            </w:r>
          </w:p>
        </w:tc>
      </w:tr>
      <w:tr w14:paraId="47F82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28975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046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7C3B1C0A">
            <w:pPr>
              <w:ind w:firstLine="560"/>
            </w:pPr>
            <w:r>
              <w:rPr>
                <w:rFonts w:hint="eastAsia"/>
              </w:rPr>
              <w:t>吉安正扬电路有限公司（以下简称“该公司”）成立于2020年11月24日，统一社会信用代码：91360800MA39RGYH7D。公司注册资本：叁仟伍佰万元整，公司类型属：其他有限责任公司，法定代表人：敖继杰。公司注册地址：江西省吉安市吉水县城西工业区。厂区总占地面积73164.4</w:t>
            </w:r>
            <w:r>
              <w:rPr>
                <w:rFonts w:hint="eastAsia"/>
                <w:lang w:eastAsia="zh-CN"/>
              </w:rPr>
              <w:t>㎡</w:t>
            </w:r>
            <w:r>
              <w:rPr>
                <w:rFonts w:hint="eastAsia"/>
              </w:rPr>
              <w:t>。</w:t>
            </w:r>
          </w:p>
          <w:p w14:paraId="308F7D26">
            <w:pPr>
              <w:ind w:firstLine="560"/>
            </w:pPr>
            <w:r>
              <w:rPr>
                <w:rFonts w:hint="eastAsia"/>
              </w:rPr>
              <w:t>该公司现有生产高密度印刷线路板项目，根据该公司统筹安排，该公司决定</w:t>
            </w:r>
            <w:r>
              <w:rPr>
                <w:rFonts w:hint="eastAsia"/>
                <w:lang w:val="en-US" w:eastAsia="zh-CN"/>
              </w:rPr>
              <w:t>利用原有的</w:t>
            </w:r>
            <w:r>
              <w:rPr>
                <w:rFonts w:hint="eastAsia"/>
              </w:rPr>
              <w:t>201储罐区、202甲类仓库，用于储存硝酸、硫酸、盐酸等15种物料，部分自用，部分外售。2025年6月4日取得了由吉水县工业和信息化局颁发的项目备案通知书，项目名称为：吉安正扬电路有限公司配套危险化学品经营储存项目，项目统一代码为：2506-360822-07-02-561512</w:t>
            </w:r>
            <w:r>
              <w:t>。</w:t>
            </w:r>
          </w:p>
          <w:p w14:paraId="422E1AD2">
            <w:pPr>
              <w:spacing w:line="240" w:lineRule="auto"/>
              <w:ind w:firstLine="560"/>
              <w:rPr>
                <w:rFonts w:hint="eastAsia"/>
                <w:snapToGrid w:val="0"/>
              </w:rPr>
            </w:pPr>
          </w:p>
        </w:tc>
      </w:tr>
      <w:tr w14:paraId="56586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0BC4E94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046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24BED707">
            <w:pPr>
              <w:keepNext w:val="0"/>
              <w:keepLines w:val="0"/>
              <w:widowControl/>
              <w:suppressLineNumbers w:val="0"/>
              <w:ind w:left="0" w:leftChars="0" w:firstLine="218" w:firstLineChars="104"/>
              <w:jc w:val="left"/>
              <w:rPr>
                <w:rFonts w:hint="eastAsia" w:eastAsia="宋体"/>
                <w:color w:val="auto"/>
                <w:highlight w:val="none"/>
                <w:lang w:eastAsia="zh-CN"/>
              </w:rPr>
            </w:pPr>
            <w:r>
              <w:rPr>
                <w:rFonts w:hint="eastAsia" w:eastAsia="宋体"/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4378960" cy="709930"/>
                  <wp:effectExtent l="0" t="0" r="2540" b="13970"/>
                  <wp:docPr id="12" name="图片 12" descr="工艺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工艺图片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960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ABCC0">
            <w:pPr>
              <w:pStyle w:val="21"/>
              <w:ind w:left="0" w:leftChars="0" w:firstLine="0" w:firstLineChars="0"/>
            </w:pPr>
          </w:p>
        </w:tc>
      </w:tr>
      <w:tr w14:paraId="2BDE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954F8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04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A8D79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59419F0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4E46B583">
      <w:pPr>
        <w:rPr>
          <w:rFonts w:hint="eastAsia"/>
          <w:lang w:eastAsia="zh-CN"/>
        </w:rPr>
      </w:pPr>
    </w:p>
    <w:p w14:paraId="423483E3">
      <w:pPr>
        <w:spacing w:line="240" w:lineRule="auto"/>
        <w:ind w:firstLine="0" w:firstLineChars="0"/>
        <w:jc w:val="left"/>
        <w:rPr>
          <w:rFonts w:cs="宋体"/>
          <w:highlight w:val="yellow"/>
        </w:rPr>
      </w:pPr>
      <w:r>
        <w:drawing>
          <wp:inline distT="0" distB="0" distL="114300" distR="114300">
            <wp:extent cx="5535295" cy="4276725"/>
            <wp:effectExtent l="0" t="0" r="825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39105" cy="3658235"/>
            <wp:effectExtent l="0" t="0" r="4445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3807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813CF">
      <w:pPr>
        <w:pStyle w:val="21"/>
        <w:ind w:left="0" w:leftChars="0" w:firstLine="0" w:firstLineChars="0"/>
        <w:jc w:val="center"/>
      </w:pPr>
      <w:r>
        <w:drawing>
          <wp:inline distT="0" distB="0" distL="114300" distR="114300">
            <wp:extent cx="5617845" cy="7945755"/>
            <wp:effectExtent l="0" t="0" r="1905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DFF98">
      <w:pPr>
        <w:pStyle w:val="21"/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548880" cy="5474970"/>
            <wp:effectExtent l="0" t="0" r="11430" b="13970"/>
            <wp:wrapTopAndBottom/>
            <wp:docPr id="5" name="图片 5" descr="54634ba0de400d53e5da20180f92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4634ba0de400d53e5da20180f923833"/>
                    <pic:cNvPicPr>
                      <a:picLocks noChangeAspect="1"/>
                    </pic:cNvPicPr>
                  </pic:nvPicPr>
                  <pic:blipFill>
                    <a:blip r:embed="rId8"/>
                    <a:srcRect l="109" t="3119" r="-109" b="1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8880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0D1">
      <w:pPr>
        <w:pStyle w:val="21"/>
        <w:ind w:left="0" w:leftChars="0" w:firstLine="0" w:firstLineChars="0"/>
        <w:jc w:val="center"/>
        <w:rPr>
          <w:rFonts w:hint="eastAsia"/>
          <w:lang w:eastAsia="zh-CN"/>
        </w:rPr>
      </w:pPr>
      <w:r>
        <w:rPr>
          <w:rFonts w:hint="eastAsia" w:eastAsia="宋体" w:cs="Times New Roman"/>
          <w:lang w:eastAsia="zh-CN"/>
        </w:rPr>
        <w:drawing>
          <wp:inline distT="0" distB="0" distL="114300" distR="114300">
            <wp:extent cx="8275955" cy="5502910"/>
            <wp:effectExtent l="0" t="0" r="2540" b="0"/>
            <wp:docPr id="6" name="图片 6" descr="43a5b8a84bc90376fb4c2fd3f88a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3a5b8a84bc90376fb4c2fd3f88a3459"/>
                    <pic:cNvPicPr>
                      <a:picLocks noChangeAspect="1"/>
                    </pic:cNvPicPr>
                  </pic:nvPicPr>
                  <pic:blipFill>
                    <a:blip r:embed="rId9"/>
                    <a:srcRect l="434" t="6885" r="-796" b="41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75955" cy="55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7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194B7C"/>
    <w:rsid w:val="002012A2"/>
    <w:rsid w:val="00303C12"/>
    <w:rsid w:val="003A7C06"/>
    <w:rsid w:val="004340C8"/>
    <w:rsid w:val="00443349"/>
    <w:rsid w:val="004D1AF7"/>
    <w:rsid w:val="005858BE"/>
    <w:rsid w:val="00727066"/>
    <w:rsid w:val="00756850"/>
    <w:rsid w:val="00787BD2"/>
    <w:rsid w:val="007A2261"/>
    <w:rsid w:val="007C3A9A"/>
    <w:rsid w:val="00802085"/>
    <w:rsid w:val="008F01AE"/>
    <w:rsid w:val="009570B9"/>
    <w:rsid w:val="009A19ED"/>
    <w:rsid w:val="00C341C7"/>
    <w:rsid w:val="00C65B3D"/>
    <w:rsid w:val="00C75118"/>
    <w:rsid w:val="00C82162"/>
    <w:rsid w:val="00D40559"/>
    <w:rsid w:val="00D93BC0"/>
    <w:rsid w:val="00E3751A"/>
    <w:rsid w:val="00E95F3C"/>
    <w:rsid w:val="00F46A10"/>
    <w:rsid w:val="00F60933"/>
    <w:rsid w:val="00FF47EE"/>
    <w:rsid w:val="01381A2C"/>
    <w:rsid w:val="014333ED"/>
    <w:rsid w:val="01E43C17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54F4E8B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8FD6983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227BA"/>
    <w:rsid w:val="0D073DB5"/>
    <w:rsid w:val="0D081033"/>
    <w:rsid w:val="0E564C35"/>
    <w:rsid w:val="0EC817E1"/>
    <w:rsid w:val="0F1C6141"/>
    <w:rsid w:val="0F423341"/>
    <w:rsid w:val="0FE07C54"/>
    <w:rsid w:val="0FFD1618"/>
    <w:rsid w:val="10806817"/>
    <w:rsid w:val="10A546BD"/>
    <w:rsid w:val="10AD0B5D"/>
    <w:rsid w:val="10AE1BD9"/>
    <w:rsid w:val="10D96D50"/>
    <w:rsid w:val="117D68B3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2061EA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AF71484"/>
    <w:rsid w:val="1B63147C"/>
    <w:rsid w:val="1C2F6387"/>
    <w:rsid w:val="1C3244B8"/>
    <w:rsid w:val="1C3E4E60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2802D7"/>
    <w:rsid w:val="1F373426"/>
    <w:rsid w:val="1F642D26"/>
    <w:rsid w:val="1FAC2BD1"/>
    <w:rsid w:val="1FC658C9"/>
    <w:rsid w:val="1FF45CE7"/>
    <w:rsid w:val="20176124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944ACD"/>
    <w:rsid w:val="2BD9110B"/>
    <w:rsid w:val="2C9D3BC7"/>
    <w:rsid w:val="2CF2686E"/>
    <w:rsid w:val="2E9E272A"/>
    <w:rsid w:val="2EAE6403"/>
    <w:rsid w:val="2EAF6F46"/>
    <w:rsid w:val="2F5C124E"/>
    <w:rsid w:val="30E35519"/>
    <w:rsid w:val="31055C5A"/>
    <w:rsid w:val="3256187C"/>
    <w:rsid w:val="3259568C"/>
    <w:rsid w:val="32A31CA7"/>
    <w:rsid w:val="32A66941"/>
    <w:rsid w:val="334B2415"/>
    <w:rsid w:val="339918AA"/>
    <w:rsid w:val="33BD2F62"/>
    <w:rsid w:val="33C148CD"/>
    <w:rsid w:val="33E01751"/>
    <w:rsid w:val="341F407D"/>
    <w:rsid w:val="34BD4A82"/>
    <w:rsid w:val="351530F3"/>
    <w:rsid w:val="351B1DBB"/>
    <w:rsid w:val="35211925"/>
    <w:rsid w:val="35524794"/>
    <w:rsid w:val="36577381"/>
    <w:rsid w:val="366115C7"/>
    <w:rsid w:val="368F242B"/>
    <w:rsid w:val="36E75766"/>
    <w:rsid w:val="37285AB1"/>
    <w:rsid w:val="375C6F30"/>
    <w:rsid w:val="3781684D"/>
    <w:rsid w:val="3823766B"/>
    <w:rsid w:val="396748BA"/>
    <w:rsid w:val="39AC13AD"/>
    <w:rsid w:val="3A751F6D"/>
    <w:rsid w:val="3AAA1C17"/>
    <w:rsid w:val="3AB6680E"/>
    <w:rsid w:val="3AD61658"/>
    <w:rsid w:val="3ADD7367"/>
    <w:rsid w:val="3AF50232"/>
    <w:rsid w:val="3B251FB8"/>
    <w:rsid w:val="3B3712DA"/>
    <w:rsid w:val="3B516ED3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4915BF6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A657908"/>
    <w:rsid w:val="4BE40D01"/>
    <w:rsid w:val="4CDE060B"/>
    <w:rsid w:val="4E2E60EA"/>
    <w:rsid w:val="4E3D5914"/>
    <w:rsid w:val="4E461B89"/>
    <w:rsid w:val="4E834801"/>
    <w:rsid w:val="4F4C1097"/>
    <w:rsid w:val="4F844CD5"/>
    <w:rsid w:val="4F9D18F3"/>
    <w:rsid w:val="4FB01626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253F0"/>
    <w:rsid w:val="563D2137"/>
    <w:rsid w:val="565D015E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3628E4"/>
    <w:rsid w:val="584B13F6"/>
    <w:rsid w:val="59217B49"/>
    <w:rsid w:val="59656964"/>
    <w:rsid w:val="59A860E0"/>
    <w:rsid w:val="59D926D2"/>
    <w:rsid w:val="5A034680"/>
    <w:rsid w:val="5AA52A54"/>
    <w:rsid w:val="5B070568"/>
    <w:rsid w:val="5B856EE5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12DAE"/>
    <w:rsid w:val="6098413C"/>
    <w:rsid w:val="60B44CEE"/>
    <w:rsid w:val="60B460AF"/>
    <w:rsid w:val="60CF38D6"/>
    <w:rsid w:val="619747AF"/>
    <w:rsid w:val="621C336D"/>
    <w:rsid w:val="62864468"/>
    <w:rsid w:val="629E5C56"/>
    <w:rsid w:val="62A05F08"/>
    <w:rsid w:val="62EA5BC6"/>
    <w:rsid w:val="630737FB"/>
    <w:rsid w:val="638C3AFD"/>
    <w:rsid w:val="63C25DAA"/>
    <w:rsid w:val="64126CC6"/>
    <w:rsid w:val="648F0582"/>
    <w:rsid w:val="64F540D9"/>
    <w:rsid w:val="6559245A"/>
    <w:rsid w:val="65622F6B"/>
    <w:rsid w:val="658C415A"/>
    <w:rsid w:val="65BD6D5B"/>
    <w:rsid w:val="66415650"/>
    <w:rsid w:val="66C53C4A"/>
    <w:rsid w:val="673B297E"/>
    <w:rsid w:val="678F323C"/>
    <w:rsid w:val="67F105D6"/>
    <w:rsid w:val="67FD6F7B"/>
    <w:rsid w:val="68233EA0"/>
    <w:rsid w:val="68A30209"/>
    <w:rsid w:val="68C86C57"/>
    <w:rsid w:val="69C2222A"/>
    <w:rsid w:val="6AA57F27"/>
    <w:rsid w:val="6CC37EB5"/>
    <w:rsid w:val="6D1139EB"/>
    <w:rsid w:val="6D27066C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17476DC"/>
    <w:rsid w:val="717958C4"/>
    <w:rsid w:val="71BE777B"/>
    <w:rsid w:val="7207397B"/>
    <w:rsid w:val="729E3A33"/>
    <w:rsid w:val="72C43B37"/>
    <w:rsid w:val="73670AB5"/>
    <w:rsid w:val="737D1DEA"/>
    <w:rsid w:val="73840024"/>
    <w:rsid w:val="74150FF5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CB65A5"/>
    <w:rsid w:val="79F44E86"/>
    <w:rsid w:val="79FE7AE0"/>
    <w:rsid w:val="7A083C89"/>
    <w:rsid w:val="7AA15E8B"/>
    <w:rsid w:val="7B424553"/>
    <w:rsid w:val="7BB96559"/>
    <w:rsid w:val="7BF25D18"/>
    <w:rsid w:val="7C304A31"/>
    <w:rsid w:val="7C6520EB"/>
    <w:rsid w:val="7C85225C"/>
    <w:rsid w:val="7D1943FF"/>
    <w:rsid w:val="7D7347EF"/>
    <w:rsid w:val="7D9755D5"/>
    <w:rsid w:val="7D9B14E2"/>
    <w:rsid w:val="7DB761A8"/>
    <w:rsid w:val="7DD52B5A"/>
    <w:rsid w:val="7E522673"/>
    <w:rsid w:val="7E81400A"/>
    <w:rsid w:val="7EA63A70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next w:val="1"/>
    <w:qFormat/>
    <w:uiPriority w:val="99"/>
    <w:rPr>
      <w:sz w:val="28"/>
      <w:szCs w:val="28"/>
    </w:rPr>
  </w:style>
  <w:style w:type="paragraph" w:styleId="8">
    <w:name w:val="Body Text Indent"/>
    <w:basedOn w:val="1"/>
    <w:next w:val="9"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6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2"/>
    <w:qFormat/>
    <w:uiPriority w:val="0"/>
    <w:rPr>
      <w:sz w:val="18"/>
      <w:szCs w:val="18"/>
    </w:rPr>
  </w:style>
  <w:style w:type="paragraph" w:styleId="14">
    <w:name w:val="footer"/>
    <w:basedOn w:val="1"/>
    <w:next w:val="1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Normal (Web)"/>
    <w:basedOn w:val="1"/>
    <w:next w:val="16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6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0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styleId="21">
    <w:name w:val="Body Text First Indent 2"/>
    <w:basedOn w:val="8"/>
    <w:next w:val="22"/>
    <w:unhideWhenUsed/>
    <w:qFormat/>
    <w:uiPriority w:val="99"/>
    <w:pPr>
      <w:ind w:firstLine="420" w:firstLineChars="200"/>
    </w:pPr>
  </w:style>
  <w:style w:type="paragraph" w:customStyle="1" w:styleId="22">
    <w:name w:val="正文2"/>
    <w:basedOn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5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6">
    <w:name w:val="Default"/>
    <w:basedOn w:val="27"/>
    <w:next w:val="21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7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8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9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0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2">
    <w:name w:val="批注框文本 字符"/>
    <w:basedOn w:val="24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3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表头 Char Char Char"/>
    <w:basedOn w:val="24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qFormat/>
    <w:uiPriority w:val="0"/>
    <w:pPr>
      <w:jc w:val="center"/>
    </w:pPr>
  </w:style>
  <w:style w:type="paragraph" w:customStyle="1" w:styleId="36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4"/>
    <w:link w:val="11"/>
    <w:qFormat/>
    <w:uiPriority w:val="0"/>
    <w:rPr>
      <w:b/>
      <w:bCs/>
      <w:kern w:val="2"/>
      <w:sz w:val="28"/>
      <w:szCs w:val="24"/>
    </w:rPr>
  </w:style>
  <w:style w:type="paragraph" w:customStyle="1" w:styleId="47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425</Words>
  <Characters>656</Characters>
  <Lines>8</Lines>
  <Paragraphs>2</Paragraphs>
  <TotalTime>2</TotalTime>
  <ScaleCrop>false</ScaleCrop>
  <LinksUpToDate>false</LinksUpToDate>
  <CharactersWithSpaces>656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2026-04-17T01:45:36Z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5C88D413137D442EB52E8690CE9EA6B7_13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