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宋体" w:hAnsi="宋体" w:cs="宋体"/>
                <w:sz w:val="24"/>
                <w:lang w:eastAsia="zh-CN"/>
              </w:rPr>
              <w:t>吉水城控石化能源有限公司醪桥服务区加油站安全现状评价报告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hint="default" w:ascii="宋体" w:hAnsi="宋体" w:eastAsia="宋体" w:cs="宋体"/>
                <w:sz w:val="24"/>
                <w:lang w:val="en-US" w:eastAsia="zh-CN"/>
              </w:rPr>
            </w:pPr>
            <w:r>
              <w:rPr>
                <w:rFonts w:hint="eastAsia" w:ascii="宋体" w:hAnsi="宋体" w:cs="宋体"/>
                <w:sz w:val="24"/>
                <w:lang w:val="en-US" w:eastAsia="zh-CN"/>
              </w:rPr>
              <w:t>2026</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r>
              <w:rPr>
                <w:rFonts w:hint="eastAsia" w:ascii="宋体" w:hAnsi="宋体" w:cs="宋体"/>
                <w:sz w:val="24"/>
                <w:lang w:val="en-US" w:eastAsia="zh-CN"/>
              </w:rPr>
              <w:t>19日</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谢雨飞</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2021100463000000716</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36230354334</w:t>
            </w:r>
          </w:p>
        </w:tc>
      </w:tr>
      <w:tr w14:paraId="52CF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continue"/>
            <w:tcBorders>
              <w:tl2br w:val="nil"/>
              <w:tr2bl w:val="nil"/>
            </w:tcBorders>
            <w:shd w:val="clear" w:color="auto" w:fill="FFFFFF"/>
            <w:vAlign w:val="center"/>
          </w:tcPr>
          <w:p w14:paraId="553163EB">
            <w:pPr>
              <w:jc w:val="center"/>
              <w:rPr>
                <w:rFonts w:hint="eastAsia" w:ascii="宋体" w:hAnsi="宋体" w:cs="宋体"/>
                <w:sz w:val="24"/>
              </w:rPr>
            </w:pPr>
          </w:p>
        </w:tc>
        <w:tc>
          <w:tcPr>
            <w:tcW w:w="1237" w:type="dxa"/>
            <w:tcBorders>
              <w:tl2br w:val="nil"/>
              <w:tr2bl w:val="nil"/>
            </w:tcBorders>
            <w:shd w:val="clear" w:color="auto" w:fill="FFFFFF"/>
            <w:vAlign w:val="center"/>
          </w:tcPr>
          <w:p w14:paraId="24EF4D7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曾淑慧</w:t>
            </w:r>
          </w:p>
        </w:tc>
        <w:tc>
          <w:tcPr>
            <w:tcW w:w="4803" w:type="dxa"/>
            <w:tcBorders>
              <w:tl2br w:val="nil"/>
              <w:tr2bl w:val="nil"/>
            </w:tcBorders>
            <w:shd w:val="clear" w:color="auto" w:fill="FFFFFF"/>
            <w:vAlign w:val="center"/>
          </w:tcPr>
          <w:p w14:paraId="26CB393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03320241036000001117</w:t>
            </w:r>
          </w:p>
        </w:tc>
        <w:tc>
          <w:tcPr>
            <w:tcW w:w="2115" w:type="dxa"/>
            <w:tcBorders>
              <w:tl2br w:val="nil"/>
              <w:tr2bl w:val="nil"/>
            </w:tcBorders>
            <w:shd w:val="clear" w:color="auto" w:fill="FFFFFF"/>
            <w:vAlign w:val="center"/>
          </w:tcPr>
          <w:p w14:paraId="0ADF966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36250437078</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79BD236">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于志勇</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2014033230330000003310230030</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51190209624</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程冬红</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1500000000301714</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026812</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刘二平</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03320241036000000887</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37250438462</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w:t>
            </w:r>
            <w:r>
              <w:rPr>
                <w:rFonts w:hint="eastAsia"/>
                <w:b w:val="0"/>
                <w:bCs w:val="0"/>
                <w:sz w:val="24"/>
                <w:szCs w:val="22"/>
                <w:lang w:val="en-US" w:eastAsia="zh-CN"/>
              </w:rPr>
              <w:t>2026</w:t>
            </w:r>
            <w:r>
              <w:rPr>
                <w:rFonts w:hint="eastAsia"/>
                <w:b w:val="0"/>
                <w:bCs w:val="0"/>
                <w:sz w:val="24"/>
                <w:szCs w:val="22"/>
                <w:lang w:eastAsia="zh-CN"/>
              </w:rPr>
              <w:t>年</w:t>
            </w:r>
            <w:r>
              <w:rPr>
                <w:rFonts w:hint="eastAsia"/>
                <w:b w:val="0"/>
                <w:bCs w:val="0"/>
                <w:sz w:val="24"/>
                <w:szCs w:val="22"/>
                <w:lang w:val="en-US" w:eastAsia="zh-CN"/>
              </w:rPr>
              <w:t>3</w:t>
            </w:r>
            <w:r>
              <w:rPr>
                <w:rFonts w:hint="eastAsia"/>
                <w:b w:val="0"/>
                <w:bCs w:val="0"/>
                <w:sz w:val="24"/>
                <w:szCs w:val="22"/>
                <w:lang w:eastAsia="zh-CN"/>
              </w:rPr>
              <w:t>月</w:t>
            </w:r>
            <w:r>
              <w:rPr>
                <w:rFonts w:hint="eastAsia"/>
                <w:b w:val="0"/>
                <w:bCs w:val="0"/>
                <w:sz w:val="24"/>
                <w:szCs w:val="22"/>
                <w:lang w:val="en-US" w:eastAsia="zh-CN"/>
              </w:rPr>
              <w:t>10</w:t>
            </w:r>
            <w:r>
              <w:rPr>
                <w:rFonts w:hint="eastAsia"/>
                <w:b w:val="0"/>
                <w:bCs w:val="0"/>
                <w:sz w:val="24"/>
                <w:szCs w:val="22"/>
                <w:lang w:eastAsia="zh-CN"/>
              </w:rPr>
              <w:t>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谢雨飞2026年3月12日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ADC9753">
            <w:pPr>
              <w:spacing w:line="240" w:lineRule="auto"/>
              <w:ind w:firstLine="560"/>
              <w:rPr>
                <w:rFonts w:hint="eastAsia" w:ascii="宋体" w:hAnsi="宋体" w:eastAsia="宋体" w:cs="宋体"/>
                <w:sz w:val="21"/>
                <w:szCs w:val="21"/>
                <w:lang w:eastAsia="zh-CN"/>
              </w:rPr>
            </w:pPr>
            <w:r>
              <w:rPr>
                <w:rFonts w:hint="eastAsia" w:ascii="宋体" w:hAnsi="宋体" w:eastAsia="宋体" w:cs="宋体"/>
                <w:sz w:val="21"/>
                <w:szCs w:val="21"/>
                <w:lang w:val="en-US" w:eastAsia="zh-CN"/>
              </w:rPr>
              <w:t>吉水城控石化能源有限公司醪桥服务区加油站</w:t>
            </w:r>
            <w:r>
              <w:rPr>
                <w:rFonts w:hint="eastAsia" w:ascii="宋体" w:hAnsi="宋体" w:eastAsia="宋体" w:cs="宋体"/>
                <w:color w:val="auto"/>
                <w:sz w:val="21"/>
                <w:szCs w:val="21"/>
              </w:rPr>
              <w:t>于</w:t>
            </w:r>
            <w:r>
              <w:rPr>
                <w:rFonts w:hint="eastAsia" w:ascii="宋体" w:hAnsi="宋体" w:eastAsia="宋体" w:cs="宋体"/>
                <w:color w:val="auto"/>
                <w:sz w:val="21"/>
                <w:szCs w:val="21"/>
                <w:lang w:val="en-US" w:eastAsia="zh-CN"/>
              </w:rPr>
              <w:t>2023</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28</w:t>
            </w:r>
            <w:r>
              <w:rPr>
                <w:rFonts w:hint="eastAsia" w:ascii="宋体" w:hAnsi="宋体" w:eastAsia="宋体" w:cs="宋体"/>
                <w:color w:val="auto"/>
                <w:sz w:val="21"/>
                <w:szCs w:val="21"/>
                <w:lang w:eastAsia="zh-CN"/>
              </w:rPr>
              <w:t>日</w:t>
            </w:r>
            <w:r>
              <w:rPr>
                <w:rFonts w:hint="eastAsia" w:ascii="宋体" w:hAnsi="宋体" w:eastAsia="宋体" w:cs="宋体"/>
                <w:color w:val="auto"/>
                <w:sz w:val="21"/>
                <w:szCs w:val="21"/>
              </w:rPr>
              <w:t>经</w:t>
            </w:r>
            <w:r>
              <w:rPr>
                <w:rFonts w:hint="eastAsia" w:ascii="宋体" w:hAnsi="宋体" w:eastAsia="宋体" w:cs="宋体"/>
                <w:color w:val="auto"/>
                <w:sz w:val="21"/>
                <w:szCs w:val="21"/>
                <w:lang w:val="en-US" w:eastAsia="zh-CN"/>
              </w:rPr>
              <w:t>吉水县市场监督管理局</w:t>
            </w:r>
            <w:r>
              <w:rPr>
                <w:rFonts w:hint="eastAsia" w:ascii="宋体" w:hAnsi="宋体" w:eastAsia="宋体" w:cs="宋体"/>
                <w:color w:val="auto"/>
                <w:sz w:val="21"/>
                <w:szCs w:val="21"/>
              </w:rPr>
              <w:t>核准注册成立，</w:t>
            </w:r>
            <w:r>
              <w:rPr>
                <w:rFonts w:hint="eastAsia" w:ascii="宋体" w:hAnsi="宋体" w:eastAsia="宋体" w:cs="宋体"/>
                <w:color w:val="auto"/>
                <w:sz w:val="21"/>
                <w:szCs w:val="21"/>
                <w:lang w:val="en-US" w:eastAsia="zh-CN"/>
              </w:rPr>
              <w:t>2026年2月9日变更负责人，现负责人为欧阳明，</w:t>
            </w:r>
            <w:r>
              <w:rPr>
                <w:rFonts w:hint="eastAsia" w:ascii="宋体" w:hAnsi="宋体" w:eastAsia="宋体" w:cs="宋体"/>
                <w:color w:val="auto"/>
                <w:sz w:val="21"/>
                <w:szCs w:val="21"/>
              </w:rPr>
              <w:t>营业场所</w:t>
            </w:r>
            <w:r>
              <w:rPr>
                <w:rFonts w:hint="eastAsia" w:ascii="宋体" w:hAnsi="宋体" w:eastAsia="宋体" w:cs="宋体"/>
                <w:color w:val="auto"/>
                <w:spacing w:val="-2"/>
                <w:sz w:val="21"/>
                <w:szCs w:val="21"/>
              </w:rPr>
              <w:t>位于</w:t>
            </w:r>
            <w:r>
              <w:rPr>
                <w:rFonts w:hint="eastAsia" w:ascii="宋体" w:hAnsi="宋体" w:eastAsia="宋体" w:cs="宋体"/>
                <w:color w:val="auto"/>
                <w:spacing w:val="-2"/>
                <w:sz w:val="21"/>
                <w:szCs w:val="21"/>
                <w:lang w:val="en-US" w:eastAsia="zh-CN"/>
              </w:rPr>
              <w:t>江西省吉安市吉水县新G105国道服务区加油站(醪桥至青原区草坪桥段)</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类型：其他有限责任公司分公司</w:t>
            </w:r>
            <w:r>
              <w:rPr>
                <w:rFonts w:hint="eastAsia" w:ascii="宋体" w:hAnsi="宋体" w:eastAsia="宋体" w:cs="宋体"/>
                <w:color w:val="auto"/>
                <w:sz w:val="21"/>
                <w:szCs w:val="21"/>
              </w:rPr>
              <w:t>，</w:t>
            </w:r>
            <w:r>
              <w:rPr>
                <w:rFonts w:hint="eastAsia" w:ascii="宋体" w:hAnsi="宋体" w:eastAsia="宋体" w:cs="宋体"/>
                <w:sz w:val="21"/>
                <w:szCs w:val="21"/>
              </w:rPr>
              <w:t>该公司营业执照经营范围：一般项目:凭总公司授权开展经营活动(除依法须经批准的项目外，凭营业执照依法自主开展经营活动)</w:t>
            </w:r>
            <w:r>
              <w:rPr>
                <w:rFonts w:hint="eastAsia" w:ascii="宋体" w:hAnsi="宋体" w:eastAsia="宋体" w:cs="宋体"/>
                <w:sz w:val="21"/>
                <w:szCs w:val="21"/>
                <w:lang w:eastAsia="zh-CN"/>
              </w:rPr>
              <w:t>。</w:t>
            </w:r>
          </w:p>
          <w:p w14:paraId="35055A53">
            <w:pPr>
              <w:spacing w:line="240" w:lineRule="auto"/>
              <w:ind w:firstLine="56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吉水城控石化能源有限公司为江西吉湖新能源有限公司合资公司，吉水县新G105国道服务区加油站醪桥至青原区草坪桥段项目为江西吉湖新能源有限公司投资并建设，吉水城控石化能源有限公司租赁其场所经营。</w:t>
            </w:r>
          </w:p>
          <w:p w14:paraId="27E7A641">
            <w:pPr>
              <w:spacing w:line="240" w:lineRule="auto"/>
              <w:ind w:firstLine="56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吉水城控石化能源有限公司醪桥服务区加油站</w:t>
            </w:r>
            <w:r>
              <w:rPr>
                <w:rFonts w:hint="eastAsia" w:ascii="宋体" w:hAnsi="宋体" w:eastAsia="宋体" w:cs="宋体"/>
                <w:color w:val="auto"/>
                <w:sz w:val="21"/>
                <w:szCs w:val="21"/>
              </w:rPr>
              <w:t>占地面积</w:t>
            </w:r>
            <w:r>
              <w:rPr>
                <w:rFonts w:hint="eastAsia" w:ascii="宋体" w:hAnsi="宋体" w:eastAsia="宋体" w:cs="宋体"/>
                <w:color w:val="auto"/>
                <w:sz w:val="21"/>
                <w:szCs w:val="21"/>
                <w:lang w:val="en-US" w:eastAsia="zh-CN"/>
              </w:rPr>
              <w:t>2770㎡</w:t>
            </w:r>
            <w:r>
              <w:rPr>
                <w:rFonts w:hint="eastAsia" w:ascii="宋体" w:hAnsi="宋体" w:eastAsia="宋体" w:cs="宋体"/>
                <w:color w:val="auto"/>
                <w:sz w:val="21"/>
                <w:szCs w:val="21"/>
              </w:rPr>
              <w:t>，加油站中设有</w:t>
            </w:r>
            <w:r>
              <w:rPr>
                <w:rFonts w:hint="eastAsia" w:ascii="宋体" w:hAnsi="宋体" w:eastAsia="宋体" w:cs="宋体"/>
                <w:color w:val="auto"/>
                <w:sz w:val="21"/>
                <w:szCs w:val="21"/>
                <w:lang w:val="en-US" w:eastAsia="zh-CN"/>
              </w:rPr>
              <w:t>1台0#柴油/0#柴油/0#柴油/92#汽油4枪加油机、1台0#柴油/92#汽油/0#柴油/95#汽油4枪加油机、1台92#汽油/92#汽油/92#汽油/95#汽油4枪加油机、</w:t>
            </w:r>
            <w:r>
              <w:rPr>
                <w:rFonts w:hint="eastAsia" w:ascii="宋体" w:hAnsi="宋体" w:eastAsia="宋体" w:cs="宋体"/>
                <w:color w:val="auto"/>
                <w:sz w:val="21"/>
                <w:szCs w:val="21"/>
                <w:highlight w:val="none"/>
                <w:lang w:val="en-US" w:eastAsia="zh-CN"/>
              </w:rPr>
              <w:t>尿素加注机（防爆，按柴油加油机确认）布置；</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台</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lang w:eastAsia="zh-CN"/>
              </w:rPr>
              <w:t>m³</w:t>
            </w:r>
            <w:r>
              <w:rPr>
                <w:rFonts w:hint="eastAsia" w:ascii="宋体" w:hAnsi="宋体" w:eastAsia="宋体" w:cs="宋体"/>
                <w:color w:val="auto"/>
                <w:sz w:val="21"/>
                <w:szCs w:val="21"/>
                <w:lang w:val="en-US" w:eastAsia="zh-CN"/>
              </w:rPr>
              <w:t>95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汽油双层埋地储罐、1</w:t>
            </w:r>
            <w:r>
              <w:rPr>
                <w:rFonts w:hint="eastAsia" w:ascii="宋体" w:hAnsi="宋体" w:eastAsia="宋体" w:cs="宋体"/>
                <w:color w:val="auto"/>
                <w:sz w:val="21"/>
                <w:szCs w:val="21"/>
                <w:lang w:eastAsia="zh-CN"/>
              </w:rPr>
              <w:t>台</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lang w:eastAsia="zh-CN"/>
              </w:rPr>
              <w:t>m³</w:t>
            </w:r>
            <w:r>
              <w:rPr>
                <w:rFonts w:hint="eastAsia" w:ascii="宋体" w:hAnsi="宋体" w:eastAsia="宋体" w:cs="宋体"/>
                <w:color w:val="auto"/>
                <w:sz w:val="21"/>
                <w:szCs w:val="21"/>
                <w:lang w:val="en-US" w:eastAsia="zh-CN"/>
              </w:rPr>
              <w:t>92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汽油双层埋地储罐、2</w:t>
            </w:r>
            <w:r>
              <w:rPr>
                <w:rFonts w:hint="eastAsia" w:ascii="宋体" w:hAnsi="宋体" w:eastAsia="宋体" w:cs="宋体"/>
                <w:color w:val="auto"/>
                <w:sz w:val="21"/>
                <w:szCs w:val="21"/>
                <w:lang w:eastAsia="zh-CN"/>
              </w:rPr>
              <w:t>台</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lang w:eastAsia="zh-CN"/>
              </w:rPr>
              <w:t>m³</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柴油双层埋地储罐，</w:t>
            </w:r>
            <w:r>
              <w:rPr>
                <w:rFonts w:hint="eastAsia" w:ascii="宋体" w:hAnsi="宋体" w:eastAsia="宋体" w:cs="宋体"/>
                <w:color w:val="auto"/>
                <w:sz w:val="21"/>
                <w:szCs w:val="21"/>
                <w:lang w:eastAsia="zh-CN"/>
              </w:rPr>
              <w:t>油品最大储存能力为</w:t>
            </w:r>
            <w:r>
              <w:rPr>
                <w:rFonts w:hint="eastAsia" w:ascii="宋体" w:hAnsi="宋体" w:eastAsia="宋体" w:cs="宋体"/>
                <w:color w:val="auto"/>
                <w:sz w:val="21"/>
                <w:szCs w:val="21"/>
                <w:lang w:val="en-US" w:eastAsia="zh-CN"/>
              </w:rPr>
              <w:t>130</w:t>
            </w:r>
            <w:r>
              <w:rPr>
                <w:rFonts w:hint="eastAsia" w:ascii="宋体" w:hAnsi="宋体" w:eastAsia="宋体" w:cs="宋体"/>
                <w:color w:val="auto"/>
                <w:sz w:val="21"/>
                <w:szCs w:val="21"/>
                <w:lang w:eastAsia="zh-CN"/>
              </w:rPr>
              <w:t>m³</w:t>
            </w:r>
            <w:r>
              <w:rPr>
                <w:rFonts w:hint="eastAsia" w:ascii="宋体" w:hAnsi="宋体" w:eastAsia="宋体" w:cs="宋体"/>
                <w:color w:val="auto"/>
                <w:sz w:val="21"/>
                <w:szCs w:val="21"/>
              </w:rPr>
              <w:t>（柴油罐容积折半计入油罐总容积）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属</w:t>
            </w:r>
            <w:r>
              <w:rPr>
                <w:rFonts w:hint="eastAsia" w:ascii="宋体" w:hAnsi="宋体" w:eastAsia="宋体" w:cs="宋体"/>
                <w:color w:val="auto"/>
                <w:sz w:val="21"/>
                <w:szCs w:val="21"/>
                <w:lang w:val="en-US" w:eastAsia="zh-CN"/>
              </w:rPr>
              <w:t>二级</w:t>
            </w:r>
            <w:r>
              <w:rPr>
                <w:rFonts w:hint="eastAsia" w:ascii="宋体" w:hAnsi="宋体" w:eastAsia="宋体" w:cs="宋体"/>
                <w:color w:val="auto"/>
                <w:sz w:val="21"/>
                <w:szCs w:val="21"/>
              </w:rPr>
              <w:t>加油站，汽油卸油、加油设置了油气回收系统。</w:t>
            </w:r>
          </w:p>
          <w:p w14:paraId="0DC24D5D">
            <w:pPr>
              <w:spacing w:line="240" w:lineRule="auto"/>
              <w:ind w:firstLine="560"/>
              <w:rPr>
                <w:rFonts w:hint="eastAsia" w:ascii="宋体" w:hAnsi="宋体" w:eastAsia="宋体" w:cs="宋体"/>
                <w:color w:val="FF0000"/>
                <w:sz w:val="21"/>
                <w:szCs w:val="21"/>
              </w:rPr>
            </w:pPr>
            <w:r>
              <w:rPr>
                <w:rFonts w:hint="eastAsia" w:ascii="宋体" w:hAnsi="宋体" w:eastAsia="宋体" w:cs="宋体"/>
                <w:sz w:val="21"/>
                <w:szCs w:val="21"/>
                <w:lang w:val="en-US" w:eastAsia="zh-CN"/>
              </w:rPr>
              <w:t>吉水城控石化能源有限公司醪桥服务区加油站</w:t>
            </w:r>
            <w:r>
              <w:rPr>
                <w:rFonts w:hint="eastAsia" w:ascii="宋体" w:hAnsi="宋体" w:eastAsia="宋体" w:cs="宋体"/>
                <w:color w:val="auto"/>
                <w:sz w:val="21"/>
                <w:szCs w:val="21"/>
              </w:rPr>
              <w:t>于</w:t>
            </w:r>
            <w:r>
              <w:rPr>
                <w:rFonts w:hint="eastAsia" w:ascii="宋体" w:hAnsi="宋体" w:eastAsia="宋体" w:cs="宋体"/>
                <w:color w:val="auto"/>
                <w:sz w:val="21"/>
                <w:szCs w:val="21"/>
                <w:lang w:val="en-US" w:eastAsia="zh-CN"/>
              </w:rPr>
              <w:t>2023</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26</w:t>
            </w:r>
            <w:r>
              <w:rPr>
                <w:rFonts w:hint="eastAsia" w:ascii="宋体" w:hAnsi="宋体" w:eastAsia="宋体" w:cs="宋体"/>
                <w:color w:val="auto"/>
                <w:sz w:val="21"/>
                <w:szCs w:val="21"/>
                <w:lang w:eastAsia="zh-CN"/>
              </w:rPr>
              <w:t>日</w:t>
            </w:r>
            <w:r>
              <w:rPr>
                <w:rFonts w:hint="eastAsia" w:ascii="宋体" w:hAnsi="宋体" w:eastAsia="宋体" w:cs="宋体"/>
                <w:color w:val="auto"/>
                <w:sz w:val="21"/>
                <w:szCs w:val="21"/>
              </w:rPr>
              <w:t>经</w:t>
            </w:r>
            <w:r>
              <w:rPr>
                <w:rFonts w:hint="eastAsia" w:ascii="宋体" w:hAnsi="宋体" w:eastAsia="宋体" w:cs="宋体"/>
                <w:color w:val="auto"/>
                <w:sz w:val="21"/>
                <w:szCs w:val="21"/>
                <w:lang w:val="en-US" w:eastAsia="zh-CN"/>
              </w:rPr>
              <w:t>吉安市</w:t>
            </w:r>
            <w:r>
              <w:rPr>
                <w:rFonts w:hint="eastAsia" w:ascii="宋体" w:hAnsi="宋体" w:eastAsia="宋体" w:cs="宋体"/>
                <w:color w:val="auto"/>
                <w:sz w:val="21"/>
                <w:szCs w:val="21"/>
              </w:rPr>
              <w:t>应急管理局核准，换发了新的《危险化学品经营许可证》，证书编号：赣</w:t>
            </w:r>
            <w:r>
              <w:rPr>
                <w:rFonts w:hint="eastAsia" w:ascii="宋体" w:hAnsi="宋体" w:eastAsia="宋体" w:cs="宋体"/>
                <w:color w:val="auto"/>
                <w:sz w:val="21"/>
                <w:szCs w:val="21"/>
                <w:lang w:val="en-US" w:eastAsia="zh-CN"/>
              </w:rPr>
              <w:t>吉危化经字</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2023</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360800000030</w:t>
            </w:r>
            <w:r>
              <w:rPr>
                <w:rFonts w:hint="eastAsia" w:ascii="宋体" w:hAnsi="宋体" w:eastAsia="宋体" w:cs="宋体"/>
                <w:color w:val="auto"/>
                <w:sz w:val="21"/>
                <w:szCs w:val="21"/>
                <w:lang w:eastAsia="zh-CN"/>
              </w:rPr>
              <w:t>号</w:t>
            </w:r>
            <w:r>
              <w:rPr>
                <w:rFonts w:hint="eastAsia" w:ascii="宋体" w:hAnsi="宋体" w:eastAsia="宋体" w:cs="宋体"/>
                <w:color w:val="auto"/>
                <w:sz w:val="21"/>
                <w:szCs w:val="21"/>
              </w:rPr>
              <w:t>，许可范围：</w:t>
            </w:r>
            <w:r>
              <w:rPr>
                <w:rFonts w:hint="eastAsia" w:ascii="宋体" w:hAnsi="宋体" w:eastAsia="宋体" w:cs="宋体"/>
                <w:color w:val="auto"/>
                <w:sz w:val="21"/>
                <w:szCs w:val="21"/>
                <w:lang w:val="en-US" w:eastAsia="zh-CN"/>
              </w:rPr>
              <w:t>汽油、柴油</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有效期</w:t>
            </w:r>
            <w:r>
              <w:rPr>
                <w:rFonts w:hint="eastAsia" w:ascii="宋体" w:hAnsi="宋体" w:eastAsia="宋体" w:cs="宋体"/>
                <w:color w:val="auto"/>
                <w:sz w:val="21"/>
                <w:szCs w:val="21"/>
                <w:lang w:val="en-US" w:eastAsia="zh-CN"/>
              </w:rPr>
              <w:t>2023</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日至</w:t>
            </w:r>
            <w:r>
              <w:rPr>
                <w:rFonts w:hint="eastAsia" w:ascii="宋体" w:hAnsi="宋体" w:eastAsia="宋体" w:cs="宋体"/>
                <w:color w:val="auto"/>
                <w:sz w:val="21"/>
                <w:szCs w:val="21"/>
                <w:lang w:val="en-US" w:eastAsia="zh-CN"/>
              </w:rPr>
              <w:t>2026</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日</w:t>
            </w:r>
            <w:r>
              <w:rPr>
                <w:rFonts w:hint="eastAsia" w:ascii="宋体" w:hAnsi="宋体" w:eastAsia="宋体" w:cs="宋体"/>
                <w:color w:val="auto"/>
                <w:sz w:val="21"/>
                <w:szCs w:val="21"/>
              </w:rPr>
              <w:t>。</w:t>
            </w:r>
          </w:p>
          <w:p w14:paraId="6CA038A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宋体"/>
                <w:color w:val="000000"/>
                <w:sz w:val="28"/>
                <w:szCs w:val="28"/>
                <w:highlight w:val="none"/>
                <w:lang w:eastAsia="zh-Hans"/>
              </w:rPr>
            </w:pPr>
            <w:r>
              <w:rPr>
                <w:rFonts w:hint="eastAsia" w:ascii="宋体" w:hAnsi="宋体" w:eastAsia="宋体" w:cs="宋体"/>
                <w:sz w:val="21"/>
                <w:szCs w:val="21"/>
                <w:lang w:val="en-US" w:eastAsia="zh-CN"/>
              </w:rPr>
              <w:t>吉水城控石化能源有限公司醪桥服务区加油站</w:t>
            </w:r>
            <w:r>
              <w:rPr>
                <w:rFonts w:hint="eastAsia" w:ascii="宋体" w:hAnsi="宋体" w:eastAsia="宋体" w:cs="宋体"/>
                <w:color w:val="auto"/>
                <w:sz w:val="21"/>
                <w:szCs w:val="21"/>
                <w:highlight w:val="none"/>
                <w:lang w:val="en-US" w:eastAsia="zh-CN"/>
              </w:rPr>
              <w:t>2025</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rPr>
              <w:t>经</w:t>
            </w:r>
            <w:r>
              <w:rPr>
                <w:rFonts w:hint="eastAsia" w:ascii="宋体" w:hAnsi="宋体" w:eastAsia="宋体" w:cs="宋体"/>
                <w:color w:val="auto"/>
                <w:sz w:val="21"/>
                <w:szCs w:val="21"/>
                <w:highlight w:val="none"/>
                <w:lang w:val="en-US" w:eastAsia="zh-CN"/>
              </w:rPr>
              <w:t>吉安市商务局</w:t>
            </w:r>
            <w:r>
              <w:rPr>
                <w:rFonts w:hint="eastAsia" w:ascii="宋体" w:hAnsi="宋体" w:eastAsia="宋体" w:cs="宋体"/>
                <w:color w:val="auto"/>
                <w:sz w:val="21"/>
                <w:szCs w:val="21"/>
                <w:highlight w:val="none"/>
              </w:rPr>
              <w:t>核准，换取了新的《成品油零售经营批准证书》，证书编号：</w:t>
            </w:r>
            <w:r>
              <w:rPr>
                <w:rFonts w:hint="eastAsia" w:ascii="宋体" w:hAnsi="宋体" w:eastAsia="宋体" w:cs="宋体"/>
                <w:color w:val="auto"/>
                <w:sz w:val="21"/>
                <w:szCs w:val="21"/>
                <w:highlight w:val="none"/>
                <w:lang w:eastAsia="zh-CN"/>
              </w:rPr>
              <w:t>油零售证书第吉</w:t>
            </w:r>
            <w:r>
              <w:rPr>
                <w:rFonts w:hint="eastAsia" w:ascii="宋体" w:hAnsi="宋体" w:eastAsia="宋体" w:cs="宋体"/>
                <w:color w:val="auto"/>
                <w:sz w:val="21"/>
                <w:szCs w:val="21"/>
                <w:highlight w:val="none"/>
                <w:lang w:val="en-US" w:eastAsia="zh-CN"/>
              </w:rPr>
              <w:t>0455</w:t>
            </w:r>
            <w:r>
              <w:rPr>
                <w:rFonts w:hint="eastAsia" w:ascii="宋体" w:hAnsi="宋体" w:eastAsia="宋体" w:cs="宋体"/>
                <w:color w:val="auto"/>
                <w:sz w:val="21"/>
                <w:szCs w:val="21"/>
                <w:highlight w:val="none"/>
                <w:lang w:eastAsia="zh-CN"/>
              </w:rPr>
              <w:t>号</w:t>
            </w:r>
            <w:r>
              <w:rPr>
                <w:rFonts w:hint="eastAsia" w:ascii="宋体" w:hAnsi="宋体" w:eastAsia="宋体" w:cs="宋体"/>
                <w:color w:val="auto"/>
                <w:sz w:val="21"/>
                <w:szCs w:val="21"/>
                <w:highlight w:val="none"/>
              </w:rPr>
              <w:t>，批准从事成品油（汽油、柴油）零售业务。证书有效期至</w:t>
            </w:r>
            <w:r>
              <w:rPr>
                <w:rFonts w:hint="eastAsia" w:ascii="宋体" w:hAnsi="宋体" w:eastAsia="宋体" w:cs="宋体"/>
                <w:color w:val="auto"/>
                <w:sz w:val="21"/>
                <w:szCs w:val="21"/>
                <w:highlight w:val="none"/>
                <w:lang w:val="en-US" w:eastAsia="zh-CN"/>
              </w:rPr>
              <w:t>2025</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日至</w:t>
            </w:r>
            <w:r>
              <w:rPr>
                <w:rFonts w:hint="eastAsia" w:ascii="宋体" w:hAnsi="宋体" w:eastAsia="宋体" w:cs="宋体"/>
                <w:color w:val="auto"/>
                <w:sz w:val="21"/>
                <w:szCs w:val="21"/>
                <w:highlight w:val="none"/>
                <w:lang w:val="en-US" w:eastAsia="zh-CN"/>
              </w:rPr>
              <w:t>2030</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rPr>
              <w:t>。</w:t>
            </w:r>
          </w:p>
          <w:p w14:paraId="3B600B1E">
            <w:pPr>
              <w:bidi w:val="0"/>
              <w:rPr>
                <w:rFonts w:hint="eastAsia"/>
                <w:lang w:eastAsia="zh-CN"/>
              </w:rPr>
            </w:pPr>
          </w:p>
          <w:p w14:paraId="037F1136">
            <w:pPr>
              <w:spacing w:line="240" w:lineRule="auto"/>
              <w:ind w:firstLine="560"/>
              <w:rPr>
                <w:rFonts w:hint="eastAsia"/>
                <w:snapToGrid w:val="0"/>
              </w:rPr>
            </w:pP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ind w:left="0" w:leftChars="0" w:firstLine="218" w:firstLineChars="104"/>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78960" cy="709930"/>
                  <wp:effectExtent l="0" t="0" r="2540" b="13970"/>
                  <wp:docPr id="12" name="图片 12" descr="工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图片"/>
                          <pic:cNvPicPr>
                            <a:picLocks noChangeAspect="1"/>
                          </pic:cNvPicPr>
                        </pic:nvPicPr>
                        <pic:blipFill>
                          <a:blip r:embed="rId4"/>
                          <a:stretch>
                            <a:fillRect/>
                          </a:stretch>
                        </pic:blipFill>
                        <pic:spPr>
                          <a:xfrm>
                            <a:off x="0" y="0"/>
                            <a:ext cx="4378960" cy="70993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2B1DFF98">
      <w:pPr>
        <w:pStyle w:val="21"/>
        <w:ind w:left="0" w:leftChars="0" w:firstLine="0" w:firstLineChars="0"/>
        <w:jc w:val="center"/>
      </w:pPr>
      <w:r>
        <w:rPr>
          <w:rFonts w:hint="eastAsia"/>
          <w:color w:val="FF0000"/>
          <w:highlight w:val="none"/>
        </w:rPr>
        <w:drawing>
          <wp:anchor distT="0" distB="0" distL="114300" distR="114300" simplePos="0" relativeHeight="251659264" behindDoc="0" locked="0" layoutInCell="1" allowOverlap="1">
            <wp:simplePos x="0" y="0"/>
            <wp:positionH relativeFrom="column">
              <wp:posOffset>66040</wp:posOffset>
            </wp:positionH>
            <wp:positionV relativeFrom="paragraph">
              <wp:posOffset>4545330</wp:posOffset>
            </wp:positionV>
            <wp:extent cx="5812155" cy="4358640"/>
            <wp:effectExtent l="0" t="0" r="4445" b="10160"/>
            <wp:wrapNone/>
            <wp:docPr id="10" name="图片 5" descr="ed0ce99de12b57d25f719f7d14315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ed0ce99de12b57d25f719f7d1431599d"/>
                    <pic:cNvPicPr>
                      <a:picLocks noChangeAspect="1"/>
                    </pic:cNvPicPr>
                  </pic:nvPicPr>
                  <pic:blipFill>
                    <a:blip r:embed="rId5"/>
                    <a:stretch>
                      <a:fillRect/>
                    </a:stretch>
                  </pic:blipFill>
                  <pic:spPr>
                    <a:xfrm>
                      <a:off x="0" y="0"/>
                      <a:ext cx="5812155" cy="4358640"/>
                    </a:xfrm>
                    <a:prstGeom prst="rect">
                      <a:avLst/>
                    </a:prstGeom>
                    <a:noFill/>
                    <a:ln>
                      <a:noFill/>
                    </a:ln>
                  </pic:spPr>
                </pic:pic>
              </a:graphicData>
            </a:graphic>
          </wp:anchor>
        </w:drawing>
      </w:r>
      <w:r>
        <w:rPr>
          <w:rFonts w:hint="eastAsia"/>
          <w:color w:val="FF0000"/>
          <w:lang w:val="en-US" w:eastAsia="zh-CN"/>
        </w:rPr>
        <w:drawing>
          <wp:inline distT="0" distB="0" distL="114300" distR="114300">
            <wp:extent cx="5912485" cy="4434205"/>
            <wp:effectExtent l="0" t="0" r="12065" b="4445"/>
            <wp:docPr id="9" name="图片 4" descr="b921304808a8a0b6b3624a0cae6b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b921304808a8a0b6b3624a0cae6b7055"/>
                    <pic:cNvPicPr>
                      <a:picLocks noChangeAspect="1"/>
                    </pic:cNvPicPr>
                  </pic:nvPicPr>
                  <pic:blipFill>
                    <a:blip r:embed="rId6"/>
                    <a:stretch>
                      <a:fillRect/>
                    </a:stretch>
                  </pic:blipFill>
                  <pic:spPr>
                    <a:xfrm>
                      <a:off x="0" y="0"/>
                      <a:ext cx="5912485" cy="4434205"/>
                    </a:xfrm>
                    <a:prstGeom prst="rect">
                      <a:avLst/>
                    </a:prstGeom>
                    <a:noFill/>
                    <a:ln>
                      <a:noFill/>
                    </a:ln>
                  </pic:spPr>
                </pic:pic>
              </a:graphicData>
            </a:graphic>
          </wp:inline>
        </w:drawing>
      </w:r>
      <w:bookmarkStart w:id="0" w:name="_GoBack"/>
      <w:bookmarkEnd w:id="0"/>
    </w:p>
    <w:p w14:paraId="1700518E">
      <w:pPr>
        <w:pStyle w:val="22"/>
        <w:ind w:left="0" w:leftChars="0" w:firstLine="0" w:firstLineChars="0"/>
      </w:pPr>
    </w:p>
    <w:p w14:paraId="101981B2">
      <w:pPr>
        <w:pStyle w:val="22"/>
        <w:ind w:left="0" w:leftChars="0" w:firstLine="0" w:firstLineChars="0"/>
      </w:pPr>
      <w:r>
        <w:drawing>
          <wp:inline distT="0" distB="0" distL="114300" distR="114300">
            <wp:extent cx="5760085" cy="7200265"/>
            <wp:effectExtent l="0" t="0" r="5715" b="635"/>
            <wp:docPr id="13" name="图片 7"/>
            <wp:cNvGraphicFramePr/>
            <a:graphic xmlns:a="http://schemas.openxmlformats.org/drawingml/2006/main">
              <a:graphicData uri="http://schemas.openxmlformats.org/drawingml/2006/picture">
                <pic:pic xmlns:pic="http://schemas.openxmlformats.org/drawingml/2006/picture">
                  <pic:nvPicPr>
                    <pic:cNvPr id="13" name="图片 7"/>
                    <pic:cNvPicPr/>
                  </pic:nvPicPr>
                  <pic:blipFill>
                    <a:blip r:embed="rId7"/>
                    <a:stretch>
                      <a:fillRect/>
                    </a:stretch>
                  </pic:blipFill>
                  <pic:spPr>
                    <a:xfrm>
                      <a:off x="0" y="0"/>
                      <a:ext cx="5760085" cy="7200265"/>
                    </a:xfrm>
                    <a:prstGeom prst="rect">
                      <a:avLst/>
                    </a:prstGeom>
                    <a:noFill/>
                    <a:ln>
                      <a:noFill/>
                    </a:ln>
                  </pic:spPr>
                </pic:pic>
              </a:graphicData>
            </a:graphic>
          </wp:inline>
        </w:drawing>
      </w:r>
    </w:p>
    <w:p w14:paraId="4ED97352">
      <w:pPr>
        <w:pStyle w:val="22"/>
        <w:ind w:left="0" w:leftChars="0" w:firstLine="0" w:firstLineChars="0"/>
      </w:pPr>
      <w:r>
        <w:drawing>
          <wp:inline distT="0" distB="0" distL="114300" distR="114300">
            <wp:extent cx="5760085" cy="7200265"/>
            <wp:effectExtent l="0" t="0" r="5715" b="635"/>
            <wp:docPr id="14" name="图片 8"/>
            <wp:cNvGraphicFramePr/>
            <a:graphic xmlns:a="http://schemas.openxmlformats.org/drawingml/2006/main">
              <a:graphicData uri="http://schemas.openxmlformats.org/drawingml/2006/picture">
                <pic:pic xmlns:pic="http://schemas.openxmlformats.org/drawingml/2006/picture">
                  <pic:nvPicPr>
                    <pic:cNvPr id="14" name="图片 8"/>
                    <pic:cNvPicPr/>
                  </pic:nvPicPr>
                  <pic:blipFill>
                    <a:blip r:embed="rId8"/>
                    <a:stretch>
                      <a:fillRect/>
                    </a:stretch>
                  </pic:blipFill>
                  <pic:spPr>
                    <a:xfrm>
                      <a:off x="0" y="0"/>
                      <a:ext cx="5760085" cy="7200265"/>
                    </a:xfrm>
                    <a:prstGeom prst="rect">
                      <a:avLst/>
                    </a:prstGeom>
                    <a:noFill/>
                    <a:ln>
                      <a:noFill/>
                    </a:ln>
                  </pic:spPr>
                </pic:pic>
              </a:graphicData>
            </a:graphic>
          </wp:inline>
        </w:drawing>
      </w:r>
    </w:p>
    <w:p w14:paraId="4927AB91">
      <w:pPr>
        <w:pStyle w:val="22"/>
        <w:ind w:left="0" w:leftChars="0" w:firstLine="0" w:firstLineChars="0"/>
        <w:rPr>
          <w:rFonts w:hint="eastAsia"/>
          <w:lang w:eastAsia="zh-CN"/>
        </w:rPr>
      </w:pPr>
      <w:r>
        <w:drawing>
          <wp:inline distT="0" distB="0" distL="114300" distR="114300">
            <wp:extent cx="5760085" cy="7200265"/>
            <wp:effectExtent l="0" t="0" r="5715" b="635"/>
            <wp:docPr id="15" name="图片 9"/>
            <wp:cNvGraphicFramePr/>
            <a:graphic xmlns:a="http://schemas.openxmlformats.org/drawingml/2006/main">
              <a:graphicData uri="http://schemas.openxmlformats.org/drawingml/2006/picture">
                <pic:pic xmlns:pic="http://schemas.openxmlformats.org/drawingml/2006/picture">
                  <pic:nvPicPr>
                    <pic:cNvPr id="15" name="图片 9"/>
                    <pic:cNvPicPr/>
                  </pic:nvPicPr>
                  <pic:blipFill>
                    <a:blip r:embed="rId9"/>
                    <a:stretch>
                      <a:fillRect/>
                    </a:stretch>
                  </pic:blipFill>
                  <pic:spPr>
                    <a:xfrm>
                      <a:off x="0" y="0"/>
                      <a:ext cx="5760085" cy="720026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8"/>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42B17"/>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C510AB"/>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770F8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BF56EC"/>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5A1718"/>
    <w:rsid w:val="27F61196"/>
    <w:rsid w:val="28814447"/>
    <w:rsid w:val="29283150"/>
    <w:rsid w:val="297A3C20"/>
    <w:rsid w:val="298C1931"/>
    <w:rsid w:val="29925FE1"/>
    <w:rsid w:val="29C972C6"/>
    <w:rsid w:val="2A3E70CF"/>
    <w:rsid w:val="2B944ACD"/>
    <w:rsid w:val="2BD9110B"/>
    <w:rsid w:val="2C9D3BC7"/>
    <w:rsid w:val="2CF2686E"/>
    <w:rsid w:val="2E9E272A"/>
    <w:rsid w:val="2EAE6403"/>
    <w:rsid w:val="2EAF6F46"/>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BF474E"/>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E01A3C"/>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B81EE5"/>
    <w:rsid w:val="53F5005F"/>
    <w:rsid w:val="550C37A2"/>
    <w:rsid w:val="563253F0"/>
    <w:rsid w:val="563D2137"/>
    <w:rsid w:val="565D015E"/>
    <w:rsid w:val="56836AB2"/>
    <w:rsid w:val="56BC2DE3"/>
    <w:rsid w:val="56D42C4D"/>
    <w:rsid w:val="56E90F5B"/>
    <w:rsid w:val="56EF512A"/>
    <w:rsid w:val="57301D47"/>
    <w:rsid w:val="573B211D"/>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0EB5DD7"/>
    <w:rsid w:val="619747AF"/>
    <w:rsid w:val="621C336D"/>
    <w:rsid w:val="62864468"/>
    <w:rsid w:val="629E5C56"/>
    <w:rsid w:val="62A05F08"/>
    <w:rsid w:val="62B17737"/>
    <w:rsid w:val="62EA5BC6"/>
    <w:rsid w:val="630737FB"/>
    <w:rsid w:val="638C3AFD"/>
    <w:rsid w:val="63C25DAA"/>
    <w:rsid w:val="64126CC6"/>
    <w:rsid w:val="64640401"/>
    <w:rsid w:val="648F0582"/>
    <w:rsid w:val="64F540D9"/>
    <w:rsid w:val="6559245A"/>
    <w:rsid w:val="65622F6B"/>
    <w:rsid w:val="658C415A"/>
    <w:rsid w:val="65BD6D5B"/>
    <w:rsid w:val="65EA6D2F"/>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30B2A"/>
    <w:rsid w:val="71697143"/>
    <w:rsid w:val="716C6A50"/>
    <w:rsid w:val="717476DC"/>
    <w:rsid w:val="717958C4"/>
    <w:rsid w:val="719C7804"/>
    <w:rsid w:val="71BE777B"/>
    <w:rsid w:val="7207397B"/>
    <w:rsid w:val="729E3A33"/>
    <w:rsid w:val="72C43B37"/>
    <w:rsid w:val="73670AB5"/>
    <w:rsid w:val="737D1DEA"/>
    <w:rsid w:val="74150FF5"/>
    <w:rsid w:val="748B2EA1"/>
    <w:rsid w:val="74AE0F56"/>
    <w:rsid w:val="751122B7"/>
    <w:rsid w:val="76391AC6"/>
    <w:rsid w:val="7672193D"/>
    <w:rsid w:val="770403EE"/>
    <w:rsid w:val="771C50B0"/>
    <w:rsid w:val="771E190D"/>
    <w:rsid w:val="77832F9B"/>
    <w:rsid w:val="77C519A6"/>
    <w:rsid w:val="78063C29"/>
    <w:rsid w:val="78312522"/>
    <w:rsid w:val="784004D1"/>
    <w:rsid w:val="78725E9B"/>
    <w:rsid w:val="7877129B"/>
    <w:rsid w:val="787B0173"/>
    <w:rsid w:val="789B5986"/>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3040A4"/>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7"/>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3"/>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Default1"/>
    <w:semiHidden/>
    <w:qFormat/>
    <w:uiPriority w:val="0"/>
    <w:pPr>
      <w:widowControl w:val="0"/>
      <w:autoSpaceDE w:val="0"/>
      <w:autoSpaceDN w:val="0"/>
      <w:adjustRightInd w:val="0"/>
    </w:pPr>
    <w:rPr>
      <w:rFonts w:ascii="宋体" w:hAnsi="Times New Roman" w:eastAsia="宋体" w:cs="宋体"/>
      <w:snapToGrid w:val="0"/>
      <w:color w:val="000000"/>
      <w:sz w:val="24"/>
      <w:szCs w:val="24"/>
      <w:lang w:val="en-US" w:eastAsia="zh-CN" w:bidi="ar-SA"/>
    </w:rPr>
  </w:style>
  <w:style w:type="paragraph" w:customStyle="1" w:styleId="26">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7">
    <w:name w:val="Default"/>
    <w:basedOn w:val="28"/>
    <w:next w:val="21"/>
    <w:qFormat/>
    <w:uiPriority w:val="0"/>
    <w:pPr>
      <w:autoSpaceDE w:val="0"/>
      <w:autoSpaceDN w:val="0"/>
    </w:pPr>
    <w:rPr>
      <w:rFonts w:hint="eastAsia" w:ascii="宋体"/>
      <w:sz w:val="24"/>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4"/>
    <w:link w:val="13"/>
    <w:qFormat/>
    <w:uiPriority w:val="0"/>
    <w:rPr>
      <w:rFonts w:ascii="Calibri" w:hAnsi="Calibri"/>
      <w:kern w:val="2"/>
      <w:sz w:val="18"/>
      <w:szCs w:val="18"/>
    </w:rPr>
  </w:style>
  <w:style w:type="paragraph" w:customStyle="1" w:styleId="3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5">
    <w:name w:val="表头 Char Char Char"/>
    <w:basedOn w:val="24"/>
    <w:qFormat/>
    <w:uiPriority w:val="0"/>
    <w:rPr>
      <w:rFonts w:ascii="宋体" w:hAnsi="Tahoma" w:eastAsia="宋体"/>
      <w:snapToGrid w:val="0"/>
      <w:spacing w:val="6"/>
      <w:kern w:val="10"/>
      <w:sz w:val="24"/>
    </w:rPr>
  </w:style>
  <w:style w:type="paragraph" w:customStyle="1" w:styleId="36">
    <w:name w:val="表格居中"/>
    <w:basedOn w:val="37"/>
    <w:qFormat/>
    <w:uiPriority w:val="0"/>
    <w:pPr>
      <w:jc w:val="center"/>
    </w:pPr>
  </w:style>
  <w:style w:type="paragraph" w:customStyle="1" w:styleId="37">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8">
    <w:name w:val="伟灿工贸-表格文字"/>
    <w:basedOn w:val="1"/>
    <w:qFormat/>
    <w:uiPriority w:val="0"/>
    <w:pPr>
      <w:jc w:val="center"/>
    </w:pPr>
    <w:rPr>
      <w:rFonts w:hint="eastAsia" w:ascii="宋体" w:hAnsi="宋体" w:cs="宋体"/>
      <w:szCs w:val="21"/>
    </w:rPr>
  </w:style>
  <w:style w:type="paragraph" w:customStyle="1" w:styleId="39">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0">
    <w:name w:val="表名、图名"/>
    <w:basedOn w:val="1"/>
    <w:next w:val="1"/>
    <w:qFormat/>
    <w:uiPriority w:val="0"/>
    <w:pPr>
      <w:jc w:val="center"/>
    </w:pPr>
    <w:rPr>
      <w:b/>
      <w:bCs/>
    </w:rPr>
  </w:style>
  <w:style w:type="paragraph" w:customStyle="1" w:styleId="41">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2">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3">
    <w:name w:val="工艺序号"/>
    <w:basedOn w:val="1"/>
    <w:qFormat/>
    <w:uiPriority w:val="0"/>
    <w:pPr>
      <w:numPr>
        <w:ilvl w:val="0"/>
        <w:numId w:val="1"/>
      </w:numPr>
    </w:pPr>
    <w:rPr>
      <w:b/>
      <w:bCs/>
    </w:rPr>
  </w:style>
  <w:style w:type="paragraph" w:customStyle="1" w:styleId="44">
    <w:name w:val="伟灿-表格文字"/>
    <w:basedOn w:val="1"/>
    <w:qFormat/>
    <w:uiPriority w:val="0"/>
    <w:pPr>
      <w:jc w:val="center"/>
    </w:pPr>
    <w:rPr>
      <w:rFonts w:hint="eastAsia" w:ascii="宋体" w:hAnsi="宋体" w:cs="宋体"/>
      <w:szCs w:val="21"/>
    </w:rPr>
  </w:style>
  <w:style w:type="paragraph" w:styleId="45">
    <w:name w:val="List Paragraph"/>
    <w:basedOn w:val="1"/>
    <w:qFormat/>
    <w:uiPriority w:val="99"/>
    <w:pPr>
      <w:ind w:firstLine="420" w:firstLineChars="200"/>
    </w:pPr>
  </w:style>
  <w:style w:type="paragraph" w:customStyle="1" w:styleId="46">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7">
    <w:name w:val="日期 字符"/>
    <w:basedOn w:val="24"/>
    <w:link w:val="11"/>
    <w:qFormat/>
    <w:uiPriority w:val="0"/>
    <w:rPr>
      <w:b/>
      <w:bCs/>
      <w:kern w:val="2"/>
      <w:sz w:val="28"/>
      <w:szCs w:val="24"/>
    </w:rPr>
  </w:style>
  <w:style w:type="paragraph" w:customStyle="1" w:styleId="48">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857</Words>
  <Characters>1144</Characters>
  <Lines>8</Lines>
  <Paragraphs>2</Paragraphs>
  <TotalTime>5</TotalTime>
  <ScaleCrop>false</ScaleCrop>
  <LinksUpToDate>false</LinksUpToDate>
  <CharactersWithSpaces>1144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2026-04-17T01:43:39Z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FE172B9D59254FFB847A0FE2C91B4972_13</vt:lpwstr>
  </property>
  <property fmtid="{D5CDD505-2E9C-101B-9397-08002B2CF9AE}" pid="4" name="KSOTemplateDocerSaveRecord">
    <vt:lpwstr>eyJoZGlkIjoiNDgzMjdiZTZhYWEwMDUyMzMwMzdhZWM2ZmNjMGMzMDkiLCJ1c2VySWQiOiI1NzcyNjAwMzgifQ==</vt:lpwstr>
  </property>
</Properties>
</file>