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val="en-US" w:eastAsia="zh-CN"/>
              </w:rPr>
              <w:t>江西省驰邦药业有限公司医药中间体建设项目全流程自动化控制改造安全验收评价报告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熊克书</w:t>
            </w:r>
          </w:p>
        </w:tc>
        <w:tc>
          <w:tcPr>
            <w:tcW w:w="4803" w:type="dxa"/>
            <w:tcBorders>
              <w:tl2br w:val="nil"/>
              <w:tr2bl w:val="nil"/>
            </w:tcBorders>
            <w:shd w:val="clear" w:color="auto" w:fill="FFFFFF"/>
            <w:vAlign w:val="center"/>
          </w:tcPr>
          <w:p w14:paraId="2E3657A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eastAsia="zh-CN"/>
              </w:rPr>
              <w:t>S011035000110192001546</w:t>
            </w:r>
          </w:p>
        </w:tc>
        <w:tc>
          <w:tcPr>
            <w:tcW w:w="2115" w:type="dxa"/>
            <w:tcBorders>
              <w:tl2br w:val="nil"/>
              <w:tr2bl w:val="nil"/>
            </w:tcBorders>
            <w:shd w:val="clear" w:color="auto" w:fill="FFFFFF"/>
            <w:vAlign w:val="center"/>
          </w:tcPr>
          <w:p w14:paraId="1D90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谢雨飞</w:t>
            </w:r>
          </w:p>
        </w:tc>
        <w:tc>
          <w:tcPr>
            <w:tcW w:w="4803" w:type="dxa"/>
            <w:tcBorders>
              <w:tl2br w:val="nil"/>
              <w:tr2bl w:val="nil"/>
            </w:tcBorders>
            <w:shd w:val="clear" w:color="auto" w:fill="FFFFFF"/>
            <w:vAlign w:val="center"/>
          </w:tcPr>
          <w:p w14:paraId="2AF7BD6E">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20211004636000000716</w:t>
            </w:r>
          </w:p>
        </w:tc>
        <w:tc>
          <w:tcPr>
            <w:tcW w:w="2115" w:type="dxa"/>
            <w:tcBorders>
              <w:tl2br w:val="nil"/>
              <w:tr2bl w:val="nil"/>
            </w:tcBorders>
            <w:shd w:val="clear" w:color="auto" w:fill="FFFFFF"/>
            <w:vAlign w:val="center"/>
          </w:tcPr>
          <w:p w14:paraId="135FF85F">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36230354334</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张志辉</w:t>
            </w:r>
          </w:p>
        </w:tc>
        <w:tc>
          <w:tcPr>
            <w:tcW w:w="4803" w:type="dxa"/>
            <w:tcBorders>
              <w:tl2br w:val="nil"/>
              <w:tr2bl w:val="nil"/>
            </w:tcBorders>
            <w:shd w:val="clear" w:color="auto" w:fill="FFFFFF"/>
            <w:vAlign w:val="center"/>
          </w:tcPr>
          <w:p w14:paraId="5E54EC41">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S011011000110193000138</w:t>
            </w:r>
            <w:bookmarkStart w:id="0" w:name="_GoBack"/>
            <w:bookmarkEnd w:id="0"/>
          </w:p>
        </w:tc>
        <w:tc>
          <w:tcPr>
            <w:tcW w:w="2115" w:type="dxa"/>
            <w:tcBorders>
              <w:tl2br w:val="nil"/>
              <w:tr2bl w:val="nil"/>
            </w:tcBorders>
            <w:shd w:val="clear" w:color="auto" w:fill="FFFFFF"/>
            <w:vAlign w:val="center"/>
          </w:tcPr>
          <w:p w14:paraId="0EA3FFA0">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038124</w:t>
            </w:r>
          </w:p>
        </w:tc>
      </w:tr>
      <w:tr w14:paraId="423C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416BB98D">
            <w:pPr>
              <w:jc w:val="center"/>
              <w:rPr>
                <w:rFonts w:ascii="宋体" w:hAnsi="宋体" w:cs="宋体"/>
                <w:sz w:val="24"/>
              </w:rPr>
            </w:pPr>
          </w:p>
        </w:tc>
        <w:tc>
          <w:tcPr>
            <w:tcW w:w="1237" w:type="dxa"/>
            <w:tcBorders>
              <w:tl2br w:val="nil"/>
              <w:tr2bl w:val="nil"/>
            </w:tcBorders>
            <w:shd w:val="clear" w:color="auto" w:fill="FFFFFF"/>
            <w:vAlign w:val="center"/>
          </w:tcPr>
          <w:p w14:paraId="63320C41">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刘二平</w:t>
            </w:r>
          </w:p>
        </w:tc>
        <w:tc>
          <w:tcPr>
            <w:tcW w:w="4803" w:type="dxa"/>
            <w:tcBorders>
              <w:tl2br w:val="nil"/>
              <w:tr2bl w:val="nil"/>
            </w:tcBorders>
            <w:shd w:val="clear" w:color="auto" w:fill="FFFFFF"/>
            <w:vAlign w:val="center"/>
          </w:tcPr>
          <w:p w14:paraId="7E24555A">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03320241036000000887</w:t>
            </w:r>
          </w:p>
        </w:tc>
        <w:tc>
          <w:tcPr>
            <w:tcW w:w="2115" w:type="dxa"/>
            <w:tcBorders>
              <w:tl2br w:val="nil"/>
              <w:tr2bl w:val="nil"/>
            </w:tcBorders>
            <w:shd w:val="clear" w:color="auto" w:fill="FFFFFF"/>
            <w:vAlign w:val="center"/>
          </w:tcPr>
          <w:p w14:paraId="4DC6CDB2">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37250438462</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7B04B95">
            <w:pPr>
              <w:jc w:val="center"/>
              <w:rPr>
                <w:rFonts w:ascii="宋体" w:hAnsi="宋体" w:cs="宋体"/>
                <w:sz w:val="24"/>
              </w:rPr>
            </w:pPr>
          </w:p>
        </w:tc>
        <w:tc>
          <w:tcPr>
            <w:tcW w:w="1237" w:type="dxa"/>
            <w:tcBorders>
              <w:tl2br w:val="nil"/>
              <w:tr2bl w:val="nil"/>
            </w:tcBorders>
            <w:shd w:val="clear" w:color="auto" w:fill="FFFFFF"/>
            <w:vAlign w:val="center"/>
          </w:tcPr>
          <w:p w14:paraId="4F508235">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蓝家财</w:t>
            </w:r>
          </w:p>
        </w:tc>
        <w:tc>
          <w:tcPr>
            <w:tcW w:w="4803" w:type="dxa"/>
            <w:tcBorders>
              <w:tl2br w:val="nil"/>
              <w:tr2bl w:val="nil"/>
            </w:tcBorders>
            <w:shd w:val="clear" w:color="auto" w:fill="FFFFFF"/>
            <w:vAlign w:val="center"/>
          </w:tcPr>
          <w:p w14:paraId="0E1A6948">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201911046360000294</w:t>
            </w:r>
          </w:p>
        </w:tc>
        <w:tc>
          <w:tcPr>
            <w:tcW w:w="2115" w:type="dxa"/>
            <w:tcBorders>
              <w:tl2br w:val="nil"/>
              <w:tr2bl w:val="nil"/>
            </w:tcBorders>
            <w:shd w:val="clear" w:color="auto" w:fill="FFFFFF"/>
            <w:vAlign w:val="center"/>
          </w:tcPr>
          <w:p w14:paraId="34039BB0">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53220292316</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赵云峰</w:t>
            </w:r>
          </w:p>
        </w:tc>
        <w:tc>
          <w:tcPr>
            <w:tcW w:w="4803" w:type="dxa"/>
            <w:tcBorders>
              <w:tl2br w:val="nil"/>
              <w:tr2bl w:val="nil"/>
            </w:tcBorders>
            <w:shd w:val="clear" w:color="auto" w:fill="FFFFFF"/>
            <w:vAlign w:val="center"/>
          </w:tcPr>
          <w:p w14:paraId="70C9750C">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1600000000200809</w:t>
            </w:r>
          </w:p>
        </w:tc>
        <w:tc>
          <w:tcPr>
            <w:tcW w:w="2115" w:type="dxa"/>
            <w:tcBorders>
              <w:tl2br w:val="nil"/>
              <w:tr2bl w:val="nil"/>
            </w:tcBorders>
            <w:shd w:val="clear" w:color="auto" w:fill="FFFFFF"/>
            <w:vAlign w:val="center"/>
          </w:tcPr>
          <w:p w14:paraId="2C5E2BF3">
            <w:pPr>
              <w:keepNext w:val="0"/>
              <w:keepLines w:val="0"/>
              <w:pageBreakBefore w:val="0"/>
              <w:widowControl w:val="0"/>
              <w:kinsoku/>
              <w:wordWrap/>
              <w:overflowPunct/>
              <w:topLinePunct w:val="0"/>
              <w:autoSpaceDE/>
              <w:autoSpaceDN/>
              <w:bidi w:val="0"/>
              <w:adjustRightInd/>
              <w:snapToGrid/>
              <w:spacing w:before="190" w:beforeLines="50" w:after="190" w:afterLines="50" w:line="40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030095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2025年11月9日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1B9E9EA">
            <w:pPr>
              <w:bidi w:val="0"/>
              <w:rPr>
                <w:rFonts w:hint="eastAsia" w:cs="宋体"/>
                <w:highlight w:val="none"/>
                <w:lang w:val="en-US" w:eastAsia="zh-CN"/>
              </w:rPr>
            </w:pPr>
            <w:r>
              <w:rPr>
                <w:rFonts w:hint="eastAsia" w:cs="宋体"/>
                <w:highlight w:val="none"/>
                <w:lang w:val="en-US" w:eastAsia="zh-CN"/>
              </w:rPr>
              <w:t>江西省驰邦药业有限公司（以下简称“该公司”）成立于2007年9月21日，位于 江西省吉安市峡江县巴邱镇何家坪，属有限责任公司（自然人投资或控股），法定代表人：徐小海，注册资金：贰仟万元整，经营范围：医药中间体生产销售及进出口业务（涉及前置许可的凭许可证经营）。占地面积约149322.9㎡，现有人员194人。</w:t>
            </w:r>
          </w:p>
          <w:p w14:paraId="1C358A2D">
            <w:pPr>
              <w:ind w:firstLine="560"/>
              <w:rPr>
                <w:rFonts w:hint="eastAsia"/>
                <w:color w:val="auto"/>
                <w:highlight w:val="none"/>
                <w:lang w:val="en-US" w:eastAsia="zh-CN"/>
              </w:rPr>
            </w:pPr>
            <w:r>
              <w:rPr>
                <w:rFonts w:hint="eastAsia"/>
                <w:color w:val="auto"/>
                <w:highlight w:val="none"/>
                <w:lang w:val="en-US" w:eastAsia="zh-CN"/>
              </w:rPr>
              <w:t>2025年2月5日该公司进行了延期换证，取得了新的《安全生产许可证》，许可证编号：（赣）WH安许证字〔2010〕573号，许可范围：三苯基膦（3.3kt/a）、（左）氧氟环合酯（150t/a）、（左）氧氟沙星（100t/a）、（左）氧氟羧酸（150t/a）、盐酸美金刚（5t/a）、(1S，4R)-cis-4-氨基-2-环戊烯-1-甲醇（10t/a，阿巴卡韦中间体）、2-甲氧基乙氧基甲基氯（200t/a，仅精制提纯）、三苯基氧膦（500t/a）、2-羧乙基-5-甲基-2-己烯酸乙酯（20t/a），有效期：2025年3月24日至2028年3月23日。</w:t>
            </w:r>
          </w:p>
          <w:p w14:paraId="697952B3">
            <w:pPr>
              <w:ind w:firstLine="560"/>
              <w:rPr>
                <w:rFonts w:hint="eastAsia"/>
                <w:lang w:eastAsia="zh-CN"/>
              </w:rPr>
            </w:pPr>
            <w:r>
              <w:rPr>
                <w:rFonts w:hint="eastAsia"/>
                <w:lang w:val="en-US" w:eastAsia="zh-CN"/>
              </w:rPr>
              <w:t>经</w:t>
            </w:r>
            <w:r>
              <w:rPr>
                <w:rFonts w:hint="eastAsia" w:ascii="宋体" w:hAnsi="宋体" w:eastAsia="宋体" w:cs="宋体"/>
                <w:highlight w:val="none"/>
              </w:rPr>
              <w:t>辨识</w:t>
            </w:r>
            <w:r>
              <w:rPr>
                <w:rFonts w:hint="eastAsia" w:ascii="宋体" w:hAnsi="宋体" w:eastAsia="宋体" w:cs="宋体"/>
                <w:highlight w:val="none"/>
                <w:lang w:eastAsia="zh-CN"/>
              </w:rPr>
              <w:t>：</w:t>
            </w:r>
            <w:r>
              <w:rPr>
                <w:rFonts w:hint="eastAsia" w:ascii="宋体" w:hAnsi="宋体" w:eastAsia="宋体" w:cs="宋体"/>
                <w:highlight w:val="none"/>
              </w:rPr>
              <w:t>该项目在生产过程中涉及的</w:t>
            </w:r>
            <w:r>
              <w:rPr>
                <w:rFonts w:hint="eastAsia"/>
                <w:highlight w:val="none"/>
                <w:lang w:val="en-US" w:eastAsia="zh-CN"/>
              </w:rPr>
              <w:t>四氢呋喃、甲苯、氯苯、三氯化磷、镁屑、甲醇、硫酸、氢氧化钠（片碱和液碱）、盐酸、乙酸乙酯、乙醇、异戊醛、三正丙胺、正己烷、无水氟化钾、三乙胺、冰醋酸、N,N-二甲基甲酰胺（DMF）、乙腈、氯仿、醋酸酐、双氧水、二氯甲烷、氯化亚砜、三苯基膦（产品）、氮气[压缩的]、柴油（柴油发电机使用）</w:t>
            </w:r>
            <w:r>
              <w:rPr>
                <w:rFonts w:hint="eastAsia" w:ascii="宋体" w:hAnsi="宋体" w:eastAsia="宋体" w:cs="宋体"/>
                <w:highlight w:val="none"/>
              </w:rPr>
              <w:t>均属于危险化学品</w:t>
            </w:r>
            <w:r>
              <w:rPr>
                <w:rFonts w:hint="eastAsia"/>
                <w:lang w:eastAsia="zh-CN"/>
              </w:rPr>
              <w:t>。</w:t>
            </w:r>
          </w:p>
          <w:p w14:paraId="051AEC64">
            <w:pPr>
              <w:ind w:firstLine="560"/>
              <w:rPr>
                <w:rFonts w:hint="eastAsia"/>
                <w:lang w:val="en-US" w:eastAsia="zh-CN"/>
              </w:rPr>
            </w:pPr>
            <w:r>
              <w:rPr>
                <w:rFonts w:hint="eastAsia"/>
                <w:lang w:val="en-US" w:eastAsia="zh-CN"/>
              </w:rPr>
              <w:t>经</w:t>
            </w:r>
            <w:r>
              <w:rPr>
                <w:rFonts w:hint="eastAsia"/>
                <w:lang w:eastAsia="zh-CN"/>
              </w:rPr>
              <w:t>辨识：</w:t>
            </w:r>
            <w:r>
              <w:rPr>
                <w:rFonts w:hint="eastAsia"/>
                <w:lang w:val="en-US" w:eastAsia="zh-CN"/>
              </w:rPr>
              <w:t>项目涉及的</w:t>
            </w:r>
            <w:r>
              <w:rPr>
                <w:rFonts w:hint="eastAsia"/>
                <w:lang w:eastAsia="zh-CN"/>
              </w:rPr>
              <w:t>甲醇、甲苯、三氯化磷、氯苯、乙酸乙酯、三氯甲烷属于重点监管的危险化学品。</w:t>
            </w:r>
          </w:p>
          <w:p w14:paraId="1BFE5558">
            <w:pPr>
              <w:ind w:firstLine="560"/>
              <w:rPr>
                <w:rFonts w:hint="eastAsia"/>
                <w:lang w:val="en-US" w:eastAsia="zh-CN"/>
              </w:rPr>
            </w:pPr>
            <w:r>
              <w:rPr>
                <w:rFonts w:hint="eastAsia"/>
                <w:lang w:val="en-US" w:eastAsia="zh-CN"/>
              </w:rPr>
              <w:t>经辨识：项目不涉及重点监管的危险化工工艺。</w:t>
            </w:r>
          </w:p>
          <w:p w14:paraId="308F7D26">
            <w:pPr>
              <w:ind w:firstLine="560"/>
            </w:pPr>
            <w:r>
              <w:rPr>
                <w:rFonts w:hint="eastAsia"/>
                <w:lang w:val="en-US" w:eastAsia="zh-CN"/>
              </w:rPr>
              <w:t>经</w:t>
            </w:r>
            <w:r>
              <w:rPr>
                <w:rFonts w:hint="eastAsia"/>
                <w:lang w:eastAsia="zh-CN"/>
              </w:rPr>
              <w:t>辨识：该项目各生产单元、各储存单元均不构成危险化学品重大危险源。</w:t>
            </w:r>
          </w:p>
          <w:p w14:paraId="422E1AD2">
            <w:pPr>
              <w:spacing w:line="240" w:lineRule="auto"/>
              <w:ind w:firstLine="560"/>
              <w:rPr>
                <w:rFonts w:hint="eastAsia"/>
                <w:snapToGrid w:val="0"/>
              </w:rPr>
            </w:pP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ind w:left="0" w:leftChars="0" w:firstLine="218" w:firstLineChars="104"/>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78960" cy="709930"/>
                  <wp:effectExtent l="0" t="0" r="2540" b="13970"/>
                  <wp:docPr id="12" name="图片 12" descr="工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艺图片"/>
                          <pic:cNvPicPr>
                            <a:picLocks noChangeAspect="1"/>
                          </pic:cNvPicPr>
                        </pic:nvPicPr>
                        <pic:blipFill>
                          <a:blip r:embed="rId4"/>
                          <a:stretch>
                            <a:fillRect/>
                          </a:stretch>
                        </pic:blipFill>
                        <pic:spPr>
                          <a:xfrm>
                            <a:off x="0" y="0"/>
                            <a:ext cx="4378960" cy="70993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p>
    <w:p w14:paraId="356BCCD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hAnsi="宋体" w:eastAsia="宋体" w:cs="宋体"/>
          <w:color w:val="auto"/>
          <w:highlight w:val="yellow"/>
          <w:lang w:eastAsia="zh-CN"/>
        </w:rPr>
      </w:pPr>
    </w:p>
    <w:p w14:paraId="5EC471DF">
      <w:pPr>
        <w:spacing w:line="240" w:lineRule="auto"/>
        <w:ind w:firstLine="0" w:firstLineChars="0"/>
        <w:jc w:val="left"/>
        <w:rPr>
          <w:rFonts w:cs="宋体"/>
          <w:highlight w:val="yellow"/>
        </w:rPr>
      </w:pPr>
      <w:r>
        <w:drawing>
          <wp:inline distT="0" distB="0" distL="114300" distR="114300">
            <wp:extent cx="5899150" cy="7425055"/>
            <wp:effectExtent l="0" t="0" r="635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899150" cy="7425055"/>
                    </a:xfrm>
                    <a:prstGeom prst="rect">
                      <a:avLst/>
                    </a:prstGeom>
                    <a:noFill/>
                    <a:ln>
                      <a:noFill/>
                    </a:ln>
                  </pic:spPr>
                </pic:pic>
              </a:graphicData>
            </a:graphic>
          </wp:inline>
        </w:drawing>
      </w:r>
    </w:p>
    <w:p w14:paraId="358813CF">
      <w:pPr>
        <w:pStyle w:val="21"/>
        <w:ind w:left="0" w:leftChars="0" w:firstLine="0" w:firstLineChars="0"/>
        <w:jc w:val="center"/>
      </w:pPr>
    </w:p>
    <w:p w14:paraId="2B1DFF98">
      <w:pPr>
        <w:pStyle w:val="21"/>
        <w:ind w:left="0" w:leftChars="0" w:firstLine="0" w:firstLineChars="0"/>
        <w:jc w:val="center"/>
        <w:rPr>
          <w:rFonts w:hint="eastAsia" w:eastAsia="宋体"/>
          <w:lang w:eastAsia="zh-CN"/>
        </w:rPr>
      </w:pPr>
    </w:p>
    <w:p w14:paraId="7F70F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pPr>
      <w:r>
        <w:rPr>
          <w:rFonts w:hint="eastAsia"/>
          <w:lang w:eastAsia="zh-CN"/>
        </w:rPr>
        <w:drawing>
          <wp:inline distT="0" distB="0" distL="114300" distR="114300">
            <wp:extent cx="7030085" cy="5057140"/>
            <wp:effectExtent l="0" t="0" r="10160" b="18415"/>
            <wp:docPr id="6" name="图片 6" descr="5c09d61b260c090b9229118b64702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c09d61b260c090b9229118b64702a61"/>
                    <pic:cNvPicPr>
                      <a:picLocks noChangeAspect="1"/>
                    </pic:cNvPicPr>
                  </pic:nvPicPr>
                  <pic:blipFill>
                    <a:blip r:embed="rId6"/>
                    <a:srcRect l="145" t="4054" r="-145"/>
                    <a:stretch>
                      <a:fillRect/>
                    </a:stretch>
                  </pic:blipFill>
                  <pic:spPr>
                    <a:xfrm rot="5400000">
                      <a:off x="0" y="0"/>
                      <a:ext cx="7030085" cy="5057140"/>
                    </a:xfrm>
                    <a:prstGeom prst="rect">
                      <a:avLst/>
                    </a:prstGeom>
                  </pic:spPr>
                </pic:pic>
              </a:graphicData>
            </a:graphic>
          </wp:inline>
        </w:drawing>
      </w:r>
      <w:r>
        <w:drawing>
          <wp:inline distT="0" distB="0" distL="114300" distR="114300">
            <wp:extent cx="5272405" cy="7852410"/>
            <wp:effectExtent l="0" t="0" r="444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72405" cy="7852410"/>
                    </a:xfrm>
                    <a:prstGeom prst="rect">
                      <a:avLst/>
                    </a:prstGeom>
                    <a:noFill/>
                    <a:ln>
                      <a:noFill/>
                    </a:ln>
                  </pic:spPr>
                </pic:pic>
              </a:graphicData>
            </a:graphic>
          </wp:inline>
        </w:drawing>
      </w:r>
      <w:r>
        <w:drawing>
          <wp:inline distT="0" distB="0" distL="114300" distR="114300">
            <wp:extent cx="5829935" cy="4088130"/>
            <wp:effectExtent l="0" t="0" r="1841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5829935" cy="4088130"/>
                    </a:xfrm>
                    <a:prstGeom prst="rect">
                      <a:avLst/>
                    </a:prstGeom>
                    <a:noFill/>
                    <a:ln>
                      <a:noFill/>
                    </a:ln>
                  </pic:spPr>
                </pic:pic>
              </a:graphicData>
            </a:graphic>
          </wp:inline>
        </w:drawing>
      </w:r>
    </w:p>
    <w:p w14:paraId="602B3B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lang w:eastAsia="zh-CN"/>
        </w:rPr>
      </w:pPr>
      <w:r>
        <w:drawing>
          <wp:inline distT="0" distB="0" distL="114300" distR="114300">
            <wp:extent cx="5822950" cy="4181475"/>
            <wp:effectExtent l="0" t="0" r="6350"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9"/>
                    <a:stretch>
                      <a:fillRect/>
                    </a:stretch>
                  </pic:blipFill>
                  <pic:spPr>
                    <a:xfrm>
                      <a:off x="0" y="0"/>
                      <a:ext cx="5822950" cy="4181475"/>
                    </a:xfrm>
                    <a:prstGeom prst="rect">
                      <a:avLst/>
                    </a:prstGeom>
                    <a:noFill/>
                    <a:ln>
                      <a:noFill/>
                    </a:ln>
                  </pic:spPr>
                </pic:pic>
              </a:graphicData>
            </a:graphic>
          </wp:inline>
        </w:drawing>
      </w:r>
    </w:p>
    <w:p w14:paraId="44CA2807">
      <w:pPr>
        <w:pStyle w:val="21"/>
        <w:ind w:left="0" w:leftChars="0" w:firstLine="0" w:firstLineChars="0"/>
        <w:jc w:val="center"/>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2802D7"/>
    <w:rsid w:val="1F373426"/>
    <w:rsid w:val="1F642D26"/>
    <w:rsid w:val="1FAC2BD1"/>
    <w:rsid w:val="1FC658C9"/>
    <w:rsid w:val="1FF45CE7"/>
    <w:rsid w:val="20176124"/>
    <w:rsid w:val="2107263D"/>
    <w:rsid w:val="21313216"/>
    <w:rsid w:val="214C4107"/>
    <w:rsid w:val="21A13C43"/>
    <w:rsid w:val="222E1FA2"/>
    <w:rsid w:val="22366385"/>
    <w:rsid w:val="224031F6"/>
    <w:rsid w:val="2282270A"/>
    <w:rsid w:val="228C0EC4"/>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EAF6F46"/>
    <w:rsid w:val="2F5C124E"/>
    <w:rsid w:val="30E35519"/>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2D615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819A4"/>
    <w:rsid w:val="6FB940CF"/>
    <w:rsid w:val="6FE54B28"/>
    <w:rsid w:val="71276AD1"/>
    <w:rsid w:val="7160445C"/>
    <w:rsid w:val="71697143"/>
    <w:rsid w:val="716C6A50"/>
    <w:rsid w:val="717476DC"/>
    <w:rsid w:val="717958C4"/>
    <w:rsid w:val="71BE777B"/>
    <w:rsid w:val="71EE149C"/>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7"/>
    <w:next w:val="1"/>
    <w:unhideWhenUsed/>
    <w:qFormat/>
    <w:uiPriority w:val="99"/>
    <w:pPr>
      <w:ind w:firstLine="420" w:firstLineChars="2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768</Words>
  <Characters>1031</Characters>
  <Lines>8</Lines>
  <Paragraphs>2</Paragraphs>
  <TotalTime>0</TotalTime>
  <ScaleCrop>false</ScaleCrop>
  <LinksUpToDate>false</LinksUpToDate>
  <CharactersWithSpaces>1032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2026-04-17T02:14:55Z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5C88D413137D442EB52E8690CE9EA6B7_13</vt:lpwstr>
  </property>
  <property fmtid="{D5CDD505-2E9C-101B-9397-08002B2CF9AE}" pid="4" name="KSOTemplateDocerSaveRecord">
    <vt:lpwstr>eyJoZGlkIjoiNDgzMjdiZTZhYWEwMDUyMzMwMzdhZWM2ZmNjMGMzMDkiLCJ1c2VySWQiOiI1NzcyNjAwMzgifQ==</vt:lpwstr>
  </property>
</Properties>
</file>