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山东泰安交通运输集团有限公司第五加油站经营危险化学品现状评价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highlight w:val="none"/>
              </w:rPr>
              <w:t>5台：3台30m</w:t>
            </w:r>
            <w:r>
              <w:rPr>
                <w:rFonts w:hint="eastAsia"/>
                <w:color w:val="auto"/>
                <w:highlight w:val="none"/>
                <w:vertAlign w:val="superscript"/>
              </w:rPr>
              <w:t>3</w:t>
            </w:r>
            <w:r>
              <w:rPr>
                <w:rFonts w:hint="eastAsia"/>
                <w:color w:val="auto"/>
                <w:highlight w:val="none"/>
              </w:rPr>
              <w:t>92#汽油罐、1台35m</w:t>
            </w:r>
            <w:r>
              <w:rPr>
                <w:rFonts w:hint="eastAsia"/>
                <w:color w:val="auto"/>
                <w:highlight w:val="none"/>
                <w:vertAlign w:val="superscript"/>
              </w:rPr>
              <w:t>3</w:t>
            </w:r>
            <w:r>
              <w:rPr>
                <w:rFonts w:hint="eastAsia"/>
                <w:color w:val="auto"/>
                <w:highlight w:val="none"/>
              </w:rPr>
              <w:t>95#汽油罐，1台50m</w:t>
            </w:r>
            <w:r>
              <w:rPr>
                <w:rFonts w:hint="eastAsia"/>
                <w:color w:val="auto"/>
                <w:highlight w:val="none"/>
                <w:vertAlign w:val="superscript"/>
              </w:rPr>
              <w:t>3</w:t>
            </w:r>
            <w:r>
              <w:rPr>
                <w:rFonts w:hint="eastAsia"/>
                <w:color w:val="auto"/>
                <w:highlight w:val="none"/>
              </w:rPr>
              <w:t>柴油罐（隔舱罐），1台油气回收处理装置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color w:val="auto"/>
                <w:highlight w:val="none"/>
              </w:rPr>
              <w:t>罩棚下共设置6台双枪加油机</w:t>
            </w:r>
            <w:r>
              <w:rPr>
                <w:rFonts w:hint="eastAsia" w:ascii="宋体" w:hAnsi="宋体" w:cs="宋体"/>
                <w:bCs/>
                <w:color w:val="auto"/>
                <w:highlight w:val="none"/>
              </w:rPr>
              <w:t>：</w:t>
            </w:r>
            <w:r>
              <w:rPr>
                <w:rFonts w:hint="eastAsia" w:ascii="宋体" w:hAnsi="宋体" w:cs="宋体"/>
                <w:bCs/>
                <w:color w:val="auto"/>
                <w:highlight w:val="none"/>
                <w:lang w:val="en-US" w:eastAsia="zh-CN"/>
              </w:rPr>
              <w:t>其中</w:t>
            </w:r>
            <w:r>
              <w:rPr>
                <w:rFonts w:hint="eastAsia" w:ascii="宋体" w:hAnsi="宋体" w:cs="宋体"/>
                <w:bCs/>
                <w:color w:val="auto"/>
                <w:highlight w:val="none"/>
              </w:rPr>
              <w:t>3台92#/95#汽油加油机，1台柴油加油机，2台92#汽油加油机。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2025.12.22</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2025.12.29</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2025.12.31</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2026.1.10</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安全评价报告提交时间：2026.2.4</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490C0C13">
      <w:pPr>
        <w:pStyle w:val="18"/>
        <w:widowControl w:val="0"/>
        <w:adjustRightInd w:val="0"/>
        <w:snapToGrid w:val="0"/>
        <w:spacing w:before="0" w:beforeLines="0" w:after="0" w:afterLines="0" w:line="360" w:lineRule="auto"/>
        <w:rPr>
          <w:color w:val="auto"/>
          <w:highlight w:val="none"/>
        </w:rPr>
      </w:pPr>
      <w:bookmarkStart w:id="0" w:name="_Toc102633895"/>
      <w:bookmarkStart w:id="1" w:name="_Toc15033742"/>
      <w:bookmarkStart w:id="2" w:name="_Toc19744"/>
      <w:bookmarkStart w:id="3" w:name="_Toc102633969"/>
      <w:bookmarkStart w:id="4" w:name="_Toc102634226"/>
      <w:r>
        <w:rPr>
          <w:color w:val="auto"/>
          <w:highlight w:val="none"/>
        </w:rPr>
        <w:t>第二章 加油站概况</w:t>
      </w:r>
      <w:bookmarkEnd w:id="0"/>
      <w:bookmarkEnd w:id="1"/>
      <w:bookmarkEnd w:id="2"/>
      <w:bookmarkEnd w:id="3"/>
      <w:bookmarkEnd w:id="4"/>
    </w:p>
    <w:p w14:paraId="6E381110">
      <w:pPr>
        <w:snapToGrid w:val="0"/>
        <w:spacing w:line="360" w:lineRule="auto"/>
        <w:jc w:val="center"/>
        <w:outlineLvl w:val="1"/>
        <w:rPr>
          <w:rFonts w:ascii="Calibri" w:hAnsi="Calibri" w:eastAsia="楷体_GB2312"/>
          <w:b/>
          <w:color w:val="auto"/>
          <w:kern w:val="0"/>
          <w:sz w:val="32"/>
          <w:szCs w:val="20"/>
          <w:highlight w:val="none"/>
        </w:rPr>
      </w:pPr>
      <w:bookmarkStart w:id="5" w:name="_Toc102633896"/>
      <w:bookmarkStart w:id="6" w:name="_Toc102633970"/>
      <w:bookmarkStart w:id="7" w:name="_Toc4524"/>
      <w:bookmarkStart w:id="8" w:name="_Toc15033743"/>
      <w:bookmarkStart w:id="9" w:name="_Toc30066"/>
      <w:bookmarkStart w:id="10" w:name="_Toc272364524"/>
      <w:bookmarkStart w:id="11" w:name="_Toc102634227"/>
      <w:bookmarkStart w:id="12" w:name="_Toc26504"/>
      <w:bookmarkStart w:id="13" w:name="_Toc208733856"/>
      <w:r>
        <w:rPr>
          <w:rFonts w:ascii="Calibri" w:hAnsi="Calibri" w:eastAsia="楷体_GB2312"/>
          <w:b/>
          <w:color w:val="auto"/>
          <w:kern w:val="0"/>
          <w:sz w:val="32"/>
          <w:szCs w:val="20"/>
          <w:highlight w:val="none"/>
        </w:rPr>
        <w:t>第一节 加油站基本情况</w:t>
      </w:r>
      <w:bookmarkEnd w:id="5"/>
      <w:bookmarkEnd w:id="6"/>
      <w:bookmarkEnd w:id="7"/>
      <w:bookmarkEnd w:id="8"/>
      <w:bookmarkEnd w:id="9"/>
      <w:bookmarkEnd w:id="10"/>
      <w:bookmarkEnd w:id="11"/>
      <w:bookmarkEnd w:id="12"/>
      <w:bookmarkEnd w:id="13"/>
    </w:p>
    <w:p w14:paraId="77F37CAF">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rPr>
        <w:t>山东泰安交通运输集团有限公司第五加油站位于山东省泰安市宁阳县文庙街道七贤路729号</w:t>
      </w:r>
      <w:r>
        <w:rPr>
          <w:rFonts w:hint="eastAsia" w:ascii="宋体" w:hAnsi="宋体" w:cs="宋体"/>
          <w:color w:val="auto"/>
          <w:sz w:val="28"/>
          <w:szCs w:val="28"/>
          <w:highlight w:val="none"/>
        </w:rPr>
        <w:t>。</w:t>
      </w:r>
      <w:r>
        <w:rPr>
          <w:rFonts w:hint="eastAsia" w:ascii="宋体" w:hAnsi="宋体" w:cs="宋体"/>
          <w:color w:val="auto"/>
          <w:sz w:val="28"/>
          <w:highlight w:val="none"/>
        </w:rPr>
        <w:t>加油站西侧是空地，北侧是停车场，东侧是</w:t>
      </w:r>
      <w:r>
        <w:rPr>
          <w:rFonts w:hint="eastAsia" w:ascii="宋体" w:hAnsi="宋体"/>
          <w:color w:val="auto"/>
          <w:sz w:val="28"/>
          <w:szCs w:val="28"/>
          <w:highlight w:val="none"/>
        </w:rPr>
        <w:t>七贤</w:t>
      </w:r>
      <w:r>
        <w:rPr>
          <w:rFonts w:hint="eastAsia" w:ascii="宋体" w:hAnsi="宋体" w:cs="宋体"/>
          <w:color w:val="auto"/>
          <w:sz w:val="28"/>
          <w:highlight w:val="none"/>
        </w:rPr>
        <w:t>路（S333省道），南侧</w:t>
      </w:r>
      <w:r>
        <w:rPr>
          <w:rFonts w:hint="eastAsia" w:ascii="宋体" w:hAnsi="宋体" w:cs="宋体"/>
          <w:color w:val="auto"/>
          <w:sz w:val="28"/>
          <w:highlight w:val="none"/>
          <w:lang w:val="en-US" w:eastAsia="zh-CN"/>
        </w:rPr>
        <w:t>是</w:t>
      </w:r>
      <w:r>
        <w:rPr>
          <w:rFonts w:hint="eastAsia" w:ascii="宋体" w:hAnsi="宋体" w:cs="宋体"/>
          <w:color w:val="auto"/>
          <w:sz w:val="28"/>
          <w:highlight w:val="none"/>
        </w:rPr>
        <w:t>空地</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该站经营许可范围为汽油、柴油，现其主要经营储存汽油、柴油（换季销售-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此次现状评价报告与上次报告相比，新增可燃气体探测器5套，98#汽油罐改为92#汽油罐，油罐区北侧部分围墙拆除，</w:t>
      </w:r>
      <w:r>
        <w:rPr>
          <w:rFonts w:hint="eastAsia" w:ascii="宋体" w:hAnsi="宋体"/>
          <w:color w:val="auto"/>
          <w:sz w:val="28"/>
          <w:highlight w:val="none"/>
          <w:lang w:val="en-US" w:eastAsia="zh-CN"/>
        </w:rPr>
        <w:t>站区北侧</w:t>
      </w:r>
      <w:r>
        <w:rPr>
          <w:rFonts w:hint="eastAsia" w:ascii="宋体" w:hAnsi="宋体"/>
          <w:color w:val="auto"/>
          <w:sz w:val="28"/>
          <w:highlight w:val="none"/>
        </w:rPr>
        <w:t>新增厕所和危废间；其余周边环境、站内设备设施、主要建构筑物未发生变化。</w:t>
      </w:r>
    </w:p>
    <w:p w14:paraId="530338BD">
      <w:pPr>
        <w:pStyle w:val="17"/>
        <w:widowControl w:val="0"/>
        <w:adjustRightInd w:val="0"/>
        <w:snapToGrid w:val="0"/>
        <w:spacing w:line="360" w:lineRule="auto"/>
        <w:ind w:firstLine="560"/>
        <w:rPr>
          <w:rFonts w:ascii="宋体" w:hAnsi="宋体"/>
          <w:color w:val="auto"/>
          <w:szCs w:val="28"/>
          <w:highlight w:val="none"/>
        </w:rPr>
      </w:pPr>
      <w:r>
        <w:rPr>
          <w:rFonts w:hint="eastAsia" w:ascii="宋体" w:hAnsi="宋体"/>
          <w:color w:val="auto"/>
          <w:szCs w:val="28"/>
          <w:highlight w:val="none"/>
        </w:rPr>
        <w:t>该加油站主要建有站房、罩棚、油罐区、加油区和洗车区等。</w:t>
      </w:r>
    </w:p>
    <w:p w14:paraId="3DA48B8B">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加油区在站房东侧，</w:t>
      </w:r>
      <w:r>
        <w:rPr>
          <w:rFonts w:hint="eastAsia" w:ascii="宋体"/>
          <w:color w:val="auto"/>
          <w:highlight w:val="none"/>
        </w:rPr>
        <w:t>现有</w:t>
      </w:r>
      <w:r>
        <w:rPr>
          <w:rFonts w:hint="eastAsia"/>
          <w:color w:val="auto"/>
          <w:highlight w:val="none"/>
        </w:rPr>
        <w:t>6台双枪加油机</w:t>
      </w:r>
      <w:r>
        <w:rPr>
          <w:rFonts w:hint="eastAsia" w:ascii="宋体" w:hAnsi="宋体" w:cs="宋体"/>
          <w:bCs/>
          <w:color w:val="auto"/>
          <w:highlight w:val="none"/>
        </w:rPr>
        <w:t>：3台92#/95#汽油加油机，1台柴油加油机，2台92#汽油加油机</w:t>
      </w:r>
      <w:r>
        <w:rPr>
          <w:rFonts w:hint="eastAsia" w:ascii="宋体"/>
          <w:color w:val="auto"/>
          <w:highlight w:val="none"/>
        </w:rPr>
        <w:t>；</w:t>
      </w:r>
      <w:r>
        <w:rPr>
          <w:rFonts w:hint="eastAsia" w:ascii="宋体" w:hAnsi="宋体"/>
          <w:color w:val="auto"/>
          <w:szCs w:val="28"/>
          <w:highlight w:val="none"/>
        </w:rPr>
        <w:t>油罐区位于站房北侧，设</w:t>
      </w:r>
      <w:r>
        <w:rPr>
          <w:rFonts w:hint="eastAsia"/>
          <w:color w:val="auto"/>
          <w:highlight w:val="none"/>
        </w:rPr>
        <w:t>双层储罐5台：3台30m</w:t>
      </w:r>
      <w:r>
        <w:rPr>
          <w:rFonts w:hint="eastAsia"/>
          <w:color w:val="auto"/>
          <w:highlight w:val="none"/>
          <w:vertAlign w:val="superscript"/>
        </w:rPr>
        <w:t>3</w:t>
      </w:r>
      <w:r>
        <w:rPr>
          <w:rFonts w:hint="eastAsia"/>
          <w:color w:val="auto"/>
          <w:highlight w:val="none"/>
        </w:rPr>
        <w:t>92#汽油罐、1台35m</w:t>
      </w:r>
      <w:r>
        <w:rPr>
          <w:rFonts w:hint="eastAsia"/>
          <w:color w:val="auto"/>
          <w:highlight w:val="none"/>
          <w:vertAlign w:val="superscript"/>
        </w:rPr>
        <w:t>3</w:t>
      </w:r>
      <w:r>
        <w:rPr>
          <w:rFonts w:hint="eastAsia"/>
          <w:color w:val="auto"/>
          <w:highlight w:val="none"/>
        </w:rPr>
        <w:t>95#汽油罐，1台50m</w:t>
      </w:r>
      <w:r>
        <w:rPr>
          <w:rFonts w:hint="eastAsia"/>
          <w:color w:val="auto"/>
          <w:highlight w:val="none"/>
          <w:vertAlign w:val="superscript"/>
        </w:rPr>
        <w:t>3</w:t>
      </w:r>
      <w:r>
        <w:rPr>
          <w:rFonts w:hint="eastAsia"/>
          <w:color w:val="auto"/>
          <w:highlight w:val="none"/>
        </w:rPr>
        <w:t>柴油罐，</w:t>
      </w:r>
      <w:r>
        <w:rPr>
          <w:rFonts w:hint="eastAsia" w:ascii="宋体"/>
          <w:color w:val="auto"/>
          <w:highlight w:val="none"/>
        </w:rPr>
        <w:t>卸油口位于</w:t>
      </w:r>
      <w:r>
        <w:rPr>
          <w:rFonts w:hint="eastAsia" w:ascii="宋体"/>
          <w:color w:val="auto"/>
          <w:highlight w:val="none"/>
          <w:lang w:val="en-US" w:eastAsia="zh-CN"/>
        </w:rPr>
        <w:t>油罐区东侧</w:t>
      </w:r>
      <w:r>
        <w:rPr>
          <w:rFonts w:hint="eastAsia" w:ascii="宋体"/>
          <w:color w:val="auto"/>
          <w:highlight w:val="none"/>
        </w:rPr>
        <w:t>；</w:t>
      </w:r>
      <w:r>
        <w:rPr>
          <w:rFonts w:hint="eastAsia" w:ascii="宋体" w:hAnsi="宋体"/>
          <w:color w:val="auto"/>
          <w:szCs w:val="28"/>
          <w:highlight w:val="none"/>
        </w:rPr>
        <w:t>5台油罐均安装了液位仪、油罐检漏仪，</w:t>
      </w:r>
      <w:r>
        <w:rPr>
          <w:rFonts w:hint="eastAsia" w:ascii="宋体"/>
          <w:color w:val="auto"/>
          <w:highlight w:val="none"/>
        </w:rPr>
        <w:t>通气管5根（油罐区内西侧）；油气回收处理装置位于油罐区内</w:t>
      </w:r>
      <w:r>
        <w:rPr>
          <w:rFonts w:hint="eastAsia"/>
          <w:color w:val="auto"/>
          <w:highlight w:val="none"/>
        </w:rPr>
        <w:t>92#汽油罐和95#汽油罐中间</w:t>
      </w:r>
      <w:r>
        <w:rPr>
          <w:rFonts w:hint="eastAsia" w:ascii="宋体"/>
          <w:color w:val="auto"/>
          <w:highlight w:val="none"/>
        </w:rPr>
        <w:t>；加油区南侧设洗车房一处；站房南侧设仓库一处，油罐区东侧设厕所和危废间一处；该站汽油设有卸油油气回收系统、加油油气回收系统及油气回收处理系统</w:t>
      </w:r>
      <w:r>
        <w:rPr>
          <w:rFonts w:hint="eastAsia" w:ascii="宋体" w:hAnsi="宋体"/>
          <w:color w:val="auto"/>
          <w:szCs w:val="28"/>
          <w:highlight w:val="none"/>
        </w:rPr>
        <w:t>；</w:t>
      </w:r>
      <w:r>
        <w:rPr>
          <w:rFonts w:hint="eastAsia" w:ascii="宋体"/>
          <w:color w:val="auto"/>
          <w:highlight w:val="none"/>
        </w:rPr>
        <w:t>按《汽车加油加气加氢站技术标准》GB50156-2021标准规定：V=30</w:t>
      </w:r>
      <w:r>
        <w:rPr>
          <w:rFonts w:hint="eastAsia" w:ascii="宋体" w:hAnsi="宋体" w:cs="宋体"/>
          <w:color w:val="auto"/>
          <w:szCs w:val="28"/>
          <w:highlight w:val="none"/>
          <w:shd w:val="clear" w:color="auto" w:fill="FFFFFF"/>
        </w:rPr>
        <w:t>×</w:t>
      </w:r>
      <w:r>
        <w:rPr>
          <w:rFonts w:hint="eastAsia" w:ascii="宋体"/>
          <w:color w:val="auto"/>
          <w:highlight w:val="none"/>
        </w:rPr>
        <w:t>3+35+50/2=150m</w:t>
      </w:r>
      <w:r>
        <w:rPr>
          <w:rFonts w:hint="eastAsia" w:ascii="宋体"/>
          <w:color w:val="auto"/>
          <w:highlight w:val="none"/>
          <w:vertAlign w:val="superscript"/>
        </w:rPr>
        <w:t>3</w:t>
      </w:r>
      <w:r>
        <w:rPr>
          <w:rFonts w:hint="eastAsia" w:ascii="宋体"/>
          <w:color w:val="auto"/>
          <w:highlight w:val="none"/>
        </w:rPr>
        <w:t>，该站属二级加油站。</w:t>
      </w:r>
    </w:p>
    <w:p w14:paraId="6C8A2803">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6405E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662" w:type="pct"/>
            <w:vMerge w:val="restart"/>
            <w:vAlign w:val="center"/>
          </w:tcPr>
          <w:p w14:paraId="0B2DF71A">
            <w:pPr>
              <w:pStyle w:val="20"/>
              <w:widowControl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D6D453B">
            <w:pPr>
              <w:pStyle w:val="20"/>
              <w:widowControl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53E95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52CB9AC0">
            <w:pPr>
              <w:pStyle w:val="20"/>
              <w:widowControl w:val="0"/>
              <w:spacing w:line="360" w:lineRule="auto"/>
              <w:rPr>
                <w:rFonts w:ascii="宋体" w:hAnsi="宋体"/>
                <w:b/>
                <w:bCs/>
                <w:color w:val="auto"/>
                <w:highlight w:val="none"/>
              </w:rPr>
            </w:pPr>
          </w:p>
        </w:tc>
        <w:tc>
          <w:tcPr>
            <w:tcW w:w="1667" w:type="pct"/>
            <w:vAlign w:val="center"/>
          </w:tcPr>
          <w:p w14:paraId="67FC9735">
            <w:pPr>
              <w:pStyle w:val="20"/>
              <w:widowControl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6041B5D4">
            <w:pPr>
              <w:pStyle w:val="20"/>
              <w:widowControl w:val="0"/>
              <w:spacing w:line="360" w:lineRule="auto"/>
              <w:rPr>
                <w:rFonts w:ascii="宋体" w:hAnsi="宋体"/>
                <w:b/>
                <w:bCs/>
                <w:color w:val="auto"/>
                <w:highlight w:val="none"/>
              </w:rPr>
            </w:pPr>
            <w:r>
              <w:rPr>
                <w:rFonts w:ascii="宋体" w:hAnsi="宋体"/>
                <w:b/>
                <w:bCs/>
                <w:color w:val="auto"/>
                <w:highlight w:val="none"/>
              </w:rPr>
              <w:t>单罐容积</w:t>
            </w:r>
          </w:p>
        </w:tc>
      </w:tr>
      <w:tr w14:paraId="104F3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AAA8AC2">
            <w:pPr>
              <w:pStyle w:val="20"/>
              <w:widowControl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B9A04A7">
            <w:pPr>
              <w:pStyle w:val="20"/>
              <w:widowControl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EB13BC8">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20206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AAD6106">
            <w:pPr>
              <w:pStyle w:val="20"/>
              <w:widowControl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78700F39">
            <w:pPr>
              <w:pStyle w:val="20"/>
              <w:widowControl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7E04FB0F">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8F5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69B15EB">
            <w:pPr>
              <w:pStyle w:val="20"/>
              <w:widowControl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56A49B35">
            <w:pPr>
              <w:pStyle w:val="20"/>
              <w:widowControl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03E31AFF">
            <w:pPr>
              <w:pStyle w:val="20"/>
              <w:widowControl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289CB868">
      <w:pPr>
        <w:pStyle w:val="21"/>
        <w:widowControl w:val="0"/>
        <w:spacing w:line="360" w:lineRule="auto"/>
        <w:ind w:firstLine="436"/>
        <w:rPr>
          <w:color w:val="auto"/>
          <w:highlight w:val="none"/>
        </w:rPr>
      </w:pPr>
      <w:r>
        <w:rPr>
          <w:color w:val="auto"/>
          <w:highlight w:val="none"/>
        </w:rPr>
        <w:t>注：</w:t>
      </w:r>
      <w:r>
        <w:rPr>
          <w:rFonts w:hint="eastAsia"/>
          <w:color w:val="auto"/>
          <w:highlight w:val="none"/>
        </w:rPr>
        <w:t>V为油罐总容积。</w:t>
      </w:r>
      <w:r>
        <w:rPr>
          <w:color w:val="auto"/>
          <w:highlight w:val="none"/>
        </w:rPr>
        <w:t>柴油罐容积可折半计入油罐总容积。</w:t>
      </w:r>
    </w:p>
    <w:p w14:paraId="1F5B4081">
      <w:pPr>
        <w:pStyle w:val="17"/>
        <w:widowControl w:val="0"/>
        <w:adjustRightInd w:val="0"/>
        <w:snapToGrid w:val="0"/>
        <w:spacing w:line="360" w:lineRule="auto"/>
        <w:ind w:firstLine="560"/>
        <w:rPr>
          <w:rFonts w:ascii="宋体"/>
          <w:color w:val="auto"/>
          <w:highlight w:val="none"/>
        </w:rPr>
      </w:pPr>
      <w:r>
        <w:rPr>
          <w:rFonts w:ascii="宋体"/>
          <w:color w:val="auto"/>
          <w:highlight w:val="none"/>
        </w:rPr>
        <w:t>该站现有职工</w:t>
      </w:r>
      <w:r>
        <w:rPr>
          <w:rFonts w:hint="eastAsia" w:ascii="宋体"/>
          <w:color w:val="auto"/>
          <w:highlight w:val="none"/>
        </w:rPr>
        <w:t>5人</w:t>
      </w:r>
      <w:r>
        <w:rPr>
          <w:rFonts w:ascii="宋体"/>
          <w:color w:val="auto"/>
          <w:highlight w:val="none"/>
        </w:rPr>
        <w:t>，</w:t>
      </w:r>
      <w:r>
        <w:rPr>
          <w:rFonts w:hint="eastAsia" w:ascii="宋体"/>
          <w:color w:val="auto"/>
          <w:highlight w:val="none"/>
        </w:rPr>
        <w:t>其中主要</w:t>
      </w:r>
      <w:r>
        <w:rPr>
          <w:rFonts w:ascii="宋体"/>
          <w:color w:val="auto"/>
          <w:highlight w:val="none"/>
        </w:rPr>
        <w:t>负责人</w:t>
      </w:r>
      <w:r>
        <w:rPr>
          <w:rFonts w:hint="eastAsia" w:ascii="宋体"/>
          <w:color w:val="auto"/>
          <w:highlight w:val="none"/>
        </w:rPr>
        <w:t>1</w:t>
      </w:r>
      <w:r>
        <w:rPr>
          <w:rFonts w:ascii="宋体"/>
          <w:color w:val="auto"/>
          <w:highlight w:val="none"/>
        </w:rPr>
        <w:t>人，</w:t>
      </w:r>
      <w:r>
        <w:rPr>
          <w:rFonts w:hint="eastAsia" w:ascii="宋体"/>
          <w:color w:val="auto"/>
          <w:highlight w:val="none"/>
        </w:rPr>
        <w:t>安全生产管理</w:t>
      </w:r>
      <w:r>
        <w:rPr>
          <w:rFonts w:ascii="宋体"/>
          <w:color w:val="auto"/>
          <w:highlight w:val="none"/>
        </w:rPr>
        <w:t>员</w:t>
      </w:r>
      <w:r>
        <w:rPr>
          <w:rFonts w:hint="eastAsia" w:ascii="宋体"/>
          <w:color w:val="auto"/>
          <w:highlight w:val="none"/>
        </w:rPr>
        <w:t>1人。主要负责人和安全生产管理人员</w:t>
      </w:r>
      <w:r>
        <w:rPr>
          <w:rFonts w:ascii="宋体"/>
          <w:color w:val="auto"/>
          <w:highlight w:val="none"/>
        </w:rPr>
        <w:t>已</w:t>
      </w:r>
      <w:r>
        <w:rPr>
          <w:rFonts w:hint="eastAsia" w:ascii="宋体"/>
          <w:color w:val="auto"/>
          <w:highlight w:val="none"/>
        </w:rPr>
        <w:t>参加了</w:t>
      </w:r>
      <w:r>
        <w:rPr>
          <w:rFonts w:ascii="宋体"/>
          <w:color w:val="auto"/>
          <w:highlight w:val="none"/>
        </w:rPr>
        <w:t>危险化学品安全管理培训，</w:t>
      </w:r>
      <w:r>
        <w:rPr>
          <w:rFonts w:hint="eastAsia" w:ascii="宋体"/>
          <w:color w:val="auto"/>
          <w:highlight w:val="none"/>
        </w:rPr>
        <w:t>并取得考核合格证，</w:t>
      </w:r>
      <w:r>
        <w:rPr>
          <w:rFonts w:ascii="宋体"/>
          <w:color w:val="auto"/>
          <w:highlight w:val="none"/>
        </w:rPr>
        <w:t>详见附件。</w:t>
      </w:r>
    </w:p>
    <w:p w14:paraId="0AC65CB9">
      <w:pPr>
        <w:pStyle w:val="17"/>
        <w:widowControl w:val="0"/>
        <w:adjustRightInd w:val="0"/>
        <w:snapToGrid w:val="0"/>
        <w:spacing w:line="360" w:lineRule="auto"/>
        <w:ind w:firstLine="560"/>
        <w:rPr>
          <w:rFonts w:ascii="宋体"/>
          <w:color w:val="auto"/>
          <w:highlight w:val="none"/>
        </w:rPr>
      </w:pPr>
      <w:r>
        <w:rPr>
          <w:rFonts w:hint="eastAsia" w:ascii="宋体" w:hAnsi="宋体"/>
          <w:color w:val="auto"/>
          <w:highlight w:val="none"/>
        </w:rPr>
        <w:t>山东泰安交通运输集团有限公司第五加油站</w:t>
      </w:r>
      <w:r>
        <w:rPr>
          <w:rFonts w:hint="eastAsia" w:ascii="宋体" w:hAnsi="宋体"/>
          <w:color w:val="auto"/>
          <w:highlight w:val="none"/>
          <w:lang w:val="en-US" w:eastAsia="zh-CN"/>
        </w:rPr>
        <w:t>曾用名宁阳县东海石化有限公司，</w:t>
      </w:r>
      <w:r>
        <w:rPr>
          <w:rFonts w:hint="eastAsia" w:ascii="宋体"/>
          <w:color w:val="auto"/>
          <w:highlight w:val="none"/>
        </w:rPr>
        <w:t>于201</w:t>
      </w:r>
      <w:r>
        <w:rPr>
          <w:rFonts w:hint="eastAsia" w:ascii="宋体"/>
          <w:color w:val="auto"/>
          <w:highlight w:val="none"/>
          <w:lang w:val="en-US" w:eastAsia="zh-CN"/>
        </w:rPr>
        <w:t>1</w:t>
      </w:r>
      <w:r>
        <w:rPr>
          <w:rFonts w:hint="eastAsia" w:ascii="宋体"/>
          <w:color w:val="auto"/>
          <w:highlight w:val="none"/>
        </w:rPr>
        <w:t>年9月2</w:t>
      </w:r>
      <w:r>
        <w:rPr>
          <w:rFonts w:hint="eastAsia" w:ascii="宋体"/>
          <w:color w:val="auto"/>
          <w:highlight w:val="none"/>
          <w:lang w:val="en-US" w:eastAsia="zh-CN"/>
        </w:rPr>
        <w:t>8</w:t>
      </w:r>
      <w:r>
        <w:rPr>
          <w:rFonts w:hint="eastAsia" w:ascii="宋体"/>
          <w:color w:val="auto"/>
          <w:highlight w:val="none"/>
        </w:rPr>
        <w:t>日取得了宁阳县公安消防大队出具的《</w:t>
      </w:r>
      <w:r>
        <w:rPr>
          <w:rFonts w:hint="eastAsia" w:ascii="宋体" w:hAnsi="宋体"/>
          <w:color w:val="auto"/>
          <w:highlight w:val="none"/>
        </w:rPr>
        <w:t>建设工程消防</w:t>
      </w:r>
      <w:r>
        <w:rPr>
          <w:rFonts w:hint="eastAsia" w:ascii="宋体" w:hAnsi="宋体"/>
          <w:color w:val="auto"/>
          <w:highlight w:val="none"/>
          <w:lang w:val="en-US" w:eastAsia="zh-CN"/>
        </w:rPr>
        <w:t>验收意见书</w:t>
      </w:r>
      <w:r>
        <w:rPr>
          <w:rFonts w:hint="eastAsia" w:ascii="宋体"/>
          <w:color w:val="auto"/>
          <w:highlight w:val="none"/>
        </w:rPr>
        <w:t>》，</w:t>
      </w:r>
      <w:r>
        <w:rPr>
          <w:rFonts w:hint="eastAsia" w:ascii="宋体"/>
          <w:color w:val="auto"/>
          <w:highlight w:val="none"/>
          <w:lang w:val="en-US" w:eastAsia="zh-CN"/>
        </w:rPr>
        <w:t>意见书编号：宁公消验[2011]第0004号，</w:t>
      </w:r>
      <w:r>
        <w:rPr>
          <w:rFonts w:hint="eastAsia" w:ascii="宋体"/>
          <w:color w:val="auto"/>
          <w:highlight w:val="none"/>
        </w:rPr>
        <w:t>结论：</w:t>
      </w:r>
      <w:r>
        <w:rPr>
          <w:rFonts w:hint="eastAsia" w:ascii="宋体"/>
          <w:color w:val="auto"/>
          <w:highlight w:val="none"/>
          <w:lang w:val="en-US" w:eastAsia="zh-CN"/>
        </w:rPr>
        <w:t>认为该建设工程消防验收</w:t>
      </w:r>
      <w:r>
        <w:rPr>
          <w:rFonts w:hint="eastAsia" w:ascii="宋体"/>
          <w:color w:val="auto"/>
          <w:highlight w:val="none"/>
        </w:rPr>
        <w:t>合格，详见附件。</w:t>
      </w:r>
    </w:p>
    <w:p w14:paraId="76DFE019">
      <w:pPr>
        <w:pStyle w:val="17"/>
        <w:widowControl w:val="0"/>
        <w:adjustRightInd w:val="0"/>
        <w:snapToGrid w:val="0"/>
        <w:spacing w:line="360" w:lineRule="auto"/>
        <w:ind w:firstLine="560"/>
        <w:rPr>
          <w:rFonts w:ascii="宋体"/>
          <w:color w:val="auto"/>
          <w:highlight w:val="none"/>
        </w:rPr>
      </w:pPr>
      <w:r>
        <w:rPr>
          <w:rFonts w:hint="eastAsia" w:ascii="宋体" w:hAnsi="宋体"/>
          <w:color w:val="auto"/>
          <w:szCs w:val="28"/>
          <w:highlight w:val="none"/>
        </w:rPr>
        <w:t>该</w:t>
      </w:r>
      <w:r>
        <w:rPr>
          <w:rFonts w:hint="eastAsia" w:ascii="宋体" w:hAnsi="宋体"/>
          <w:color w:val="auto"/>
          <w:szCs w:val="28"/>
          <w:highlight w:val="none"/>
          <w:lang w:val="en-US" w:eastAsia="zh-CN"/>
        </w:rPr>
        <w:t>加油站</w:t>
      </w:r>
      <w:r>
        <w:rPr>
          <w:rFonts w:hint="eastAsia" w:ascii="宋体" w:hAnsi="宋体"/>
          <w:color w:val="auto"/>
          <w:highlight w:val="none"/>
        </w:rPr>
        <w:t>于2025年8月1日与宁阳县文庙街道关王庙村股份经济合作社签订</w:t>
      </w:r>
      <w:r>
        <w:rPr>
          <w:rFonts w:hint="eastAsia" w:ascii="宋体"/>
          <w:color w:val="auto"/>
          <w:highlight w:val="none"/>
        </w:rPr>
        <w:t>《</w:t>
      </w:r>
      <w:r>
        <w:rPr>
          <w:rFonts w:hint="eastAsia" w:ascii="宋体" w:hAnsi="宋体"/>
          <w:color w:val="auto"/>
          <w:highlight w:val="none"/>
        </w:rPr>
        <w:t>租赁合同</w:t>
      </w:r>
      <w:r>
        <w:rPr>
          <w:rFonts w:hint="eastAsia" w:ascii="宋体"/>
          <w:color w:val="auto"/>
          <w:highlight w:val="none"/>
        </w:rPr>
        <w:t>》</w:t>
      </w:r>
      <w:r>
        <w:rPr>
          <w:rFonts w:hint="eastAsia" w:ascii="宋体" w:hAnsi="宋体"/>
          <w:color w:val="auto"/>
          <w:highlight w:val="none"/>
        </w:rPr>
        <w:t>，租赁期从2025年8月1日起至2030年7月31日止，租赁期5年，详见附件。</w:t>
      </w:r>
    </w:p>
    <w:p w14:paraId="05A51672">
      <w:pPr>
        <w:pStyle w:val="17"/>
        <w:widowControl w:val="0"/>
        <w:adjustRightInd w:val="0"/>
        <w:snapToGrid w:val="0"/>
        <w:spacing w:line="360" w:lineRule="auto"/>
        <w:ind w:firstLine="560"/>
        <w:rPr>
          <w:rFonts w:asciiTheme="minorEastAsia" w:hAnsiTheme="minorEastAsia" w:eastAsiaTheme="minorEastAsia" w:cstheme="minorEastAsia"/>
          <w:color w:val="auto"/>
          <w:highlight w:val="none"/>
        </w:rPr>
      </w:pPr>
      <w:bookmarkStart w:id="14" w:name="_Hlk508440011"/>
      <w:r>
        <w:rPr>
          <w:rFonts w:hint="eastAsia" w:asciiTheme="minorEastAsia" w:hAnsiTheme="minorEastAsia" w:eastAsiaTheme="minorEastAsia" w:cstheme="minorEastAsia"/>
          <w:color w:val="auto"/>
          <w:highlight w:val="none"/>
        </w:rPr>
        <w:t>加油站于2023年3月29日换发了《危险化学品经营许可证》，证书编号：37090013202500174，证书有效期：2023年3月29日至2026年3月28日，证书见附件。</w:t>
      </w:r>
    </w:p>
    <w:bookmarkEnd w:id="14"/>
    <w:p w14:paraId="295AD487">
      <w:pPr>
        <w:pStyle w:val="17"/>
        <w:widowControl w:val="0"/>
        <w:adjustRightInd w:val="0"/>
        <w:snapToGrid w:val="0"/>
        <w:spacing w:line="360" w:lineRule="auto"/>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加油站于2025年10月15日换发了《成品油零售经营批准证书》，证书编号：鲁油零售证书第3709041024号，证书有效期：2025年05月15日至2030年05月15日，详见附件。</w:t>
      </w:r>
    </w:p>
    <w:p w14:paraId="1C9812F7">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该站编制了生产安全事故应急预案，于202</w:t>
      </w:r>
      <w:r>
        <w:rPr>
          <w:rFonts w:hint="eastAsia" w:ascii="宋体"/>
          <w:color w:val="auto"/>
          <w:highlight w:val="none"/>
          <w:lang w:val="en-US" w:eastAsia="zh-CN"/>
        </w:rPr>
        <w:t>6</w:t>
      </w:r>
      <w:r>
        <w:rPr>
          <w:rFonts w:hint="eastAsia" w:ascii="宋体"/>
          <w:color w:val="auto"/>
          <w:highlight w:val="none"/>
        </w:rPr>
        <w:t>年</w:t>
      </w:r>
      <w:r>
        <w:rPr>
          <w:rFonts w:hint="eastAsia" w:ascii="宋体"/>
          <w:color w:val="auto"/>
          <w:highlight w:val="none"/>
          <w:lang w:val="en-US" w:eastAsia="zh-CN"/>
        </w:rPr>
        <w:t>2</w:t>
      </w:r>
      <w:r>
        <w:rPr>
          <w:rFonts w:hint="eastAsia" w:ascii="宋体"/>
          <w:color w:val="auto"/>
          <w:highlight w:val="none"/>
        </w:rPr>
        <w:t>月</w:t>
      </w:r>
      <w:r>
        <w:rPr>
          <w:rFonts w:hint="eastAsia" w:ascii="宋体"/>
          <w:color w:val="auto"/>
          <w:highlight w:val="none"/>
          <w:lang w:val="en-US" w:eastAsia="zh-CN"/>
        </w:rPr>
        <w:t>3</w:t>
      </w:r>
      <w:r>
        <w:rPr>
          <w:rFonts w:hint="eastAsia" w:ascii="宋体"/>
          <w:color w:val="auto"/>
          <w:highlight w:val="none"/>
        </w:rPr>
        <w:t>日在宁阳县应急管理局进行了备案，备案编号为：370921-202</w:t>
      </w:r>
      <w:r>
        <w:rPr>
          <w:rFonts w:hint="eastAsia" w:ascii="宋体"/>
          <w:color w:val="auto"/>
          <w:highlight w:val="none"/>
          <w:lang w:val="en-US" w:eastAsia="zh-CN"/>
        </w:rPr>
        <w:t>6</w:t>
      </w:r>
      <w:r>
        <w:rPr>
          <w:rFonts w:hint="eastAsia" w:ascii="宋体"/>
          <w:color w:val="auto"/>
          <w:highlight w:val="none"/>
        </w:rPr>
        <w:t>-YJ00</w:t>
      </w:r>
      <w:r>
        <w:rPr>
          <w:rFonts w:hint="eastAsia" w:ascii="宋体"/>
          <w:color w:val="auto"/>
          <w:highlight w:val="none"/>
          <w:lang w:val="en-US" w:eastAsia="zh-CN"/>
        </w:rPr>
        <w:t>10</w:t>
      </w:r>
      <w:r>
        <w:rPr>
          <w:rFonts w:hint="eastAsia" w:ascii="宋体"/>
          <w:color w:val="auto"/>
          <w:highlight w:val="none"/>
        </w:rPr>
        <w:t>，详见附件。</w:t>
      </w:r>
    </w:p>
    <w:p w14:paraId="111C51F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山东天科防雷工程有限公司对该站进行了相关防雷设施的检测，出具了合格的《雷电防护装置定期检测报告》，报告编号：（1122016001）[2025]D-TA0339号，防雷类别：二类，结论为“合格：加油站雷电防护装置符合现行国家防雷规范标准要求”，有效期至2026年03月21日</w:t>
      </w:r>
      <w:r>
        <w:rPr>
          <w:rFonts w:hint="eastAsia" w:ascii="宋体"/>
          <w:color w:val="auto"/>
          <w:highlight w:val="none"/>
          <w:lang w:eastAsia="zh-CN"/>
        </w:rPr>
        <w:t>（</w:t>
      </w:r>
      <w:r>
        <w:rPr>
          <w:rFonts w:hint="eastAsia" w:ascii="宋体"/>
          <w:color w:val="auto"/>
          <w:highlight w:val="none"/>
          <w:lang w:val="en-US" w:eastAsia="zh-CN"/>
        </w:rPr>
        <w:t>其中98#油罐已变更为92#油罐</w:t>
      </w:r>
      <w:r>
        <w:rPr>
          <w:rFonts w:hint="eastAsia" w:ascii="宋体"/>
          <w:color w:val="auto"/>
          <w:highlight w:val="none"/>
          <w:lang w:eastAsia="zh-CN"/>
        </w:rPr>
        <w:t>），</w:t>
      </w:r>
      <w:r>
        <w:rPr>
          <w:rFonts w:hint="eastAsia" w:ascii="宋体"/>
          <w:color w:val="auto"/>
          <w:highlight w:val="none"/>
        </w:rPr>
        <w:t>检测报告见附件。</w:t>
      </w:r>
    </w:p>
    <w:p w14:paraId="068242F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该站在中国人寿财产保险股份有限公司山东省分公司投保安全生产责任保险，保险期限自2025年4月3日至2026年4月2日止，详见附件。</w:t>
      </w:r>
    </w:p>
    <w:p w14:paraId="4E4F87FF">
      <w:pPr>
        <w:pStyle w:val="17"/>
        <w:widowControl w:val="0"/>
        <w:adjustRightInd w:val="0"/>
        <w:snapToGrid w:val="0"/>
        <w:spacing w:line="360" w:lineRule="auto"/>
        <w:ind w:firstLine="560"/>
        <w:rPr>
          <w:rFonts w:ascii="宋体"/>
          <w:color w:val="auto"/>
          <w:highlight w:val="none"/>
        </w:rPr>
      </w:pPr>
      <w:r>
        <w:rPr>
          <w:rFonts w:hint="eastAsia" w:ascii="宋体" w:hAnsi="宋体" w:cs="宋体"/>
          <w:color w:val="auto"/>
          <w:highlight w:val="none"/>
        </w:rPr>
        <w:t>该站于2025年04月07日取得了泰安市质量技术检验检测研究院（泰安市特种设备检验研究院）出具的可燃气体报警器《检定证书》，检定</w:t>
      </w:r>
      <w:r>
        <w:rPr>
          <w:rFonts w:hint="eastAsia" w:ascii="宋体" w:hAnsi="宋体" w:cs="宋体"/>
          <w:color w:val="auto"/>
          <w:highlight w:val="none"/>
          <w:lang w:val="en-US" w:eastAsia="zh-CN"/>
        </w:rPr>
        <w:t>结论：合格，检定有效期至2026年04月06日。</w:t>
      </w:r>
      <w:r>
        <w:rPr>
          <w:rFonts w:hint="eastAsia" w:ascii="宋体" w:hAnsi="宋体" w:cs="宋体"/>
          <w:color w:val="auto"/>
          <w:highlight w:val="none"/>
        </w:rPr>
        <w:t>检定证书详见附件。</w:t>
      </w:r>
    </w:p>
    <w:p w14:paraId="5C21170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C7E509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该站各项安全管理制度基本健全，有生产经营单位生产事故应急预案，并定期进行应急救援演练。该加油站消防器材配备齐全，加油站配备了35kg推车式干粉灭火器2具，8kg手提式干粉灭火器1</w:t>
      </w:r>
      <w:r>
        <w:rPr>
          <w:rFonts w:hint="eastAsia" w:ascii="宋体"/>
          <w:color w:val="auto"/>
          <w:highlight w:val="none"/>
          <w:lang w:val="en-US" w:eastAsia="zh-CN"/>
        </w:rPr>
        <w:t>4</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灭火器2具，灭火毯5块，消防锨4把，消防桶4个，消防沙池2m</w:t>
      </w:r>
      <w:r>
        <w:rPr>
          <w:rFonts w:hint="eastAsia" w:ascii="宋体"/>
          <w:color w:val="auto"/>
          <w:highlight w:val="none"/>
          <w:vertAlign w:val="superscript"/>
        </w:rPr>
        <w:t>3</w:t>
      </w:r>
      <w:r>
        <w:rPr>
          <w:rFonts w:hint="eastAsia" w:ascii="宋体"/>
          <w:color w:val="auto"/>
          <w:highlight w:val="none"/>
        </w:rPr>
        <w:t>。</w:t>
      </w:r>
    </w:p>
    <w:p w14:paraId="1033DE9C">
      <w:pPr>
        <w:pStyle w:val="18"/>
        <w:spacing w:before="312" w:after="312"/>
        <w:rPr>
          <w:color w:val="auto"/>
        </w:rPr>
      </w:pPr>
      <w:r>
        <w:rPr>
          <w:rFonts w:hint="eastAsia"/>
          <w:color w:val="auto"/>
        </w:rPr>
        <w:t>第四章 评价单元划分与评价方法选择</w:t>
      </w:r>
    </w:p>
    <w:p w14:paraId="30EFAFE2">
      <w:pPr>
        <w:pStyle w:val="2"/>
        <w:spacing w:before="312" w:beforeLines="100" w:after="312" w:afterLines="100" w:line="360" w:lineRule="auto"/>
        <w:ind w:firstLine="0"/>
        <w:rPr>
          <w:color w:val="auto"/>
        </w:rPr>
      </w:pPr>
      <w:bookmarkStart w:id="15" w:name="_Toc7829"/>
      <w:bookmarkStart w:id="16" w:name="_Toc23543"/>
      <w:bookmarkStart w:id="17" w:name="_Toc192907201"/>
      <w:bookmarkStart w:id="18" w:name="_Toc102633907"/>
      <w:bookmarkStart w:id="19" w:name="_Toc102633981"/>
      <w:bookmarkStart w:id="20" w:name="_Toc102634407"/>
      <w:bookmarkStart w:id="21" w:name="_Toc102634256"/>
      <w:bookmarkStart w:id="22" w:name="_Toc238007574"/>
      <w:bookmarkStart w:id="23" w:name="_Toc12643"/>
      <w:bookmarkStart w:id="24" w:name="_Toc198026273"/>
      <w:bookmarkStart w:id="25" w:name="_Toc272364536"/>
      <w:bookmarkStart w:id="26" w:name="_Toc15033754"/>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2"/>
        <w:spacing w:before="312" w:beforeLines="100" w:after="312" w:afterLines="100" w:line="360" w:lineRule="auto"/>
        <w:ind w:firstLine="0"/>
        <w:rPr>
          <w:rFonts w:hint="eastAsia"/>
          <w:color w:val="auto"/>
        </w:rPr>
      </w:pPr>
      <w:bookmarkStart w:id="29" w:name="_Toc102633908"/>
      <w:bookmarkStart w:id="30" w:name="_Toc22810"/>
      <w:bookmarkStart w:id="31" w:name="_Toc102634259"/>
      <w:bookmarkStart w:id="32" w:name="_Toc102633982"/>
      <w:bookmarkStart w:id="33" w:name="_Toc102634408"/>
    </w:p>
    <w:p w14:paraId="178D2E97">
      <w:pPr>
        <w:pStyle w:val="2"/>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2D489339">
      <w:pPr>
        <w:pStyle w:val="18"/>
        <w:widowControl w:val="0"/>
        <w:adjustRightInd w:val="0"/>
        <w:snapToGrid w:val="0"/>
        <w:spacing w:before="468" w:beforeLines="150" w:after="156" w:afterLines="50" w:line="360" w:lineRule="auto"/>
        <w:rPr>
          <w:color w:val="auto"/>
          <w:highlight w:val="none"/>
        </w:rPr>
      </w:pPr>
      <w:bookmarkStart w:id="34" w:name="_Toc102634276"/>
      <w:bookmarkStart w:id="35" w:name="_Toc102633988"/>
      <w:bookmarkStart w:id="36" w:name="_Toc16504"/>
      <w:bookmarkStart w:id="37" w:name="_Toc102633914"/>
      <w:bookmarkStart w:id="38" w:name="_Toc15033761"/>
      <w:bookmarkStart w:id="39" w:name="_Toc9894"/>
      <w:r>
        <w:rPr>
          <w:color w:val="auto"/>
          <w:highlight w:val="none"/>
        </w:rPr>
        <w:t>第六章  安全对策措施及建议</w:t>
      </w:r>
      <w:bookmarkEnd w:id="34"/>
      <w:bookmarkEnd w:id="35"/>
      <w:bookmarkEnd w:id="36"/>
      <w:bookmarkEnd w:id="37"/>
      <w:bookmarkEnd w:id="38"/>
      <w:bookmarkEnd w:id="39"/>
    </w:p>
    <w:p w14:paraId="2FF55EDD">
      <w:pPr>
        <w:snapToGrid w:val="0"/>
        <w:spacing w:before="120" w:after="120" w:line="560" w:lineRule="exact"/>
        <w:jc w:val="center"/>
        <w:outlineLvl w:val="1"/>
        <w:rPr>
          <w:rFonts w:ascii="Calibri" w:hAnsi="Calibri" w:eastAsia="楷体_GB2312"/>
          <w:b/>
          <w:color w:val="auto"/>
          <w:kern w:val="0"/>
          <w:sz w:val="32"/>
          <w:szCs w:val="20"/>
          <w:highlight w:val="none"/>
        </w:rPr>
      </w:pPr>
      <w:bookmarkStart w:id="40" w:name="_Toc225046264"/>
      <w:bookmarkStart w:id="41" w:name="_Toc339456079"/>
      <w:bookmarkStart w:id="42" w:name="_Toc17772"/>
      <w:bookmarkStart w:id="43" w:name="_Toc102633989"/>
      <w:bookmarkStart w:id="44" w:name="_Toc242065302"/>
      <w:bookmarkStart w:id="45" w:name="_Toc4961"/>
      <w:bookmarkStart w:id="46" w:name="_Toc15033762"/>
      <w:bookmarkStart w:id="47" w:name="_Toc102634277"/>
      <w:bookmarkStart w:id="48" w:name="_Toc348877039"/>
      <w:bookmarkStart w:id="49" w:name="_Toc102633915"/>
      <w:r>
        <w:rPr>
          <w:rFonts w:ascii="Calibri" w:hAnsi="Calibri" w:eastAsia="楷体_GB2312"/>
          <w:b/>
          <w:color w:val="auto"/>
          <w:kern w:val="0"/>
          <w:sz w:val="32"/>
          <w:szCs w:val="20"/>
          <w:highlight w:val="none"/>
        </w:rPr>
        <w:t xml:space="preserve">第一节 </w:t>
      </w:r>
      <w:bookmarkEnd w:id="40"/>
      <w:bookmarkEnd w:id="41"/>
      <w:r>
        <w:rPr>
          <w:rFonts w:ascii="Calibri" w:hAnsi="Calibri" w:eastAsia="楷体_GB2312"/>
          <w:b/>
          <w:color w:val="auto"/>
          <w:kern w:val="0"/>
          <w:sz w:val="32"/>
          <w:szCs w:val="20"/>
          <w:highlight w:val="none"/>
        </w:rPr>
        <w:t>存在的问题及整改建议</w:t>
      </w:r>
      <w:bookmarkEnd w:id="42"/>
      <w:bookmarkEnd w:id="43"/>
      <w:bookmarkEnd w:id="44"/>
      <w:bookmarkEnd w:id="45"/>
      <w:bookmarkEnd w:id="46"/>
      <w:bookmarkEnd w:id="47"/>
      <w:bookmarkEnd w:id="48"/>
      <w:bookmarkEnd w:id="49"/>
    </w:p>
    <w:p w14:paraId="44679B85">
      <w:pPr>
        <w:adjustRightInd w:val="0"/>
        <w:snapToGrid w:val="0"/>
        <w:spacing w:line="360" w:lineRule="auto"/>
        <w:ind w:firstLine="560" w:firstLineChars="200"/>
        <w:rPr>
          <w:rFonts w:ascii="宋体"/>
          <w:color w:val="auto"/>
          <w:kern w:val="0"/>
          <w:sz w:val="28"/>
          <w:szCs w:val="20"/>
          <w:highlight w:val="none"/>
        </w:rPr>
      </w:pPr>
      <w:bookmarkStart w:id="50" w:name="_Toc49590281"/>
      <w:bookmarkStart w:id="51"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可以看出，该加油站存在问题如下：</w:t>
      </w:r>
    </w:p>
    <w:bookmarkEnd w:id="50"/>
    <w:bookmarkEnd w:id="51"/>
    <w:p w14:paraId="571B6086">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157"/>
        <w:gridCol w:w="4428"/>
      </w:tblGrid>
      <w:tr w14:paraId="6AA43D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17" w:type="dxa"/>
            <w:vAlign w:val="center"/>
          </w:tcPr>
          <w:p w14:paraId="1D596828">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4157" w:type="dxa"/>
            <w:vAlign w:val="center"/>
          </w:tcPr>
          <w:p w14:paraId="5A9D87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428" w:type="dxa"/>
            <w:vAlign w:val="center"/>
          </w:tcPr>
          <w:p w14:paraId="3E4272C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DDDA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817" w:type="dxa"/>
            <w:vAlign w:val="center"/>
          </w:tcPr>
          <w:p w14:paraId="41058B9B">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1</w:t>
            </w:r>
          </w:p>
        </w:tc>
        <w:tc>
          <w:tcPr>
            <w:tcW w:w="4157" w:type="dxa"/>
            <w:vAlign w:val="center"/>
          </w:tcPr>
          <w:p w14:paraId="0B60D15B">
            <w:pPr>
              <w:adjustRightInd w:val="0"/>
              <w:snapToGrid w:val="0"/>
              <w:jc w:val="center"/>
              <w:rPr>
                <w:rFonts w:ascii="宋体" w:hAnsi="宋体" w:cs="宋体"/>
                <w:bCs/>
                <w:color w:val="auto"/>
                <w:highlight w:val="none"/>
              </w:rPr>
            </w:pPr>
            <w:r>
              <w:rPr>
                <w:rFonts w:hint="eastAsia" w:ascii="宋体" w:hAnsi="宋体" w:cs="宋体"/>
                <w:bCs/>
                <w:color w:val="auto"/>
                <w:highlight w:val="none"/>
              </w:rPr>
              <w:t>液位仪、测漏仪未设置不间断电源。</w:t>
            </w:r>
          </w:p>
        </w:tc>
        <w:tc>
          <w:tcPr>
            <w:tcW w:w="4428" w:type="dxa"/>
            <w:vAlign w:val="center"/>
          </w:tcPr>
          <w:p w14:paraId="4F79C03F">
            <w:pPr>
              <w:adjustRightInd w:val="0"/>
              <w:snapToGrid w:val="0"/>
              <w:jc w:val="center"/>
              <w:rPr>
                <w:rFonts w:ascii="宋体" w:hAnsi="宋体" w:cs="宋体"/>
                <w:bCs/>
                <w:color w:val="auto"/>
                <w:highlight w:val="none"/>
              </w:rPr>
            </w:pPr>
            <w:r>
              <w:rPr>
                <w:rFonts w:hint="eastAsia" w:ascii="宋体" w:hAnsi="宋体" w:cs="宋体"/>
                <w:bCs/>
                <w:color w:val="auto"/>
                <w:highlight w:val="none"/>
              </w:rPr>
              <w:t>液位仪、测漏仪应设置不间断电源。</w:t>
            </w:r>
          </w:p>
        </w:tc>
      </w:tr>
    </w:tbl>
    <w:p w14:paraId="6214C4F2">
      <w:pPr>
        <w:tabs>
          <w:tab w:val="left" w:pos="698"/>
        </w:tabs>
        <w:ind w:firstLine="560" w:firstLineChars="200"/>
        <w:jc w:val="left"/>
        <w:rPr>
          <w:color w:val="auto"/>
          <w:kern w:val="0"/>
          <w:sz w:val="28"/>
          <w:szCs w:val="20"/>
          <w:highlight w:val="none"/>
        </w:rPr>
        <w:sectPr>
          <w:pgSz w:w="11906" w:h="16838"/>
          <w:pgMar w:top="1418" w:right="1134" w:bottom="993" w:left="1588" w:header="850" w:footer="256" w:gutter="0"/>
          <w:cols w:space="720" w:num="1"/>
          <w:docGrid w:type="lines" w:linePitch="312" w:charSpace="0"/>
        </w:sect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C7EA132">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4995545" cy="8880475"/>
            <wp:effectExtent l="0" t="0" r="3175" b="4445"/>
            <wp:docPr id="6" name="图片 6" descr="81a056440ee06b2bd0d71a98ea63a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1a056440ee06b2bd0d71a98ea63a003"/>
                    <pic:cNvPicPr>
                      <a:picLocks noChangeAspect="1"/>
                    </pic:cNvPicPr>
                  </pic:nvPicPr>
                  <pic:blipFill>
                    <a:blip r:embed="rId4"/>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7" name="图片 7" descr="8d80fcd389aae4b10f7ef541f8094d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d80fcd389aae4b10f7ef541f8094d26"/>
                    <pic:cNvPicPr>
                      <a:picLocks noChangeAspect="1"/>
                    </pic:cNvPicPr>
                  </pic:nvPicPr>
                  <pic:blipFill>
                    <a:blip r:embed="rId5"/>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7447280"/>
            <wp:effectExtent l="0" t="0" r="3175" b="5080"/>
            <wp:docPr id="8" name="图片 8" descr="aecbcd459c368bf7cef6503e1ae3b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ecbcd459c368bf7cef6503e1ae3bf67"/>
                    <pic:cNvPicPr>
                      <a:picLocks noChangeAspect="1"/>
                    </pic:cNvPicPr>
                  </pic:nvPicPr>
                  <pic:blipFill>
                    <a:blip r:embed="rId6"/>
                    <a:srcRect t="9274" b="6864"/>
                    <a:stretch>
                      <a:fillRect/>
                    </a:stretch>
                  </pic:blipFill>
                  <pic:spPr>
                    <a:xfrm>
                      <a:off x="0" y="0"/>
                      <a:ext cx="4995545" cy="744728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7630795"/>
            <wp:effectExtent l="0" t="0" r="3175" b="4445"/>
            <wp:docPr id="9" name="图片 9" descr="24ce699ed1bf8b754ce4f4b46e9a11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4ce699ed1bf8b754ce4f4b46e9a11a8"/>
                    <pic:cNvPicPr>
                      <a:picLocks noChangeAspect="1"/>
                    </pic:cNvPicPr>
                  </pic:nvPicPr>
                  <pic:blipFill>
                    <a:blip r:embed="rId7"/>
                    <a:srcRect t="7551" b="6521"/>
                    <a:stretch>
                      <a:fillRect/>
                    </a:stretch>
                  </pic:blipFill>
                  <pic:spPr>
                    <a:xfrm>
                      <a:off x="0" y="0"/>
                      <a:ext cx="4995545" cy="763079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7970520"/>
            <wp:effectExtent l="0" t="0" r="3175" b="0"/>
            <wp:docPr id="10" name="图片 10" descr="afc1c18ae39d1f23bfcd1eda1c5fcb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fc1c18ae39d1f23bfcd1eda1c5fcb43"/>
                    <pic:cNvPicPr>
                      <a:picLocks noChangeAspect="1"/>
                    </pic:cNvPicPr>
                  </pic:nvPicPr>
                  <pic:blipFill>
                    <a:blip r:embed="rId8"/>
                    <a:srcRect t="8094" b="2152"/>
                    <a:stretch>
                      <a:fillRect/>
                    </a:stretch>
                  </pic:blipFill>
                  <pic:spPr>
                    <a:xfrm>
                      <a:off x="0" y="0"/>
                      <a:ext cx="4995545" cy="7970520"/>
                    </a:xfrm>
                    <a:prstGeom prst="rect">
                      <a:avLst/>
                    </a:prstGeom>
                  </pic:spPr>
                </pic:pic>
              </a:graphicData>
            </a:graphic>
          </wp:inline>
        </w:drawing>
      </w:r>
      <w:bookmarkStart w:id="52" w:name="_GoBack"/>
      <w:r>
        <w:rPr>
          <w:rFonts w:hint="default" w:ascii="宋体"/>
          <w:color w:val="auto"/>
          <w:kern w:val="0"/>
          <w:sz w:val="28"/>
          <w:szCs w:val="20"/>
          <w:lang w:val="en-US" w:eastAsia="zh-CN"/>
        </w:rPr>
        <w:drawing>
          <wp:inline distT="0" distB="0" distL="114300" distR="114300">
            <wp:extent cx="4852670" cy="7305040"/>
            <wp:effectExtent l="0" t="0" r="8890" b="10160"/>
            <wp:docPr id="11" name="图片 11" descr="41369d45f4bf8b12f4afb75aec39dc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1369d45f4bf8b12f4afb75aec39dc0c"/>
                    <pic:cNvPicPr>
                      <a:picLocks noChangeAspect="1"/>
                    </pic:cNvPicPr>
                  </pic:nvPicPr>
                  <pic:blipFill>
                    <a:blip r:embed="rId9"/>
                    <a:srcRect t="11266" r="2860" b="5226"/>
                    <a:stretch>
                      <a:fillRect/>
                    </a:stretch>
                  </pic:blipFill>
                  <pic:spPr>
                    <a:xfrm>
                      <a:off x="0" y="0"/>
                      <a:ext cx="4852670" cy="7305040"/>
                    </a:xfrm>
                    <a:prstGeom prst="rect">
                      <a:avLst/>
                    </a:prstGeom>
                  </pic:spPr>
                </pic:pic>
              </a:graphicData>
            </a:graphic>
          </wp:inline>
        </w:drawing>
      </w:r>
      <w:bookmarkEnd w:id="5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8E23D2"/>
    <w:rsid w:val="38B36882"/>
    <w:rsid w:val="3BB85D78"/>
    <w:rsid w:val="3C176B62"/>
    <w:rsid w:val="420C1409"/>
    <w:rsid w:val="43CB4C37"/>
    <w:rsid w:val="4706325F"/>
    <w:rsid w:val="47290367"/>
    <w:rsid w:val="48FE4AE5"/>
    <w:rsid w:val="4ECC7680"/>
    <w:rsid w:val="4F5D6EDB"/>
    <w:rsid w:val="52AE4350"/>
    <w:rsid w:val="537F016A"/>
    <w:rsid w:val="563D798B"/>
    <w:rsid w:val="567C6788"/>
    <w:rsid w:val="579A241E"/>
    <w:rsid w:val="57BD6D10"/>
    <w:rsid w:val="58840D76"/>
    <w:rsid w:val="5C8B1D2D"/>
    <w:rsid w:val="5D511379"/>
    <w:rsid w:val="60FB542C"/>
    <w:rsid w:val="61B336CF"/>
    <w:rsid w:val="636808F8"/>
    <w:rsid w:val="64FD4259"/>
    <w:rsid w:val="69194288"/>
    <w:rsid w:val="6A640607"/>
    <w:rsid w:val="6AD40467"/>
    <w:rsid w:val="6B3179BA"/>
    <w:rsid w:val="6BF95CAB"/>
    <w:rsid w:val="6C4D48B3"/>
    <w:rsid w:val="6D0669CA"/>
    <w:rsid w:val="6D406D3D"/>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2731</Words>
  <Characters>3032</Characters>
  <Lines>0</Lines>
  <Paragraphs>0</Paragraphs>
  <TotalTime>1</TotalTime>
  <ScaleCrop>false</ScaleCrop>
  <LinksUpToDate>false</LinksUpToDate>
  <CharactersWithSpaces>3048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2026-02-13T06:28:29Z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