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499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54"/>
        <w:gridCol w:w="2214"/>
        <w:gridCol w:w="2378"/>
        <w:gridCol w:w="2953"/>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54"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545"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京博新能源（肥城）有限公司经营危险化学品现状评价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966" w:hRule="atLeast"/>
          <w:jc w:val="center"/>
        </w:trPr>
        <w:tc>
          <w:tcPr>
            <w:tcW w:w="1854"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545" w:type="dxa"/>
            <w:gridSpan w:val="3"/>
            <w:tcBorders>
              <w:tl2br w:val="nil"/>
              <w:tr2bl w:val="nil"/>
            </w:tcBorders>
            <w:shd w:val="clear" w:color="auto" w:fill="auto"/>
            <w:noWrap/>
            <w:vAlign w:val="center"/>
          </w:tcPr>
          <w:p w14:paraId="58681954">
            <w:pPr>
              <w:pStyle w:val="3"/>
              <w:ind w:firstLine="560"/>
              <w:rPr>
                <w:rFonts w:ascii="宋体" w:hAnsi="宋体" w:cs="宋体"/>
                <w:color w:val="auto"/>
                <w:szCs w:val="28"/>
              </w:rPr>
            </w:pPr>
            <w:r>
              <w:rPr>
                <w:rFonts w:hint="eastAsia" w:ascii="宋体" w:hAnsi="宋体"/>
                <w:color w:val="auto"/>
                <w:szCs w:val="28"/>
              </w:rPr>
              <w:t>京博新能源（肥城）有限公司成立于</w:t>
            </w:r>
            <w:r>
              <w:rPr>
                <w:rFonts w:hint="eastAsia" w:ascii="宋体" w:hAnsi="宋体" w:cs="宋体"/>
                <w:color w:val="auto"/>
                <w:szCs w:val="28"/>
              </w:rPr>
              <w:t>2025年11月14日，</w:t>
            </w:r>
            <w:r>
              <w:rPr>
                <w:rFonts w:hint="eastAsia" w:ascii="宋体" w:hAnsi="宋体"/>
                <w:color w:val="auto"/>
                <w:szCs w:val="28"/>
              </w:rPr>
              <w:t>位于山东省泰安市肥城市老城街道办事处官路店村泰西大街与金轮路交叉口北200米</w:t>
            </w:r>
            <w:r>
              <w:rPr>
                <w:rFonts w:hint="eastAsia" w:ascii="宋体" w:hAnsi="宋体" w:cs="宋体"/>
                <w:color w:val="auto"/>
                <w:szCs w:val="28"/>
              </w:rPr>
              <w:t>。统一社会信用代码：91370983MAKI9ANM7U。经营范围：一般项目：新兴能源技术研发：互联网销售（除销售需要许可的商品）；化工产品销售（不含许可类化工产品）；专用化学产品销售（不含危险化学品）：生物质成型燃料销售：润滑油销售：洗车服务；洗车设备销售；日用化学产品销售；利动车充电销售；石油制品销售（不含危险化学品）。（除依法须经批准的项目外，凭营业执照依法自主开展经营活动）许可项目：食品销售：烟草制品零售：餐饮服务。（依法须经批准的项目，经相关部门批准后方可开展经营活动，具体经营项目以相关部门批准文件或许可证件为准）。</w:t>
            </w:r>
          </w:p>
          <w:p w14:paraId="010FE6EA">
            <w:pPr>
              <w:pStyle w:val="3"/>
              <w:ind w:firstLine="560"/>
              <w:rPr>
                <w:rFonts w:hint="eastAsia" w:ascii="宋体" w:hAnsi="宋体" w:cs="宋体" w:eastAsiaTheme="minorEastAsia"/>
                <w:b w:val="0"/>
                <w:bCs w:val="0"/>
                <w:color w:val="auto"/>
                <w:kern w:val="0"/>
                <w:sz w:val="21"/>
                <w:szCs w:val="21"/>
                <w:highlight w:val="none"/>
                <w:lang w:eastAsia="zh-CN"/>
              </w:rPr>
            </w:pPr>
            <w:r>
              <w:rPr>
                <w:rFonts w:hint="eastAsia" w:ascii="宋体" w:hAnsi="宋体" w:cs="宋体"/>
                <w:color w:val="auto"/>
              </w:rPr>
              <w:t>该公司办公室位于</w:t>
            </w:r>
            <w:r>
              <w:rPr>
                <w:rFonts w:hint="eastAsia" w:ascii="宋体" w:hAnsi="宋体"/>
                <w:color w:val="auto"/>
              </w:rPr>
              <w:t>京博新能源(肥城)有限公司第八十一加油站站房北侧</w:t>
            </w:r>
            <w:r>
              <w:rPr>
                <w:rFonts w:hint="eastAsia" w:ascii="宋体" w:hAnsi="宋体" w:cs="宋体"/>
                <w:color w:val="auto"/>
                <w:szCs w:val="28"/>
              </w:rPr>
              <w:t>。</w:t>
            </w:r>
            <w:r>
              <w:rPr>
                <w:rFonts w:hint="eastAsia" w:ascii="宋体" w:hAnsi="宋体"/>
                <w:snapToGrid w:val="0"/>
                <w:color w:val="auto"/>
                <w:kern w:val="0"/>
              </w:rPr>
              <w:t>根据市场需要，该公司拟进行汽油、</w:t>
            </w:r>
            <w:r>
              <w:rPr>
                <w:rFonts w:hint="eastAsia" w:ascii="宋体" w:hAnsi="宋体"/>
                <w:color w:val="auto"/>
              </w:rPr>
              <w:t>乙醇汽油、</w:t>
            </w:r>
            <w:r>
              <w:rPr>
                <w:rFonts w:hint="eastAsia" w:ascii="宋体" w:hAnsi="宋体"/>
                <w:snapToGrid w:val="0"/>
                <w:color w:val="auto"/>
                <w:kern w:val="0"/>
              </w:rPr>
              <w:t>柴油的无储存经营。</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54"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92"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53"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92"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53"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92"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53"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92"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53"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92"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53"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C126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92" w:type="dxa"/>
            <w:gridSpan w:val="2"/>
            <w:tcBorders>
              <w:tl2br w:val="nil"/>
              <w:tr2bl w:val="nil"/>
            </w:tcBorders>
            <w:shd w:val="clear" w:color="auto" w:fill="auto"/>
            <w:noWrap/>
            <w:vAlign w:val="center"/>
          </w:tcPr>
          <w:p w14:paraId="57E328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53" w:type="dxa"/>
            <w:tcBorders>
              <w:tl2br w:val="nil"/>
              <w:tr2bl w:val="nil"/>
            </w:tcBorders>
            <w:shd w:val="clear" w:color="auto" w:fill="auto"/>
            <w:noWrap/>
            <w:vAlign w:val="center"/>
          </w:tcPr>
          <w:p w14:paraId="6DD091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92"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53"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92"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赵燕</w:t>
            </w:r>
          </w:p>
        </w:tc>
        <w:tc>
          <w:tcPr>
            <w:tcW w:w="2953"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92"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53"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92"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53"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vMerge w:val="restart"/>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92"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53"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92"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53"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92"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53"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214"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78"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53"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214"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2025.11.3</w:t>
            </w:r>
          </w:p>
        </w:tc>
        <w:tc>
          <w:tcPr>
            <w:tcW w:w="2378"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53"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214"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2026.1.6</w:t>
            </w:r>
          </w:p>
        </w:tc>
        <w:tc>
          <w:tcPr>
            <w:tcW w:w="2378"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53"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214"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2026.1.8</w:t>
            </w:r>
          </w:p>
        </w:tc>
        <w:tc>
          <w:tcPr>
            <w:tcW w:w="2378"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53"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54"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214"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p>
        </w:tc>
        <w:tc>
          <w:tcPr>
            <w:tcW w:w="2378"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p>
        </w:tc>
        <w:tc>
          <w:tcPr>
            <w:tcW w:w="2953"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399"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安全评价报告提交时间：2026.1.17</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399"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226349BD">
      <w:pPr>
        <w:pStyle w:val="18"/>
        <w:widowControl w:val="0"/>
        <w:adjustRightInd w:val="0"/>
        <w:snapToGrid w:val="0"/>
        <w:spacing w:before="0" w:beforeLines="0" w:after="0" w:afterLines="0" w:line="360" w:lineRule="auto"/>
        <w:rPr>
          <w:color w:val="auto"/>
        </w:rPr>
      </w:pPr>
      <w:bookmarkStart w:id="0" w:name="_Toc102633895"/>
      <w:bookmarkStart w:id="1" w:name="_Toc15033742"/>
      <w:bookmarkStart w:id="2" w:name="_Toc102633969"/>
      <w:bookmarkStart w:id="3" w:name="_Toc23578"/>
      <w:bookmarkStart w:id="4" w:name="_Toc102634226"/>
      <w:r>
        <w:rPr>
          <w:color w:val="auto"/>
        </w:rPr>
        <w:t xml:space="preserve">第二章 </w:t>
      </w:r>
      <w:r>
        <w:rPr>
          <w:rFonts w:hint="eastAsia"/>
          <w:color w:val="auto"/>
        </w:rPr>
        <w:t>公司</w:t>
      </w:r>
      <w:r>
        <w:rPr>
          <w:color w:val="auto"/>
        </w:rPr>
        <w:t>概况</w:t>
      </w:r>
      <w:bookmarkEnd w:id="0"/>
      <w:bookmarkEnd w:id="1"/>
      <w:bookmarkEnd w:id="2"/>
      <w:bookmarkEnd w:id="3"/>
      <w:bookmarkEnd w:id="4"/>
    </w:p>
    <w:p w14:paraId="5610AA74">
      <w:pPr>
        <w:snapToGrid w:val="0"/>
        <w:spacing w:line="360" w:lineRule="auto"/>
        <w:jc w:val="center"/>
        <w:outlineLvl w:val="1"/>
        <w:rPr>
          <w:rFonts w:ascii="Calibri" w:hAnsi="Calibri" w:eastAsia="楷体_GB2312"/>
          <w:b/>
          <w:color w:val="auto"/>
          <w:kern w:val="0"/>
          <w:sz w:val="32"/>
          <w:szCs w:val="20"/>
        </w:rPr>
      </w:pPr>
      <w:bookmarkStart w:id="5" w:name="_Toc5655"/>
      <w:bookmarkStart w:id="6" w:name="_Toc208733856"/>
      <w:bookmarkStart w:id="7" w:name="_Toc26504"/>
      <w:bookmarkStart w:id="8" w:name="_Toc102634227"/>
      <w:bookmarkStart w:id="9" w:name="_Toc15033743"/>
      <w:bookmarkStart w:id="10" w:name="_Toc102633970"/>
      <w:bookmarkStart w:id="11" w:name="_Toc102633896"/>
      <w:bookmarkStart w:id="12" w:name="_Toc272364524"/>
      <w:bookmarkStart w:id="13" w:name="_Toc30066"/>
      <w:r>
        <w:rPr>
          <w:rFonts w:ascii="Calibri" w:hAnsi="Calibri" w:eastAsia="楷体_GB2312"/>
          <w:b/>
          <w:color w:val="auto"/>
          <w:kern w:val="0"/>
          <w:sz w:val="32"/>
          <w:szCs w:val="20"/>
        </w:rPr>
        <w:t xml:space="preserve">第一节 </w:t>
      </w:r>
      <w:r>
        <w:rPr>
          <w:rFonts w:hint="eastAsia" w:ascii="Calibri" w:hAnsi="Calibri" w:eastAsia="楷体_GB2312"/>
          <w:b/>
          <w:color w:val="auto"/>
          <w:kern w:val="0"/>
          <w:sz w:val="32"/>
          <w:szCs w:val="20"/>
        </w:rPr>
        <w:t>公司</w:t>
      </w:r>
      <w:r>
        <w:rPr>
          <w:rFonts w:ascii="Calibri" w:hAnsi="Calibri" w:eastAsia="楷体_GB2312"/>
          <w:b/>
          <w:color w:val="auto"/>
          <w:kern w:val="0"/>
          <w:sz w:val="32"/>
          <w:szCs w:val="20"/>
        </w:rPr>
        <w:t>基本情况</w:t>
      </w:r>
      <w:bookmarkEnd w:id="5"/>
      <w:bookmarkEnd w:id="6"/>
      <w:bookmarkEnd w:id="7"/>
      <w:bookmarkEnd w:id="8"/>
      <w:bookmarkEnd w:id="9"/>
      <w:bookmarkEnd w:id="10"/>
      <w:bookmarkEnd w:id="11"/>
      <w:bookmarkEnd w:id="12"/>
      <w:bookmarkEnd w:id="13"/>
    </w:p>
    <w:p w14:paraId="1D5C8FB6">
      <w:pPr>
        <w:pStyle w:val="3"/>
        <w:ind w:firstLine="560"/>
        <w:rPr>
          <w:rFonts w:hint="eastAsia" w:asciiTheme="minorEastAsia" w:hAnsiTheme="minorEastAsia" w:eastAsiaTheme="minorEastAsia" w:cstheme="minorEastAsia"/>
          <w:color w:val="auto"/>
          <w:kern w:val="0"/>
          <w:sz w:val="28"/>
          <w:szCs w:val="20"/>
        </w:rPr>
      </w:pPr>
      <w:r>
        <w:rPr>
          <w:rFonts w:hint="eastAsia" w:asciiTheme="minorEastAsia" w:hAnsiTheme="minorEastAsia" w:eastAsiaTheme="minorEastAsia" w:cstheme="minorEastAsia"/>
          <w:color w:val="auto"/>
          <w:kern w:val="0"/>
          <w:sz w:val="28"/>
          <w:szCs w:val="20"/>
        </w:rPr>
        <w:t>京博新能源（肥城）有限公司成立于2025年11月14日，位于山东省泰安市肥城市老城街道办事处官路店村泰西大街与金轮路交叉口北200米。统一社会信用代码：91370983MAKI9ANM7U。经营范围：一般项目：新兴能源技术研发：互联网销售（除销售需要许可的商品）；化工产品销售（不含许可类化工产品）；专用化学产品销售（不含危险化学品）：生物质成型燃料销售：润滑油销售：洗车服务；洗车设备销售；日用化学产品销售；利动车充电销售；石油制品销售（不含危险化学品）。（除依法须经批准的项目外，凭营业执照依法自主开展经营活动）许可项目：食品销售：烟草制品零售：餐饮服务。（依法须经批准的项目，经相关部门批准后方可开展经营活动，具体经营项目以相关部门批准文件或许可证件为准）。</w:t>
      </w:r>
    </w:p>
    <w:p w14:paraId="7C989BB2">
      <w:pPr>
        <w:pStyle w:val="3"/>
        <w:ind w:firstLine="560"/>
        <w:rPr>
          <w:rFonts w:hint="eastAsia" w:asciiTheme="minorEastAsia" w:hAnsiTheme="minorEastAsia" w:eastAsiaTheme="minorEastAsia" w:cstheme="minorEastAsia"/>
          <w:color w:val="auto"/>
          <w:kern w:val="0"/>
          <w:sz w:val="28"/>
          <w:szCs w:val="20"/>
        </w:rPr>
      </w:pPr>
      <w:r>
        <w:rPr>
          <w:rFonts w:hint="eastAsia" w:asciiTheme="minorEastAsia" w:hAnsiTheme="minorEastAsia" w:eastAsiaTheme="minorEastAsia" w:cstheme="minorEastAsia"/>
          <w:color w:val="auto"/>
          <w:kern w:val="0"/>
          <w:sz w:val="28"/>
          <w:szCs w:val="20"/>
        </w:rPr>
        <w:t>该公司办公室位于京博新能源(肥城)有限公司第八十一加油站站房北侧。根据市场需要，该公司拟进行汽油、乙醇汽油、柴油的无储存经营。</w:t>
      </w:r>
    </w:p>
    <w:p w14:paraId="494EDE70">
      <w:pPr>
        <w:pStyle w:val="3"/>
        <w:ind w:firstLine="560"/>
        <w:rPr>
          <w:rFonts w:hint="eastAsia" w:asciiTheme="minorEastAsia" w:hAnsiTheme="minorEastAsia" w:eastAsiaTheme="minorEastAsia" w:cstheme="minorEastAsia"/>
          <w:color w:val="auto"/>
          <w:kern w:val="0"/>
          <w:sz w:val="28"/>
          <w:szCs w:val="20"/>
        </w:rPr>
      </w:pPr>
      <w:r>
        <w:rPr>
          <w:rFonts w:hint="eastAsia" w:ascii="宋体" w:hAnsi="宋体"/>
          <w:color w:val="auto"/>
          <w:sz w:val="28"/>
          <w:szCs w:val="28"/>
        </w:rPr>
        <w:t>京博新能源（肥城）有限公司第八十一加油站为京博新能源（肥城）有限公司的下属站点，二者均</w:t>
      </w:r>
      <w:r>
        <w:rPr>
          <w:rFonts w:hint="eastAsia" w:ascii="宋体" w:hAnsi="宋体"/>
          <w:color w:val="auto"/>
          <w:sz w:val="28"/>
          <w:szCs w:val="28"/>
          <w:lang w:val="en-US" w:eastAsia="zh-CN"/>
        </w:rPr>
        <w:t>隶属</w:t>
      </w:r>
      <w:r>
        <w:rPr>
          <w:rFonts w:hint="eastAsia" w:ascii="宋体" w:hAnsi="宋体"/>
          <w:color w:val="auto"/>
          <w:sz w:val="28"/>
          <w:szCs w:val="28"/>
        </w:rPr>
        <w:t>于山东京博新能源控股发展有限公司，且共用一份土地合同。</w:t>
      </w:r>
      <w:r>
        <w:rPr>
          <w:rFonts w:hint="eastAsia" w:asciiTheme="minorEastAsia" w:hAnsiTheme="minorEastAsia" w:eastAsiaTheme="minorEastAsia" w:cstheme="minorEastAsia"/>
          <w:color w:val="auto"/>
          <w:sz w:val="28"/>
        </w:rPr>
        <w:t>肥城市中润石油制品有限公司法定代表人</w:t>
      </w:r>
      <w:r>
        <w:rPr>
          <w:rFonts w:hint="eastAsia" w:asciiTheme="minorEastAsia" w:hAnsiTheme="minorEastAsia" w:eastAsiaTheme="minorEastAsia" w:cstheme="minorEastAsia"/>
          <w:color w:val="auto"/>
          <w:kern w:val="0"/>
          <w:sz w:val="28"/>
          <w:szCs w:val="20"/>
        </w:rPr>
        <w:t>李希泉于2012年12月26日与老城街道办事处官路店村民委员会签订《合同书》，租赁年限20年，合同期自2013年1月1日至2032年12月31日止；</w:t>
      </w:r>
      <w:r>
        <w:rPr>
          <w:rFonts w:hint="eastAsia" w:asciiTheme="minorEastAsia" w:hAnsiTheme="minorEastAsia" w:eastAsiaTheme="minorEastAsia" w:cstheme="minorEastAsia"/>
          <w:color w:val="auto"/>
          <w:sz w:val="28"/>
        </w:rPr>
        <w:t>肥城市中润石油制品有限公司</w:t>
      </w:r>
      <w:r>
        <w:rPr>
          <w:rFonts w:hint="eastAsia" w:asciiTheme="minorEastAsia" w:hAnsiTheme="minorEastAsia" w:eastAsiaTheme="minorEastAsia" w:cstheme="minorEastAsia"/>
          <w:color w:val="auto"/>
          <w:kern w:val="0"/>
          <w:sz w:val="28"/>
          <w:szCs w:val="20"/>
          <w:lang w:val="en-US" w:eastAsia="zh-CN"/>
        </w:rPr>
        <w:t>于2025年1月15日</w:t>
      </w:r>
      <w:r>
        <w:rPr>
          <w:rFonts w:hint="eastAsia" w:asciiTheme="minorEastAsia" w:hAnsiTheme="minorEastAsia" w:eastAsiaTheme="minorEastAsia" w:cstheme="minorEastAsia"/>
          <w:color w:val="auto"/>
          <w:kern w:val="0"/>
          <w:sz w:val="28"/>
          <w:szCs w:val="20"/>
        </w:rPr>
        <w:t>与老城街道办事处官路店村民委员会签订《</w:t>
      </w:r>
      <w:r>
        <w:rPr>
          <w:rFonts w:hint="eastAsia" w:asciiTheme="minorEastAsia" w:hAnsiTheme="minorEastAsia" w:eastAsiaTheme="minorEastAsia" w:cstheme="minorEastAsia"/>
          <w:color w:val="auto"/>
          <w:kern w:val="0"/>
          <w:sz w:val="28"/>
          <w:szCs w:val="20"/>
          <w:lang w:val="en-US" w:eastAsia="zh-CN"/>
        </w:rPr>
        <w:t>补充协议书</w:t>
      </w:r>
      <w:r>
        <w:rPr>
          <w:rFonts w:hint="eastAsia" w:asciiTheme="minorEastAsia" w:hAnsiTheme="minorEastAsia" w:eastAsiaTheme="minorEastAsia" w:cstheme="minorEastAsia"/>
          <w:color w:val="auto"/>
          <w:kern w:val="0"/>
          <w:sz w:val="28"/>
          <w:szCs w:val="20"/>
        </w:rPr>
        <w:t>》</w:t>
      </w:r>
      <w:r>
        <w:rPr>
          <w:rFonts w:hint="eastAsia" w:asciiTheme="minorEastAsia" w:hAnsiTheme="minorEastAsia" w:eastAsiaTheme="minorEastAsia" w:cstheme="minorEastAsia"/>
          <w:color w:val="auto"/>
          <w:kern w:val="0"/>
          <w:sz w:val="28"/>
          <w:szCs w:val="20"/>
          <w:lang w:eastAsia="zh-CN"/>
        </w:rPr>
        <w:t>，</w:t>
      </w:r>
      <w:r>
        <w:rPr>
          <w:rFonts w:hint="eastAsia" w:asciiTheme="minorEastAsia" w:hAnsiTheme="minorEastAsia" w:eastAsiaTheme="minorEastAsia" w:cstheme="minorEastAsia"/>
          <w:color w:val="auto"/>
          <w:kern w:val="0"/>
          <w:sz w:val="28"/>
          <w:szCs w:val="20"/>
          <w:lang w:val="en-US" w:eastAsia="zh-CN"/>
        </w:rPr>
        <w:t>补充协议将合同期限在原来的基础上延长12年，即延长至2044年12月31日。</w:t>
      </w:r>
      <w:r>
        <w:rPr>
          <w:rFonts w:hint="eastAsia" w:asciiTheme="minorEastAsia" w:hAnsiTheme="minorEastAsia" w:eastAsiaTheme="minorEastAsia" w:cstheme="minorEastAsia"/>
          <w:color w:val="auto"/>
          <w:kern w:val="0"/>
          <w:sz w:val="28"/>
          <w:szCs w:val="20"/>
        </w:rPr>
        <w:t>山东京博新能源控股发展有限公司于2025年8月3日与肥城市中润石油制品有限公司签订《加油站资产租赁合同》，租赁年限10年；详见附件。</w:t>
      </w:r>
    </w:p>
    <w:p w14:paraId="0A650FC5">
      <w:pPr>
        <w:adjustRightInd w:val="0"/>
        <w:snapToGrid w:val="0"/>
        <w:spacing w:line="360" w:lineRule="auto"/>
        <w:ind w:firstLine="560" w:firstLineChars="200"/>
        <w:rPr>
          <w:rFonts w:hint="eastAsia" w:ascii="宋体" w:hAnsi="宋体"/>
          <w:color w:val="auto"/>
          <w:sz w:val="28"/>
        </w:rPr>
      </w:pPr>
      <w:r>
        <w:rPr>
          <w:rFonts w:hint="eastAsia" w:ascii="宋体" w:hAnsi="宋体"/>
          <w:color w:val="auto"/>
          <w:sz w:val="28"/>
        </w:rPr>
        <w:t>该站编制了生产安全事故应急预案，于2025年12月10日在肥城市应急管理局进行了备案，备案编号为：370983-2025-W05</w:t>
      </w:r>
      <w:r>
        <w:rPr>
          <w:rFonts w:hint="eastAsia" w:ascii="宋体" w:hAnsi="宋体"/>
          <w:color w:val="auto"/>
          <w:sz w:val="28"/>
          <w:lang w:val="en-US" w:eastAsia="zh-CN"/>
        </w:rPr>
        <w:t>4</w:t>
      </w:r>
      <w:r>
        <w:rPr>
          <w:rFonts w:hint="eastAsia" w:ascii="宋体" w:hAnsi="宋体"/>
          <w:color w:val="auto"/>
          <w:sz w:val="28"/>
        </w:rPr>
        <w:t>，详见附件。</w:t>
      </w:r>
    </w:p>
    <w:p w14:paraId="621A9C15">
      <w:pPr>
        <w:pStyle w:val="17"/>
        <w:widowControl w:val="0"/>
        <w:adjustRightInd w:val="0"/>
        <w:snapToGrid w:val="0"/>
        <w:spacing w:line="360" w:lineRule="auto"/>
        <w:ind w:firstLine="560"/>
        <w:rPr>
          <w:rFonts w:ascii="宋体"/>
          <w:color w:val="auto"/>
        </w:rPr>
      </w:pPr>
      <w:r>
        <w:rPr>
          <w:rFonts w:hint="eastAsia" w:ascii="宋体"/>
          <w:color w:val="auto"/>
        </w:rPr>
        <w:t>该站在中国人民财产保险股份有限公司滨州市分公司投保安全生产责任保险，保险期限2026年01月08日至2027年01月07日，详见附件。</w:t>
      </w:r>
    </w:p>
    <w:p w14:paraId="296E3719">
      <w:pPr>
        <w:pStyle w:val="18"/>
        <w:widowControl w:val="0"/>
        <w:adjustRightInd w:val="0"/>
        <w:snapToGrid w:val="0"/>
        <w:spacing w:before="0" w:beforeLines="0" w:after="0" w:afterLines="0" w:line="360" w:lineRule="auto"/>
        <w:rPr>
          <w:color w:val="auto"/>
        </w:rPr>
      </w:pPr>
      <w:bookmarkStart w:id="14" w:name="_Toc29005"/>
      <w:bookmarkStart w:id="15" w:name="_Toc102634276"/>
      <w:bookmarkStart w:id="16" w:name="_Toc9894"/>
      <w:bookmarkStart w:id="17" w:name="_Toc16504"/>
      <w:bookmarkStart w:id="18" w:name="_Toc102633914"/>
      <w:bookmarkStart w:id="19" w:name="_Toc102633988"/>
      <w:bookmarkStart w:id="20" w:name="_Toc15033761"/>
      <w:r>
        <w:rPr>
          <w:color w:val="auto"/>
        </w:rPr>
        <w:t>第四章 评价单元划分与评价方法选择</w:t>
      </w:r>
      <w:bookmarkEnd w:id="14"/>
    </w:p>
    <w:p w14:paraId="044483E4">
      <w:pPr>
        <w:snapToGrid w:val="0"/>
        <w:spacing w:line="360" w:lineRule="auto"/>
        <w:jc w:val="center"/>
        <w:outlineLvl w:val="1"/>
        <w:rPr>
          <w:rFonts w:ascii="Calibri" w:hAnsi="Calibri" w:eastAsia="楷体_GB2312"/>
          <w:b/>
          <w:color w:val="auto"/>
          <w:kern w:val="0"/>
          <w:sz w:val="32"/>
          <w:szCs w:val="20"/>
        </w:rPr>
      </w:pPr>
      <w:bookmarkStart w:id="21" w:name="_Toc198026273"/>
      <w:bookmarkStart w:id="22" w:name="_Toc102634256"/>
      <w:bookmarkStart w:id="23" w:name="_Toc23543"/>
      <w:bookmarkStart w:id="24" w:name="_Toc102633907"/>
      <w:bookmarkStart w:id="25" w:name="_Toc15033754"/>
      <w:bookmarkStart w:id="26" w:name="_Toc22929"/>
      <w:bookmarkStart w:id="27" w:name="_Toc102633981"/>
      <w:bookmarkStart w:id="28" w:name="_Toc192907201"/>
      <w:bookmarkStart w:id="29" w:name="_Toc272364536"/>
      <w:bookmarkStart w:id="30" w:name="_Toc238007574"/>
      <w:bookmarkStart w:id="31" w:name="_Toc7829"/>
      <w:r>
        <w:rPr>
          <w:rFonts w:ascii="Calibri" w:hAnsi="Calibri" w:eastAsia="楷体_GB2312"/>
          <w:b/>
          <w:color w:val="auto"/>
          <w:kern w:val="0"/>
          <w:sz w:val="32"/>
          <w:szCs w:val="20"/>
        </w:rPr>
        <w:t>第一节 评价单元的划分</w:t>
      </w:r>
      <w:bookmarkEnd w:id="21"/>
      <w:bookmarkEnd w:id="22"/>
      <w:bookmarkEnd w:id="23"/>
      <w:bookmarkEnd w:id="24"/>
      <w:bookmarkEnd w:id="25"/>
      <w:bookmarkEnd w:id="26"/>
      <w:bookmarkEnd w:id="27"/>
      <w:bookmarkEnd w:id="28"/>
      <w:bookmarkEnd w:id="29"/>
      <w:bookmarkEnd w:id="30"/>
      <w:bookmarkEnd w:id="31"/>
    </w:p>
    <w:p w14:paraId="53847215">
      <w:pPr>
        <w:pStyle w:val="17"/>
        <w:widowControl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1B196892">
      <w:pPr>
        <w:pStyle w:val="22"/>
        <w:widowControl w:val="0"/>
        <w:spacing w:line="360" w:lineRule="auto"/>
        <w:ind w:firstLine="560"/>
        <w:jc w:val="both"/>
        <w:rPr>
          <w:color w:val="auto"/>
        </w:rPr>
      </w:pPr>
      <w:bookmarkStart w:id="32" w:name="_Toc102634257"/>
      <w:r>
        <w:rPr>
          <w:rFonts w:hint="eastAsia"/>
          <w:color w:val="auto"/>
        </w:rPr>
        <w:t>一</w:t>
      </w:r>
      <w:r>
        <w:rPr>
          <w:color w:val="auto"/>
        </w:rPr>
        <w:t>、以危险有害因素的类别为主划分评价单元</w:t>
      </w:r>
      <w:bookmarkEnd w:id="32"/>
    </w:p>
    <w:p w14:paraId="38CD73D1">
      <w:pPr>
        <w:pStyle w:val="17"/>
        <w:widowControl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3CE0FD68">
      <w:pPr>
        <w:pStyle w:val="17"/>
        <w:widowControl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1E664883">
      <w:pPr>
        <w:pStyle w:val="22"/>
        <w:widowControl w:val="0"/>
        <w:spacing w:line="360" w:lineRule="auto"/>
        <w:ind w:firstLine="560"/>
        <w:jc w:val="both"/>
        <w:rPr>
          <w:color w:val="auto"/>
        </w:rPr>
      </w:pPr>
      <w:bookmarkStart w:id="33" w:name="_Toc102634258"/>
      <w:r>
        <w:rPr>
          <w:rFonts w:hint="eastAsia"/>
          <w:color w:val="auto"/>
        </w:rPr>
        <w:t>二</w:t>
      </w:r>
      <w:r>
        <w:rPr>
          <w:color w:val="auto"/>
        </w:rPr>
        <w:t>、以物质特征划分评价单元</w:t>
      </w:r>
      <w:bookmarkEnd w:id="33"/>
    </w:p>
    <w:p w14:paraId="54F8993D">
      <w:pPr>
        <w:pStyle w:val="17"/>
        <w:widowControl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601B9638">
      <w:pPr>
        <w:pStyle w:val="17"/>
        <w:widowControl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1D5ED31D">
      <w:pPr>
        <w:pStyle w:val="17"/>
        <w:widowControl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lang w:val="en-US" w:eastAsia="zh-CN"/>
        </w:rPr>
        <w:t>三</w:t>
      </w:r>
      <w:r>
        <w:rPr>
          <w:rFonts w:ascii="宋体"/>
          <w:color w:val="auto"/>
        </w:rPr>
        <w:t>个单元：</w:t>
      </w:r>
    </w:p>
    <w:p w14:paraId="59D5C12C">
      <w:pPr>
        <w:pStyle w:val="17"/>
        <w:widowControl w:val="0"/>
        <w:spacing w:line="360" w:lineRule="auto"/>
        <w:ind w:firstLine="560"/>
        <w:rPr>
          <w:rFonts w:ascii="宋体"/>
          <w:color w:val="auto"/>
        </w:rPr>
      </w:pPr>
      <w:r>
        <w:rPr>
          <w:rFonts w:ascii="宋体"/>
          <w:color w:val="auto"/>
        </w:rPr>
        <w:t>1、安全管理；</w:t>
      </w:r>
    </w:p>
    <w:p w14:paraId="78609351">
      <w:pPr>
        <w:pStyle w:val="17"/>
        <w:widowControl w:val="0"/>
        <w:spacing w:line="360" w:lineRule="auto"/>
        <w:ind w:firstLine="560"/>
        <w:rPr>
          <w:rFonts w:ascii="宋体"/>
          <w:color w:val="auto"/>
        </w:rPr>
      </w:pPr>
      <w:r>
        <w:rPr>
          <w:rFonts w:ascii="宋体"/>
          <w:color w:val="auto"/>
        </w:rPr>
        <w:t>2、</w:t>
      </w:r>
      <w:r>
        <w:rPr>
          <w:rFonts w:hint="eastAsia" w:ascii="宋体" w:hAnsi="宋体"/>
          <w:color w:val="auto"/>
        </w:rPr>
        <w:t>经营管理</w:t>
      </w:r>
      <w:r>
        <w:rPr>
          <w:rFonts w:ascii="宋体"/>
          <w:color w:val="auto"/>
        </w:rPr>
        <w:t>；</w:t>
      </w:r>
    </w:p>
    <w:p w14:paraId="2C007E91">
      <w:pPr>
        <w:pStyle w:val="17"/>
        <w:widowControl w:val="0"/>
        <w:spacing w:line="360" w:lineRule="auto"/>
        <w:ind w:firstLine="560"/>
        <w:rPr>
          <w:rFonts w:ascii="宋体"/>
          <w:color w:val="auto"/>
        </w:rPr>
      </w:pPr>
      <w:r>
        <w:rPr>
          <w:rFonts w:hint="eastAsia" w:ascii="宋体"/>
          <w:color w:val="auto"/>
        </w:rPr>
        <w:t>3</w:t>
      </w:r>
      <w:r>
        <w:rPr>
          <w:rFonts w:ascii="宋体"/>
          <w:color w:val="auto"/>
        </w:rPr>
        <w:t>、</w:t>
      </w:r>
      <w:r>
        <w:rPr>
          <w:rFonts w:hint="eastAsia" w:ascii="宋体" w:hAnsi="宋体"/>
          <w:color w:val="auto"/>
        </w:rPr>
        <w:t>消防安全及电气设施</w:t>
      </w:r>
      <w:r>
        <w:rPr>
          <w:rFonts w:ascii="宋体"/>
          <w:color w:val="auto"/>
        </w:rPr>
        <w:t>。</w:t>
      </w:r>
      <w:bookmarkStart w:id="34" w:name="_Toc238007575"/>
      <w:bookmarkStart w:id="35" w:name="_Toc192907202"/>
      <w:bookmarkStart w:id="36" w:name="_Toc15033755"/>
      <w:bookmarkStart w:id="37" w:name="_Toc19785"/>
      <w:bookmarkStart w:id="38" w:name="_Toc188080068"/>
      <w:bookmarkStart w:id="39" w:name="_Toc188079886"/>
      <w:bookmarkStart w:id="40" w:name="_Toc272364537"/>
      <w:bookmarkStart w:id="41" w:name="_Toc198026274"/>
      <w:bookmarkStart w:id="42" w:name="_Toc24232"/>
    </w:p>
    <w:p w14:paraId="44947033">
      <w:pPr>
        <w:snapToGrid w:val="0"/>
        <w:spacing w:before="120" w:after="120" w:line="560" w:lineRule="exact"/>
        <w:jc w:val="center"/>
        <w:outlineLvl w:val="1"/>
        <w:rPr>
          <w:rFonts w:ascii="Calibri" w:hAnsi="Calibri" w:eastAsia="楷体_GB2312"/>
          <w:b/>
          <w:color w:val="auto"/>
          <w:kern w:val="0"/>
          <w:sz w:val="32"/>
          <w:szCs w:val="20"/>
        </w:rPr>
      </w:pPr>
      <w:bookmarkStart w:id="43" w:name="_Toc102633908"/>
      <w:bookmarkStart w:id="44" w:name="_Toc102634259"/>
      <w:bookmarkStart w:id="45" w:name="_Toc5612"/>
      <w:bookmarkStart w:id="46" w:name="_Toc102633982"/>
    </w:p>
    <w:p w14:paraId="2A044922">
      <w:pPr>
        <w:snapToGrid w:val="0"/>
        <w:spacing w:before="120" w:after="120" w:line="560" w:lineRule="exact"/>
        <w:jc w:val="center"/>
        <w:outlineLvl w:val="1"/>
        <w:rPr>
          <w:rFonts w:ascii="Calibri" w:hAnsi="Calibri" w:eastAsia="楷体_GB2312"/>
          <w:b/>
          <w:color w:val="auto"/>
          <w:kern w:val="0"/>
          <w:sz w:val="32"/>
          <w:szCs w:val="20"/>
        </w:rPr>
      </w:pPr>
      <w:r>
        <w:rPr>
          <w:rFonts w:ascii="Calibri" w:hAnsi="Calibri" w:eastAsia="楷体_GB2312"/>
          <w:b/>
          <w:color w:val="auto"/>
          <w:kern w:val="0"/>
          <w:sz w:val="32"/>
          <w:szCs w:val="20"/>
        </w:rPr>
        <w:t>第二节 评价方法的选择</w:t>
      </w:r>
      <w:bookmarkEnd w:id="34"/>
      <w:bookmarkEnd w:id="35"/>
      <w:bookmarkEnd w:id="36"/>
      <w:bookmarkEnd w:id="37"/>
      <w:bookmarkEnd w:id="38"/>
      <w:bookmarkEnd w:id="39"/>
      <w:bookmarkEnd w:id="40"/>
      <w:bookmarkEnd w:id="41"/>
      <w:bookmarkEnd w:id="42"/>
      <w:bookmarkEnd w:id="43"/>
      <w:bookmarkEnd w:id="44"/>
      <w:bookmarkEnd w:id="45"/>
      <w:bookmarkEnd w:id="46"/>
    </w:p>
    <w:p w14:paraId="017669A2">
      <w:pPr>
        <w:pStyle w:val="17"/>
        <w:widowControl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36BF1BE2">
      <w:pPr>
        <w:pStyle w:val="17"/>
        <w:widowControl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5C9D7123">
      <w:pPr>
        <w:pStyle w:val="17"/>
        <w:widowControl w:val="0"/>
        <w:spacing w:line="360" w:lineRule="auto"/>
        <w:ind w:firstLine="560"/>
        <w:rPr>
          <w:rFonts w:ascii="宋体"/>
          <w:color w:val="auto"/>
        </w:rPr>
      </w:pPr>
      <w:r>
        <w:rPr>
          <w:rFonts w:ascii="宋体"/>
          <w:color w:val="auto"/>
        </w:rPr>
        <w:t>根据本次安全评价的特点，结合</w:t>
      </w:r>
      <w:r>
        <w:rPr>
          <w:rFonts w:hint="eastAsia" w:ascii="宋体"/>
          <w:color w:val="auto"/>
        </w:rPr>
        <w:t>京博新能源（肥城）有限公司</w:t>
      </w:r>
      <w:r>
        <w:rPr>
          <w:rFonts w:ascii="宋体"/>
          <w:color w:val="auto"/>
        </w:rPr>
        <w:t>的具体情况，选用安全检查表、事故树法及危险度评价法对</w:t>
      </w:r>
      <w:r>
        <w:rPr>
          <w:rFonts w:hint="eastAsia" w:ascii="宋体"/>
          <w:color w:val="auto"/>
        </w:rPr>
        <w:t>公司</w:t>
      </w:r>
      <w:r>
        <w:rPr>
          <w:rFonts w:ascii="宋体"/>
          <w:color w:val="auto"/>
        </w:rPr>
        <w:t>进行评价。具体应用如下表所示：</w:t>
      </w:r>
    </w:p>
    <w:p w14:paraId="1F0A2E53">
      <w:pPr>
        <w:pStyle w:val="19"/>
        <w:widowControl w:val="0"/>
        <w:outlineLvl w:val="9"/>
        <w:rPr>
          <w:rFonts w:ascii="黑体" w:hAnsi="黑体"/>
          <w:color w:val="auto"/>
        </w:rPr>
      </w:pPr>
      <w:r>
        <w:rPr>
          <w:rFonts w:ascii="黑体" w:hAnsi="黑体"/>
          <w:color w:val="auto"/>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7"/>
        <w:gridCol w:w="2606"/>
        <w:gridCol w:w="2057"/>
        <w:gridCol w:w="2200"/>
        <w:gridCol w:w="1830"/>
      </w:tblGrid>
      <w:tr w14:paraId="5CFB8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restart"/>
            <w:vAlign w:val="center"/>
          </w:tcPr>
          <w:p w14:paraId="649FDB20">
            <w:pPr>
              <w:pStyle w:val="20"/>
              <w:widowControl w:val="0"/>
              <w:spacing w:line="360" w:lineRule="auto"/>
              <w:rPr>
                <w:rFonts w:ascii="宋体"/>
                <w:b/>
                <w:color w:val="auto"/>
                <w:lang w:val="en-GB"/>
              </w:rPr>
            </w:pPr>
            <w:r>
              <w:rPr>
                <w:rFonts w:ascii="宋体"/>
                <w:b/>
                <w:color w:val="auto"/>
                <w:lang w:val="en-GB"/>
              </w:rPr>
              <w:t>序号</w:t>
            </w:r>
          </w:p>
        </w:tc>
        <w:tc>
          <w:tcPr>
            <w:tcW w:w="1386" w:type="pct"/>
            <w:vMerge w:val="restart"/>
            <w:vAlign w:val="center"/>
          </w:tcPr>
          <w:p w14:paraId="63A64492">
            <w:pPr>
              <w:pStyle w:val="20"/>
              <w:widowControl w:val="0"/>
              <w:spacing w:line="360" w:lineRule="auto"/>
              <w:rPr>
                <w:rFonts w:ascii="宋体"/>
                <w:b/>
                <w:color w:val="auto"/>
              </w:rPr>
            </w:pPr>
            <w:r>
              <w:rPr>
                <w:rFonts w:ascii="宋体"/>
                <w:b/>
                <w:bCs/>
                <w:color w:val="auto"/>
                <w:lang w:val="en-GB"/>
              </w:rPr>
              <w:t>评价单元</w:t>
            </w:r>
          </w:p>
        </w:tc>
        <w:tc>
          <w:tcPr>
            <w:tcW w:w="3237" w:type="pct"/>
            <w:gridSpan w:val="3"/>
            <w:vAlign w:val="center"/>
          </w:tcPr>
          <w:p w14:paraId="7CA18F18">
            <w:pPr>
              <w:pStyle w:val="20"/>
              <w:widowControl w:val="0"/>
              <w:spacing w:line="360" w:lineRule="auto"/>
              <w:rPr>
                <w:rFonts w:ascii="宋体"/>
                <w:b/>
                <w:color w:val="auto"/>
              </w:rPr>
            </w:pPr>
            <w:r>
              <w:rPr>
                <w:rFonts w:ascii="宋体"/>
                <w:b/>
                <w:color w:val="auto"/>
                <w:lang w:val="en-GB"/>
              </w:rPr>
              <w:t>评价方法</w:t>
            </w:r>
          </w:p>
        </w:tc>
      </w:tr>
      <w:tr w14:paraId="723A2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vAlign w:val="center"/>
          </w:tcPr>
          <w:p w14:paraId="38959585">
            <w:pPr>
              <w:pStyle w:val="20"/>
              <w:widowControl w:val="0"/>
              <w:spacing w:line="360" w:lineRule="auto"/>
              <w:rPr>
                <w:rFonts w:ascii="宋体"/>
                <w:b/>
                <w:color w:val="auto"/>
                <w:lang w:val="en-GB"/>
              </w:rPr>
            </w:pPr>
          </w:p>
        </w:tc>
        <w:tc>
          <w:tcPr>
            <w:tcW w:w="1386" w:type="pct"/>
            <w:vMerge w:val="continue"/>
            <w:vAlign w:val="center"/>
          </w:tcPr>
          <w:p w14:paraId="5D95E52F">
            <w:pPr>
              <w:pStyle w:val="20"/>
              <w:widowControl w:val="0"/>
              <w:spacing w:line="360" w:lineRule="auto"/>
              <w:rPr>
                <w:rFonts w:ascii="宋体"/>
                <w:b/>
                <w:color w:val="auto"/>
              </w:rPr>
            </w:pPr>
          </w:p>
        </w:tc>
        <w:tc>
          <w:tcPr>
            <w:tcW w:w="1094" w:type="pct"/>
            <w:vAlign w:val="center"/>
          </w:tcPr>
          <w:p w14:paraId="5A861C0E">
            <w:pPr>
              <w:pStyle w:val="20"/>
              <w:widowControl w:val="0"/>
              <w:spacing w:line="360" w:lineRule="auto"/>
              <w:rPr>
                <w:rFonts w:ascii="宋体"/>
                <w:b/>
                <w:color w:val="auto"/>
                <w:lang w:val="en-GB"/>
              </w:rPr>
            </w:pPr>
            <w:r>
              <w:rPr>
                <w:rFonts w:ascii="宋体"/>
                <w:b/>
                <w:color w:val="auto"/>
                <w:lang w:val="en-GB"/>
              </w:rPr>
              <w:t>安全检查表</w:t>
            </w:r>
          </w:p>
        </w:tc>
        <w:tc>
          <w:tcPr>
            <w:tcW w:w="1170" w:type="pct"/>
            <w:vAlign w:val="center"/>
          </w:tcPr>
          <w:p w14:paraId="65EF3913">
            <w:pPr>
              <w:pStyle w:val="20"/>
              <w:widowControl w:val="0"/>
              <w:spacing w:line="360" w:lineRule="auto"/>
              <w:rPr>
                <w:rFonts w:ascii="宋体"/>
                <w:b/>
                <w:color w:val="auto"/>
                <w:lang w:val="en-GB"/>
              </w:rPr>
            </w:pPr>
            <w:r>
              <w:rPr>
                <w:rFonts w:ascii="宋体"/>
                <w:b/>
                <w:color w:val="auto"/>
                <w:lang w:val="en-GB"/>
              </w:rPr>
              <w:t>危险度评价法</w:t>
            </w:r>
          </w:p>
        </w:tc>
        <w:tc>
          <w:tcPr>
            <w:tcW w:w="973" w:type="pct"/>
            <w:vAlign w:val="center"/>
          </w:tcPr>
          <w:p w14:paraId="256D6EA3">
            <w:pPr>
              <w:pStyle w:val="20"/>
              <w:widowControl w:val="0"/>
              <w:spacing w:line="360" w:lineRule="auto"/>
              <w:rPr>
                <w:rFonts w:ascii="宋体"/>
                <w:b/>
                <w:color w:val="auto"/>
                <w:lang w:val="en-GB"/>
              </w:rPr>
            </w:pPr>
            <w:r>
              <w:rPr>
                <w:rFonts w:ascii="宋体"/>
                <w:b/>
                <w:color w:val="auto"/>
                <w:lang w:val="en-GB"/>
              </w:rPr>
              <w:t>事故树法</w:t>
            </w:r>
          </w:p>
        </w:tc>
      </w:tr>
      <w:tr w14:paraId="7C304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3C6254FF">
            <w:pPr>
              <w:pStyle w:val="20"/>
              <w:widowControl w:val="0"/>
              <w:spacing w:line="360" w:lineRule="auto"/>
              <w:rPr>
                <w:rFonts w:ascii="宋体"/>
                <w:color w:val="auto"/>
                <w:lang w:val="en-GB"/>
              </w:rPr>
            </w:pPr>
            <w:r>
              <w:rPr>
                <w:rFonts w:ascii="宋体"/>
                <w:color w:val="auto"/>
                <w:lang w:val="en-GB"/>
              </w:rPr>
              <w:t>1</w:t>
            </w:r>
          </w:p>
        </w:tc>
        <w:tc>
          <w:tcPr>
            <w:tcW w:w="1386" w:type="pct"/>
            <w:vAlign w:val="center"/>
          </w:tcPr>
          <w:p w14:paraId="2363850B">
            <w:pPr>
              <w:pStyle w:val="20"/>
              <w:widowControl w:val="0"/>
              <w:spacing w:line="360" w:lineRule="auto"/>
              <w:rPr>
                <w:rFonts w:ascii="宋体" w:hAnsi="宋体"/>
                <w:color w:val="auto"/>
              </w:rPr>
            </w:pPr>
            <w:r>
              <w:rPr>
                <w:rFonts w:ascii="宋体" w:hAnsi="宋体"/>
                <w:color w:val="auto"/>
              </w:rPr>
              <w:t>安全管理</w:t>
            </w:r>
            <w:r>
              <w:rPr>
                <w:rFonts w:hint="eastAsia" w:ascii="宋体" w:hAnsi="宋体"/>
                <w:color w:val="auto"/>
              </w:rPr>
              <w:t>单元</w:t>
            </w:r>
          </w:p>
        </w:tc>
        <w:tc>
          <w:tcPr>
            <w:tcW w:w="1094" w:type="pct"/>
            <w:vAlign w:val="center"/>
          </w:tcPr>
          <w:p w14:paraId="3BF3B8A2">
            <w:pPr>
              <w:pStyle w:val="20"/>
              <w:widowControl w:val="0"/>
              <w:spacing w:line="360" w:lineRule="auto"/>
              <w:rPr>
                <w:rFonts w:ascii="宋体"/>
                <w:color w:val="auto"/>
              </w:rPr>
            </w:pPr>
            <w:r>
              <w:rPr>
                <w:rFonts w:hint="eastAsia" w:ascii="宋体" w:hAnsi="宋体" w:cs="宋体"/>
                <w:color w:val="auto"/>
              </w:rPr>
              <w:t>★</w:t>
            </w:r>
          </w:p>
        </w:tc>
        <w:tc>
          <w:tcPr>
            <w:tcW w:w="1170" w:type="pct"/>
            <w:vAlign w:val="center"/>
          </w:tcPr>
          <w:p w14:paraId="0FFEFD31">
            <w:pPr>
              <w:pStyle w:val="20"/>
              <w:widowControl w:val="0"/>
              <w:spacing w:line="360" w:lineRule="auto"/>
              <w:rPr>
                <w:rFonts w:ascii="宋体"/>
                <w:color w:val="auto"/>
              </w:rPr>
            </w:pPr>
          </w:p>
        </w:tc>
        <w:tc>
          <w:tcPr>
            <w:tcW w:w="973" w:type="pct"/>
            <w:vAlign w:val="center"/>
          </w:tcPr>
          <w:p w14:paraId="4443E837">
            <w:pPr>
              <w:pStyle w:val="20"/>
              <w:widowControl w:val="0"/>
              <w:spacing w:line="360" w:lineRule="auto"/>
              <w:rPr>
                <w:rFonts w:ascii="宋体"/>
                <w:color w:val="auto"/>
              </w:rPr>
            </w:pPr>
          </w:p>
        </w:tc>
      </w:tr>
      <w:tr w14:paraId="39895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64382B39">
            <w:pPr>
              <w:pStyle w:val="20"/>
              <w:widowControl w:val="0"/>
              <w:spacing w:line="360" w:lineRule="auto"/>
              <w:rPr>
                <w:rFonts w:ascii="宋体"/>
                <w:color w:val="auto"/>
                <w:lang w:val="en-GB"/>
              </w:rPr>
            </w:pPr>
            <w:r>
              <w:rPr>
                <w:rFonts w:ascii="宋体"/>
                <w:color w:val="auto"/>
                <w:lang w:val="en-GB"/>
              </w:rPr>
              <w:t>2</w:t>
            </w:r>
          </w:p>
        </w:tc>
        <w:tc>
          <w:tcPr>
            <w:tcW w:w="1386" w:type="pct"/>
            <w:vAlign w:val="center"/>
          </w:tcPr>
          <w:p w14:paraId="59DF0857">
            <w:pPr>
              <w:pStyle w:val="20"/>
              <w:widowControl w:val="0"/>
              <w:spacing w:line="360" w:lineRule="auto"/>
              <w:rPr>
                <w:rFonts w:ascii="宋体" w:hAnsi="宋体"/>
                <w:color w:val="auto"/>
                <w:lang w:val="en-GB"/>
              </w:rPr>
            </w:pPr>
            <w:r>
              <w:rPr>
                <w:rFonts w:hint="eastAsia" w:ascii="宋体" w:hAnsi="宋体"/>
                <w:color w:val="auto"/>
              </w:rPr>
              <w:t>经营管理单元</w:t>
            </w:r>
          </w:p>
        </w:tc>
        <w:tc>
          <w:tcPr>
            <w:tcW w:w="1094" w:type="pct"/>
            <w:vAlign w:val="center"/>
          </w:tcPr>
          <w:p w14:paraId="5C4FDB41">
            <w:pPr>
              <w:pStyle w:val="20"/>
              <w:widowControl w:val="0"/>
              <w:spacing w:line="360" w:lineRule="auto"/>
              <w:rPr>
                <w:rFonts w:ascii="宋体"/>
                <w:color w:val="auto"/>
              </w:rPr>
            </w:pPr>
            <w:r>
              <w:rPr>
                <w:rFonts w:hint="eastAsia" w:ascii="宋体" w:hAnsi="宋体" w:cs="宋体"/>
                <w:color w:val="auto"/>
              </w:rPr>
              <w:t>★</w:t>
            </w:r>
          </w:p>
        </w:tc>
        <w:tc>
          <w:tcPr>
            <w:tcW w:w="1170" w:type="pct"/>
            <w:vAlign w:val="center"/>
          </w:tcPr>
          <w:p w14:paraId="7E9B2ACB">
            <w:pPr>
              <w:pStyle w:val="20"/>
              <w:widowControl w:val="0"/>
              <w:spacing w:line="360" w:lineRule="auto"/>
              <w:rPr>
                <w:rFonts w:ascii="宋体"/>
                <w:color w:val="auto"/>
              </w:rPr>
            </w:pPr>
          </w:p>
        </w:tc>
        <w:tc>
          <w:tcPr>
            <w:tcW w:w="973" w:type="pct"/>
            <w:vAlign w:val="center"/>
          </w:tcPr>
          <w:p w14:paraId="21C5BA50">
            <w:pPr>
              <w:pStyle w:val="20"/>
              <w:widowControl w:val="0"/>
              <w:spacing w:line="360" w:lineRule="auto"/>
              <w:rPr>
                <w:rFonts w:ascii="宋体"/>
                <w:color w:val="auto"/>
              </w:rPr>
            </w:pPr>
          </w:p>
        </w:tc>
      </w:tr>
      <w:tr w14:paraId="4448B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12351B42">
            <w:pPr>
              <w:pStyle w:val="20"/>
              <w:widowControl w:val="0"/>
              <w:spacing w:line="360" w:lineRule="auto"/>
              <w:rPr>
                <w:rFonts w:hint="eastAsia" w:ascii="宋体" w:eastAsia="宋体"/>
                <w:color w:val="auto"/>
                <w:lang w:val="en-GB" w:eastAsia="zh-CN"/>
              </w:rPr>
            </w:pPr>
            <w:r>
              <w:rPr>
                <w:rFonts w:hint="eastAsia" w:ascii="宋体"/>
                <w:color w:val="auto"/>
                <w:lang w:val="en-US" w:eastAsia="zh-CN"/>
              </w:rPr>
              <w:t>3</w:t>
            </w:r>
          </w:p>
        </w:tc>
        <w:tc>
          <w:tcPr>
            <w:tcW w:w="1386" w:type="pct"/>
            <w:vAlign w:val="center"/>
          </w:tcPr>
          <w:p w14:paraId="1A635FC9">
            <w:pPr>
              <w:pStyle w:val="20"/>
              <w:widowControl w:val="0"/>
              <w:spacing w:line="360" w:lineRule="auto"/>
              <w:rPr>
                <w:rFonts w:ascii="宋体" w:hAnsi="宋体"/>
                <w:color w:val="auto"/>
                <w:lang w:val="en-GB"/>
              </w:rPr>
            </w:pPr>
            <w:r>
              <w:rPr>
                <w:rFonts w:hint="eastAsia" w:ascii="宋体" w:hAnsi="宋体"/>
                <w:color w:val="auto"/>
              </w:rPr>
              <w:t>消防安全及电气设施单元</w:t>
            </w:r>
          </w:p>
        </w:tc>
        <w:tc>
          <w:tcPr>
            <w:tcW w:w="1094" w:type="pct"/>
            <w:vAlign w:val="center"/>
          </w:tcPr>
          <w:p w14:paraId="715E6D52">
            <w:pPr>
              <w:pStyle w:val="20"/>
              <w:widowControl w:val="0"/>
              <w:spacing w:line="360" w:lineRule="auto"/>
              <w:rPr>
                <w:rFonts w:ascii="宋体"/>
                <w:color w:val="auto"/>
              </w:rPr>
            </w:pPr>
            <w:r>
              <w:rPr>
                <w:rFonts w:hint="eastAsia" w:ascii="宋体" w:hAnsi="宋体" w:cs="宋体"/>
                <w:color w:val="auto"/>
              </w:rPr>
              <w:t>★</w:t>
            </w:r>
          </w:p>
        </w:tc>
        <w:tc>
          <w:tcPr>
            <w:tcW w:w="1170" w:type="pct"/>
            <w:vAlign w:val="center"/>
          </w:tcPr>
          <w:p w14:paraId="4E94D1AF">
            <w:pPr>
              <w:pStyle w:val="20"/>
              <w:widowControl w:val="0"/>
              <w:spacing w:line="360" w:lineRule="auto"/>
              <w:rPr>
                <w:rFonts w:ascii="宋体"/>
                <w:color w:val="auto"/>
              </w:rPr>
            </w:pPr>
          </w:p>
        </w:tc>
        <w:tc>
          <w:tcPr>
            <w:tcW w:w="973" w:type="pct"/>
            <w:vAlign w:val="center"/>
          </w:tcPr>
          <w:p w14:paraId="3E3CF9D2">
            <w:pPr>
              <w:pStyle w:val="20"/>
              <w:widowControl w:val="0"/>
              <w:spacing w:line="360" w:lineRule="auto"/>
              <w:rPr>
                <w:rFonts w:ascii="宋体"/>
                <w:color w:val="auto"/>
              </w:rPr>
            </w:pPr>
          </w:p>
        </w:tc>
      </w:tr>
    </w:tbl>
    <w:p w14:paraId="35E9BBB9">
      <w:pPr>
        <w:pStyle w:val="17"/>
        <w:widowControl w:val="0"/>
        <w:spacing w:line="360" w:lineRule="auto"/>
        <w:ind w:firstLine="420"/>
        <w:rPr>
          <w:rFonts w:ascii="黑体" w:hAnsi="黑体" w:eastAsia="黑体"/>
          <w:color w:val="auto"/>
        </w:rPr>
      </w:pPr>
      <w:r>
        <w:rPr>
          <w:rFonts w:ascii="黑体" w:hAnsi="黑体" w:eastAsia="黑体"/>
          <w:color w:val="auto"/>
          <w:sz w:val="21"/>
          <w:szCs w:val="21"/>
          <w:u w:color="000000"/>
        </w:rPr>
        <w:t>注：表中“★”表示采用的评价方法。</w:t>
      </w:r>
    </w:p>
    <w:bookmarkEnd w:id="15"/>
    <w:bookmarkEnd w:id="16"/>
    <w:bookmarkEnd w:id="17"/>
    <w:bookmarkEnd w:id="18"/>
    <w:bookmarkEnd w:id="19"/>
    <w:bookmarkEnd w:id="20"/>
    <w:p w14:paraId="0061F629">
      <w:pPr>
        <w:pStyle w:val="3"/>
        <w:rPr>
          <w:rFonts w:hint="eastAsia" w:ascii="宋体"/>
          <w:color w:val="auto"/>
          <w:kern w:val="0"/>
          <w:sz w:val="28"/>
          <w:szCs w:val="20"/>
          <w:highlight w:val="none"/>
        </w:rPr>
      </w:pPr>
    </w:p>
    <w:p w14:paraId="0B5D93A8">
      <w:pPr>
        <w:pStyle w:val="3"/>
        <w:rPr>
          <w:rFonts w:hint="eastAsia" w:ascii="宋体" w:eastAsiaTheme="minorEastAsia"/>
          <w:color w:val="auto"/>
          <w:kern w:val="0"/>
          <w:sz w:val="28"/>
          <w:szCs w:val="20"/>
          <w:highlight w:val="none"/>
          <w:lang w:eastAsia="zh-CN"/>
        </w:rPr>
        <w:sectPr>
          <w:pgSz w:w="11906" w:h="16838"/>
          <w:pgMar w:top="1418" w:right="1134" w:bottom="993" w:left="1588" w:header="850" w:footer="256" w:gutter="0"/>
          <w:cols w:space="720" w:num="1"/>
          <w:docGrid w:type="lines" w:linePitch="312" w:charSpace="0"/>
        </w:sectPr>
      </w:pPr>
    </w:p>
    <w:p w14:paraId="089B69FE">
      <w:pPr>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5823585" cy="4185920"/>
            <wp:effectExtent l="0" t="0" r="13335" b="5080"/>
            <wp:docPr id="1" name="图片 1" descr="2d5a1a0bd40ae6345fa70c8f684e1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d5a1a0bd40ae6345fa70c8f684e18ec"/>
                    <pic:cNvPicPr>
                      <a:picLocks noChangeAspect="1"/>
                    </pic:cNvPicPr>
                  </pic:nvPicPr>
                  <pic:blipFill>
                    <a:blip r:embed="rId4"/>
                    <a:stretch>
                      <a:fillRect/>
                    </a:stretch>
                  </pic:blipFill>
                  <pic:spPr>
                    <a:xfrm>
                      <a:off x="0" y="0"/>
                      <a:ext cx="5823585" cy="418592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5758815" cy="4317365"/>
            <wp:effectExtent l="0" t="0" r="1905" b="10795"/>
            <wp:docPr id="2" name="图片 2" descr="28bdaee5d2de865745a24668ca628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8bdaee5d2de865745a24668ca628407"/>
                    <pic:cNvPicPr>
                      <a:picLocks noChangeAspect="1"/>
                    </pic:cNvPicPr>
                  </pic:nvPicPr>
                  <pic:blipFill>
                    <a:blip r:embed="rId5"/>
                    <a:stretch>
                      <a:fillRect/>
                    </a:stretch>
                  </pic:blipFill>
                  <pic:spPr>
                    <a:xfrm>
                      <a:off x="0" y="0"/>
                      <a:ext cx="5758815" cy="431736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5545" cy="8880475"/>
            <wp:effectExtent l="0" t="0" r="3175" b="4445"/>
            <wp:docPr id="3" name="图片 3" descr="0f8abc4821a4e6094cfebf13dcd57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f8abc4821a4e6094cfebf13dcd57bac"/>
                    <pic:cNvPicPr>
                      <a:picLocks noChangeAspect="1"/>
                    </pic:cNvPicPr>
                  </pic:nvPicPr>
                  <pic:blipFill>
                    <a:blip r:embed="rId6"/>
                    <a:stretch>
                      <a:fillRect/>
                    </a:stretch>
                  </pic:blipFill>
                  <pic:spPr>
                    <a:xfrm>
                      <a:off x="0" y="0"/>
                      <a:ext cx="4995545" cy="888047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5545" cy="8880475"/>
            <wp:effectExtent l="0" t="0" r="3175" b="4445"/>
            <wp:docPr id="4" name="图片 4" descr="64e0082b7b9905ed3bd40b2be305ad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4e0082b7b9905ed3bd40b2be305ad38"/>
                    <pic:cNvPicPr>
                      <a:picLocks noChangeAspect="1"/>
                    </pic:cNvPicPr>
                  </pic:nvPicPr>
                  <pic:blipFill>
                    <a:blip r:embed="rId7"/>
                    <a:stretch>
                      <a:fillRect/>
                    </a:stretch>
                  </pic:blipFill>
                  <pic:spPr>
                    <a:xfrm>
                      <a:off x="0" y="0"/>
                      <a:ext cx="4995545" cy="888047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5545" cy="8880475"/>
            <wp:effectExtent l="0" t="0" r="3175" b="4445"/>
            <wp:docPr id="5" name="图片 5" descr="b30160a4ab4445c2791cd82cc6b4d6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30160a4ab4445c2791cd82cc6b4d66f"/>
                    <pic:cNvPicPr>
                      <a:picLocks noChangeAspect="1"/>
                    </pic:cNvPicPr>
                  </pic:nvPicPr>
                  <pic:blipFill>
                    <a:blip r:embed="rId8"/>
                    <a:stretch>
                      <a:fillRect/>
                    </a:stretch>
                  </pic:blipFill>
                  <pic:spPr>
                    <a:xfrm>
                      <a:off x="0" y="0"/>
                      <a:ext cx="4995545" cy="888047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8626475" cy="4852035"/>
            <wp:effectExtent l="0" t="0" r="9525" b="14605"/>
            <wp:docPr id="6" name="图片 6" descr="ed40bba6c57400530f17673e0cfc0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d40bba6c57400530f17673e0cfc0d36"/>
                    <pic:cNvPicPr>
                      <a:picLocks noChangeAspect="1"/>
                    </pic:cNvPicPr>
                  </pic:nvPicPr>
                  <pic:blipFill>
                    <a:blip r:embed="rId9"/>
                    <a:stretch>
                      <a:fillRect/>
                    </a:stretch>
                  </pic:blipFill>
                  <pic:spPr>
                    <a:xfrm rot="5400000">
                      <a:off x="0" y="0"/>
                      <a:ext cx="8626475" cy="485203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5545" cy="8880475"/>
            <wp:effectExtent l="0" t="0" r="3175" b="4445"/>
            <wp:docPr id="7" name="图片 7" descr="3ab0d474855e639f598f918cdd448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ab0d474855e639f598f918cdd448638"/>
                    <pic:cNvPicPr>
                      <a:picLocks noChangeAspect="1"/>
                    </pic:cNvPicPr>
                  </pic:nvPicPr>
                  <pic:blipFill>
                    <a:blip r:embed="rId10"/>
                    <a:stretch>
                      <a:fillRect/>
                    </a:stretch>
                  </pic:blipFill>
                  <pic:spPr>
                    <a:xfrm>
                      <a:off x="0" y="0"/>
                      <a:ext cx="4995545" cy="8880475"/>
                    </a:xfrm>
                    <a:prstGeom prst="rect">
                      <a:avLst/>
                    </a:prstGeom>
                  </pic:spPr>
                </pic:pic>
              </a:graphicData>
            </a:graphic>
          </wp:inline>
        </w:drawing>
      </w:r>
      <w:bookmarkStart w:id="47" w:name="_GoBack"/>
      <w:bookmarkEnd w:id="47"/>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89D7F6D"/>
    <w:rsid w:val="09D5345C"/>
    <w:rsid w:val="0A1C5EDC"/>
    <w:rsid w:val="0A27015B"/>
    <w:rsid w:val="0A5D5908"/>
    <w:rsid w:val="0BD51C61"/>
    <w:rsid w:val="0EDC1223"/>
    <w:rsid w:val="1113216F"/>
    <w:rsid w:val="12386C7D"/>
    <w:rsid w:val="13D12EE6"/>
    <w:rsid w:val="141A7924"/>
    <w:rsid w:val="153C4810"/>
    <w:rsid w:val="160D5A33"/>
    <w:rsid w:val="16BC1C2B"/>
    <w:rsid w:val="1C4A2E55"/>
    <w:rsid w:val="1DE92E23"/>
    <w:rsid w:val="1E1E483E"/>
    <w:rsid w:val="1F250DF2"/>
    <w:rsid w:val="1F5B398D"/>
    <w:rsid w:val="1FF73CD4"/>
    <w:rsid w:val="22CB7136"/>
    <w:rsid w:val="284F788D"/>
    <w:rsid w:val="2A9D36CA"/>
    <w:rsid w:val="2CBC252D"/>
    <w:rsid w:val="2E5E68CC"/>
    <w:rsid w:val="2EC41433"/>
    <w:rsid w:val="2F917EEC"/>
    <w:rsid w:val="31297B3A"/>
    <w:rsid w:val="355F439E"/>
    <w:rsid w:val="35CC29B8"/>
    <w:rsid w:val="361E3E5D"/>
    <w:rsid w:val="37A6654A"/>
    <w:rsid w:val="386A7D3B"/>
    <w:rsid w:val="388E23D2"/>
    <w:rsid w:val="38B36882"/>
    <w:rsid w:val="3BB85D78"/>
    <w:rsid w:val="3C176B62"/>
    <w:rsid w:val="412E097D"/>
    <w:rsid w:val="420C1409"/>
    <w:rsid w:val="43CB4C37"/>
    <w:rsid w:val="4706325F"/>
    <w:rsid w:val="47290367"/>
    <w:rsid w:val="48FE4AE5"/>
    <w:rsid w:val="490E34D9"/>
    <w:rsid w:val="4ECC7680"/>
    <w:rsid w:val="4F5D6EDB"/>
    <w:rsid w:val="537F016A"/>
    <w:rsid w:val="563D798B"/>
    <w:rsid w:val="567C6788"/>
    <w:rsid w:val="579A241E"/>
    <w:rsid w:val="57BD6D10"/>
    <w:rsid w:val="58840D76"/>
    <w:rsid w:val="5A2C2CC4"/>
    <w:rsid w:val="5C8B1D2D"/>
    <w:rsid w:val="5D511379"/>
    <w:rsid w:val="60FB542C"/>
    <w:rsid w:val="61B336CF"/>
    <w:rsid w:val="636808F8"/>
    <w:rsid w:val="64FD4259"/>
    <w:rsid w:val="69194288"/>
    <w:rsid w:val="6A640607"/>
    <w:rsid w:val="6AD40467"/>
    <w:rsid w:val="6B3179BA"/>
    <w:rsid w:val="6BF95CAB"/>
    <w:rsid w:val="6C4D48B3"/>
    <w:rsid w:val="6D0669CA"/>
    <w:rsid w:val="6FDF53A7"/>
    <w:rsid w:val="717A11AE"/>
    <w:rsid w:val="71FA5E13"/>
    <w:rsid w:val="72FD2CFB"/>
    <w:rsid w:val="74AE7C8C"/>
    <w:rsid w:val="76511CAD"/>
    <w:rsid w:val="769C7074"/>
    <w:rsid w:val="7772596D"/>
    <w:rsid w:val="788E5851"/>
    <w:rsid w:val="7AB02F22"/>
    <w:rsid w:val="7B7179AA"/>
    <w:rsid w:val="7C9C2DAE"/>
    <w:rsid w:val="7DCC38D1"/>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5"/>
    <w:next w:val="1"/>
    <w:qFormat/>
    <w:uiPriority w:val="0"/>
    <w:pPr>
      <w:ind w:firstLine="420" w:firstLineChars="100"/>
    </w:pPr>
    <w:rPr>
      <w:b/>
      <w:u w:val="single"/>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2225</Words>
  <Characters>2365</Characters>
  <Lines>0</Lines>
  <Paragraphs>0</Paragraphs>
  <TotalTime>3</TotalTime>
  <ScaleCrop>false</ScaleCrop>
  <LinksUpToDate>false</LinksUpToDate>
  <CharactersWithSpaces>2375</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cp:lastModifiedBy>
  <dcterms:modified xsi:type="dcterms:W3CDTF">2026-03-27T07:22:13Z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158E41C4130D45F7BB2A42425FB8946B_11</vt:lpwstr>
  </property>
  <property fmtid="{D5CDD505-2E9C-101B-9397-08002B2CF9AE}" pid="4" name="KSOTemplateDocerSaveRecord">
    <vt:lpwstr>eyJoZGlkIjoiMDljOTcxNjNhZDBjMjhkNDI1NDUxNmZjNjcwNDIwYjMiLCJ1c2VySWQiOiI0NDUyNjk3NzEifQ==</vt:lpwstr>
  </property>
</Properties>
</file>