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10"/>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54"/>
        <w:gridCol w:w="2214"/>
        <w:gridCol w:w="2378"/>
        <w:gridCol w:w="2953"/>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京博新能源(肥城)有限公司第八十一加油站经营危险化学品现状评价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33FE7BEE">
            <w:pPr>
              <w:pStyle w:val="25"/>
              <w:adjustRightInd w:val="0"/>
              <w:snapToGrid w:val="0"/>
            </w:pPr>
            <w:r>
              <w:rPr>
                <w:rFonts w:hint="eastAsia"/>
                <w:color w:val="auto"/>
                <w:lang w:val="en-US" w:eastAsia="zh-CN"/>
              </w:rPr>
              <w:t>该加油站现有埋地双层储油罐</w:t>
            </w:r>
            <w:r>
              <w:rPr>
                <w:rFonts w:hint="eastAsia"/>
                <w:color w:val="auto"/>
                <w:highlight w:val="none"/>
                <w:lang w:val="en-US" w:eastAsia="zh-CN"/>
              </w:rPr>
              <w:t>4</w:t>
            </w:r>
            <w:r>
              <w:rPr>
                <w:rFonts w:hint="eastAsia"/>
                <w:color w:val="auto"/>
                <w:highlight w:val="none"/>
              </w:rPr>
              <w:t>台：</w:t>
            </w:r>
            <w:r>
              <w:t>1</w:t>
            </w:r>
            <w:r>
              <w:rPr>
                <w:rFonts w:hint="eastAsia"/>
              </w:rPr>
              <w:t>台20m</w:t>
            </w:r>
            <w:r>
              <w:rPr>
                <w:rFonts w:hint="eastAsia"/>
                <w:vertAlign w:val="superscript"/>
              </w:rPr>
              <w:t>3</w:t>
            </w:r>
            <w:r>
              <w:rPr>
                <w:rFonts w:hint="eastAsia"/>
              </w:rPr>
              <w:t>95汽油罐、1台30m</w:t>
            </w:r>
            <w:r>
              <w:rPr>
                <w:rFonts w:hint="eastAsia"/>
                <w:vertAlign w:val="superscript"/>
              </w:rPr>
              <w:t>3</w:t>
            </w:r>
            <w:r>
              <w:rPr>
                <w:rFonts w:hint="eastAsia"/>
              </w:rPr>
              <w:t>92#汽油罐、</w:t>
            </w:r>
          </w:p>
          <w:p w14:paraId="2072520D">
            <w:pPr>
              <w:pStyle w:val="25"/>
              <w:adjustRightInd w:val="0"/>
              <w:snapToGrid w:val="0"/>
              <w:jc w:val="left"/>
              <w:rPr>
                <w:rFonts w:hint="eastAsia" w:ascii="宋体" w:hAnsi="宋体" w:eastAsia="宋体" w:cs="宋体"/>
                <w:b w:val="0"/>
                <w:bCs w:val="0"/>
                <w:color w:val="auto"/>
                <w:kern w:val="0"/>
                <w:sz w:val="21"/>
                <w:szCs w:val="21"/>
                <w:highlight w:val="none"/>
                <w:lang w:eastAsia="zh-CN"/>
              </w:rPr>
            </w:pPr>
            <w:r>
              <w:rPr>
                <w:rFonts w:hint="eastAsia"/>
              </w:rPr>
              <w:t xml:space="preserve">  1台20m</w:t>
            </w:r>
            <w:r>
              <w:rPr>
                <w:rFonts w:hint="eastAsia"/>
                <w:vertAlign w:val="superscript"/>
              </w:rPr>
              <w:t>3</w:t>
            </w:r>
            <w:r>
              <w:rPr>
                <w:rFonts w:hint="eastAsia"/>
              </w:rPr>
              <w:t>92#汽油罐、1台30m</w:t>
            </w:r>
            <w:r>
              <w:rPr>
                <w:rFonts w:hint="eastAsia"/>
                <w:vertAlign w:val="superscript"/>
              </w:rPr>
              <w:t>3</w:t>
            </w:r>
            <w:r>
              <w:rPr>
                <w:rFonts w:hint="eastAsia"/>
              </w:rPr>
              <w:t>柴油罐</w:t>
            </w:r>
            <w:r>
              <w:rPr>
                <w:rFonts w:hint="eastAsia"/>
                <w:color w:val="auto"/>
                <w:highlight w:val="none"/>
              </w:rPr>
              <w:t>，1台油气回收处理装置</w:t>
            </w:r>
            <w:r>
              <w:rPr>
                <w:rFonts w:hint="eastAsia"/>
                <w:color w:val="auto"/>
                <w:lang w:eastAsia="zh-CN"/>
              </w:rPr>
              <w:t>。</w:t>
            </w:r>
            <w:r>
              <w:rPr>
                <w:rFonts w:hint="eastAsia"/>
                <w:color w:val="auto"/>
                <w:lang w:val="en-US" w:eastAsia="zh-CN"/>
              </w:rPr>
              <w:t>加油站</w:t>
            </w:r>
            <w:r>
              <w:rPr>
                <w:color w:val="auto"/>
                <w:highlight w:val="none"/>
              </w:rPr>
              <w:t>设置罩棚一处，</w:t>
            </w:r>
            <w:r>
              <w:rPr>
                <w:rFonts w:hint="eastAsia"/>
                <w:color w:val="auto"/>
                <w:highlight w:val="none"/>
              </w:rPr>
              <w:t>罩棚下</w:t>
            </w:r>
            <w:r>
              <w:rPr>
                <w:rFonts w:hint="eastAsia"/>
              </w:rPr>
              <w:t>设置2</w:t>
            </w:r>
            <w:r>
              <w:rPr>
                <w:rFonts w:hint="eastAsia" w:ascii="宋体" w:hAnsi="宋体" w:cs="宋体"/>
                <w:bCs/>
              </w:rPr>
              <w:t>台双枪加油机（1台92#汽油潜油泵式加油机,1台95#汽油自吸式加油机），3台单枪加油机（1台92#汽油自吸式加油机，2台柴油潜油泵式加油机）</w:t>
            </w:r>
            <w:r>
              <w:rPr>
                <w:rFonts w:hint="eastAsia" w:ascii="宋体" w:hAnsi="宋体" w:cs="宋体"/>
                <w:bCs/>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C12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7E3286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6DD091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2025.11.3</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w:t>
            </w:r>
            <w:r>
              <w:rPr>
                <w:rFonts w:hint="eastAsia" w:ascii="宋体" w:hAnsi="宋体" w:eastAsia="宋体" w:cs="宋体"/>
                <w:sz w:val="24"/>
                <w:lang w:val="en-US" w:eastAsia="zh-CN"/>
              </w:rPr>
              <w:t>、</w:t>
            </w: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2026.1.6</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w:t>
            </w:r>
            <w:r>
              <w:rPr>
                <w:rFonts w:hint="eastAsia" w:ascii="宋体" w:hAnsi="宋体" w:eastAsia="宋体" w:cs="宋体"/>
                <w:sz w:val="24"/>
                <w:lang w:val="en-US" w:eastAsia="zh-CN"/>
              </w:rPr>
              <w:t>、</w:t>
            </w: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2026.1.8</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w:t>
            </w:r>
            <w:r>
              <w:rPr>
                <w:rFonts w:hint="eastAsia" w:ascii="宋体" w:hAnsi="宋体" w:eastAsia="宋体" w:cs="宋体"/>
                <w:sz w:val="24"/>
                <w:lang w:val="en-US" w:eastAsia="zh-CN"/>
              </w:rPr>
              <w:t>、</w:t>
            </w: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2026.1.9</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w:t>
            </w:r>
            <w:r>
              <w:rPr>
                <w:rFonts w:hint="eastAsia" w:ascii="宋体" w:hAnsi="宋体" w:eastAsia="宋体" w:cs="宋体"/>
                <w:sz w:val="24"/>
                <w:lang w:val="en-US" w:eastAsia="zh-CN"/>
              </w:rPr>
              <w:t>、</w:t>
            </w: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安全评价报告提交时间：2026.1.12</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541783FF">
      <w:pPr>
        <w:pStyle w:val="19"/>
        <w:widowControl w:val="0"/>
        <w:adjustRightInd w:val="0"/>
        <w:snapToGrid w:val="0"/>
        <w:spacing w:before="0" w:beforeLines="0" w:after="0" w:afterLines="0" w:line="360" w:lineRule="auto"/>
      </w:pPr>
      <w:bookmarkStart w:id="0" w:name="_Toc5505"/>
      <w:bookmarkStart w:id="1" w:name="_Toc102633895"/>
      <w:bookmarkStart w:id="2" w:name="_Toc102634226"/>
      <w:bookmarkStart w:id="3" w:name="_Toc15033742"/>
      <w:bookmarkStart w:id="4" w:name="_Toc102633969"/>
      <w:r>
        <w:t>第二章 加油站概况</w:t>
      </w:r>
      <w:bookmarkEnd w:id="0"/>
      <w:bookmarkEnd w:id="1"/>
      <w:bookmarkEnd w:id="2"/>
      <w:bookmarkEnd w:id="3"/>
      <w:bookmarkEnd w:id="4"/>
    </w:p>
    <w:p w14:paraId="252F9EA3">
      <w:pPr>
        <w:adjustRightInd w:val="0"/>
        <w:snapToGrid w:val="0"/>
        <w:spacing w:line="360" w:lineRule="auto"/>
        <w:jc w:val="center"/>
        <w:outlineLvl w:val="1"/>
        <w:rPr>
          <w:rFonts w:ascii="Calibri" w:hAnsi="Calibri" w:eastAsia="楷体_GB2312"/>
          <w:b/>
          <w:kern w:val="0"/>
          <w:sz w:val="32"/>
          <w:szCs w:val="20"/>
        </w:rPr>
      </w:pPr>
      <w:bookmarkStart w:id="5" w:name="_Toc102633970"/>
      <w:bookmarkStart w:id="6" w:name="_Toc102633896"/>
      <w:bookmarkStart w:id="7" w:name="_Toc26504"/>
      <w:bookmarkStart w:id="8" w:name="_Toc272364524"/>
      <w:bookmarkStart w:id="9" w:name="_Toc15033743"/>
      <w:bookmarkStart w:id="10" w:name="_Toc208733856"/>
      <w:bookmarkStart w:id="11" w:name="_Toc102634227"/>
      <w:bookmarkStart w:id="12" w:name="_Toc30066"/>
      <w:bookmarkStart w:id="13" w:name="_Toc25986"/>
      <w:r>
        <w:rPr>
          <w:rFonts w:ascii="Calibri" w:hAnsi="Calibri" w:eastAsia="楷体_GB2312"/>
          <w:b/>
          <w:kern w:val="0"/>
          <w:sz w:val="32"/>
          <w:szCs w:val="20"/>
        </w:rPr>
        <w:t>第一节 加油站基本情况</w:t>
      </w:r>
      <w:bookmarkEnd w:id="5"/>
      <w:bookmarkEnd w:id="6"/>
      <w:bookmarkEnd w:id="7"/>
      <w:bookmarkEnd w:id="8"/>
      <w:bookmarkEnd w:id="9"/>
      <w:bookmarkEnd w:id="10"/>
      <w:bookmarkEnd w:id="11"/>
      <w:bookmarkEnd w:id="12"/>
      <w:bookmarkEnd w:id="13"/>
    </w:p>
    <w:p w14:paraId="2EE59441">
      <w:pPr>
        <w:adjustRightInd w:val="0"/>
        <w:snapToGrid w:val="0"/>
        <w:spacing w:line="360" w:lineRule="auto"/>
        <w:ind w:firstLine="560" w:firstLineChars="200"/>
        <w:rPr>
          <w:rFonts w:hint="eastAsia" w:ascii="宋体" w:hAnsi="宋体"/>
          <w:snapToGrid w:val="0"/>
          <w:kern w:val="0"/>
          <w:sz w:val="28"/>
        </w:rPr>
      </w:pPr>
      <w:r>
        <w:rPr>
          <w:rFonts w:hint="eastAsia" w:ascii="宋体" w:hAnsi="宋体"/>
          <w:sz w:val="28"/>
          <w:szCs w:val="28"/>
        </w:rPr>
        <w:t>京博新能源(肥城)有限公司第八十一加油站</w:t>
      </w:r>
      <w:r>
        <w:rPr>
          <w:rFonts w:hint="eastAsia" w:ascii="宋体" w:hAnsi="宋体"/>
          <w:sz w:val="28"/>
        </w:rPr>
        <w:t>（原肥城市中润石油制品有限公司）</w:t>
      </w:r>
      <w:r>
        <w:rPr>
          <w:rFonts w:hint="eastAsia" w:ascii="宋体" w:hAnsi="宋体"/>
          <w:sz w:val="28"/>
          <w:szCs w:val="28"/>
        </w:rPr>
        <w:t>位于</w:t>
      </w:r>
      <w:r>
        <w:rPr>
          <w:rFonts w:hint="eastAsia" w:ascii="宋体" w:hAnsi="宋体"/>
          <w:sz w:val="28"/>
        </w:rPr>
        <w:t>肥城市老城火车站南首（老城官路店村西邻济兖路东侧）</w:t>
      </w:r>
      <w:r>
        <w:rPr>
          <w:rFonts w:hint="eastAsia" w:ascii="宋体" w:hAnsi="宋体" w:cs="宋体"/>
          <w:sz w:val="28"/>
        </w:rPr>
        <w:t>，</w:t>
      </w:r>
      <w:r>
        <w:rPr>
          <w:rFonts w:hint="eastAsia" w:ascii="宋体" w:hAnsi="宋体"/>
          <w:sz w:val="28"/>
          <w:szCs w:val="28"/>
        </w:rPr>
        <w:t>加油站东侧是空地，西侧是济兖路、架空通信线，南侧是空地，北侧是洗车房、商铺，</w:t>
      </w:r>
      <w:r>
        <w:rPr>
          <w:rFonts w:hint="eastAsia" w:ascii="宋体" w:hAnsi="宋体" w:cs="宋体"/>
          <w:sz w:val="28"/>
          <w:szCs w:val="28"/>
        </w:rPr>
        <w:t>交通便利。</w:t>
      </w:r>
      <w:r>
        <w:rPr>
          <w:rFonts w:hint="eastAsia" w:ascii="宋体" w:hAnsi="宋体"/>
          <w:sz w:val="28"/>
        </w:rPr>
        <w:t>该站经营许可范围为汽油、乙醇汽油、柴油</w:t>
      </w:r>
      <w:r>
        <w:rPr>
          <w:rFonts w:hint="eastAsia" w:ascii="宋体" w:hAnsi="宋体" w:cs="宋体"/>
          <w:sz w:val="28"/>
        </w:rPr>
        <w:t>，现其主要经营储存汽油、柴油、乙醇汽油（暂未储存）</w:t>
      </w:r>
      <w:r>
        <w:rPr>
          <w:rFonts w:hint="eastAsia" w:ascii="宋体" w:hAnsi="宋体" w:cs="宋体"/>
          <w:snapToGrid w:val="0"/>
          <w:kern w:val="0"/>
          <w:sz w:val="28"/>
        </w:rPr>
        <w:t>。</w:t>
      </w:r>
      <w:r>
        <w:rPr>
          <w:rFonts w:hint="eastAsia" w:ascii="宋体" w:hAnsi="宋体"/>
          <w:sz w:val="28"/>
        </w:rPr>
        <w:t>与上次评价报告相比，</w:t>
      </w:r>
      <w:r>
        <w:rPr>
          <w:rFonts w:hint="eastAsia" w:ascii="宋体" w:hAnsi="宋体" w:cs="宋体"/>
          <w:sz w:val="28"/>
          <w:szCs w:val="28"/>
        </w:rPr>
        <w:t>单位名称由</w:t>
      </w:r>
      <w:r>
        <w:rPr>
          <w:rFonts w:hint="eastAsia" w:ascii="宋体" w:hAnsi="宋体"/>
          <w:sz w:val="28"/>
        </w:rPr>
        <w:t>肥城市中润石油制品有限公司</w:t>
      </w:r>
      <w:r>
        <w:rPr>
          <w:rFonts w:hint="eastAsia" w:ascii="宋体" w:hAnsi="宋体" w:cs="宋体"/>
          <w:sz w:val="28"/>
          <w:szCs w:val="28"/>
        </w:rPr>
        <w:t>变更为</w:t>
      </w:r>
      <w:r>
        <w:rPr>
          <w:rFonts w:hint="eastAsia" w:ascii="宋体" w:hAnsi="宋体"/>
          <w:sz w:val="28"/>
          <w:szCs w:val="28"/>
        </w:rPr>
        <w:t>京博新能源(肥城)有限公司第八十一加油站</w:t>
      </w:r>
      <w:r>
        <w:rPr>
          <w:rFonts w:hint="eastAsia" w:ascii="宋体" w:hAnsi="宋体" w:cs="宋体"/>
          <w:sz w:val="28"/>
          <w:szCs w:val="28"/>
        </w:rPr>
        <w:t>，法定代表人由李希泉变更为李健。</w:t>
      </w:r>
      <w:r>
        <w:rPr>
          <w:rFonts w:hint="eastAsia" w:ascii="宋体" w:hAnsi="宋体"/>
          <w:sz w:val="28"/>
        </w:rPr>
        <w:t>其余周边环境、站内设备设施、主要建构筑物未发生变化。</w:t>
      </w:r>
    </w:p>
    <w:p w14:paraId="38754E91">
      <w:pPr>
        <w:pStyle w:val="18"/>
        <w:widowControl w:val="0"/>
        <w:adjustRightInd w:val="0"/>
        <w:snapToGrid w:val="0"/>
        <w:spacing w:line="360" w:lineRule="auto"/>
        <w:ind w:firstLine="560"/>
        <w:rPr>
          <w:rFonts w:hint="eastAsia" w:ascii="宋体" w:hAnsi="宋体"/>
          <w:szCs w:val="28"/>
        </w:rPr>
      </w:pPr>
      <w:r>
        <w:rPr>
          <w:rFonts w:hint="eastAsia" w:ascii="宋体" w:hAnsi="宋体"/>
          <w:szCs w:val="28"/>
        </w:rPr>
        <w:t>该加油站主要建有站房、罩棚、油罐区、加油区等。</w:t>
      </w:r>
    </w:p>
    <w:p w14:paraId="0753D90F">
      <w:pPr>
        <w:pStyle w:val="18"/>
        <w:widowControl w:val="0"/>
        <w:adjustRightInd w:val="0"/>
        <w:snapToGrid w:val="0"/>
        <w:spacing w:line="360" w:lineRule="auto"/>
        <w:ind w:firstLine="560"/>
        <w:rPr>
          <w:rFonts w:ascii="宋体"/>
          <w:vertAlign w:val="superscript"/>
        </w:rPr>
      </w:pPr>
      <w:r>
        <w:rPr>
          <w:rFonts w:hint="eastAsia" w:ascii="宋体" w:hAnsi="宋体" w:cs="宋体"/>
          <w:kern w:val="2"/>
          <w:szCs w:val="21"/>
        </w:rPr>
        <w:t>加油区在站房西侧，</w:t>
      </w:r>
      <w:r>
        <w:rPr>
          <w:rFonts w:hint="eastAsia"/>
        </w:rPr>
        <w:t>罩棚下设置2</w:t>
      </w:r>
      <w:r>
        <w:rPr>
          <w:rFonts w:hint="eastAsia" w:ascii="宋体" w:hAnsi="宋体" w:cs="宋体"/>
          <w:bCs/>
        </w:rPr>
        <w:t>台双枪加油机（1台92#汽油潜油泵式加油机,1台95#汽油自吸式加油机），3台单枪加油机（1台92#汽油自吸式加油机，2台柴油潜油泵式加油机）</w:t>
      </w:r>
      <w:r>
        <w:rPr>
          <w:rFonts w:hint="eastAsia" w:ascii="宋体" w:hAnsi="宋体" w:cs="宋体"/>
          <w:kern w:val="2"/>
          <w:szCs w:val="21"/>
        </w:rPr>
        <w:t>；油罐区位于站房南侧非车行道下方，现有4台埋地双层储罐：</w:t>
      </w:r>
      <w:r>
        <w:t>1</w:t>
      </w:r>
      <w:r>
        <w:rPr>
          <w:rFonts w:hint="eastAsia"/>
        </w:rPr>
        <w:t>台20m</w:t>
      </w:r>
      <w:r>
        <w:rPr>
          <w:rFonts w:hint="eastAsia"/>
          <w:vertAlign w:val="superscript"/>
        </w:rPr>
        <w:t>3</w:t>
      </w:r>
      <w:r>
        <w:rPr>
          <w:rFonts w:hint="eastAsia"/>
        </w:rPr>
        <w:t>95汽油罐、1台30m</w:t>
      </w:r>
      <w:r>
        <w:rPr>
          <w:rFonts w:hint="eastAsia"/>
          <w:vertAlign w:val="superscript"/>
        </w:rPr>
        <w:t>3</w:t>
      </w:r>
      <w:r>
        <w:rPr>
          <w:rFonts w:hint="eastAsia"/>
        </w:rPr>
        <w:t>92#汽油罐、1台20m</w:t>
      </w:r>
      <w:r>
        <w:rPr>
          <w:rFonts w:hint="eastAsia"/>
          <w:vertAlign w:val="superscript"/>
        </w:rPr>
        <w:t>3</w:t>
      </w:r>
      <w:r>
        <w:rPr>
          <w:rFonts w:hint="eastAsia"/>
        </w:rPr>
        <w:t>92#汽油罐、1台30m</w:t>
      </w:r>
      <w:r>
        <w:rPr>
          <w:rFonts w:hint="eastAsia"/>
          <w:vertAlign w:val="superscript"/>
        </w:rPr>
        <w:t>3</w:t>
      </w:r>
      <w:r>
        <w:rPr>
          <w:rFonts w:hint="eastAsia"/>
        </w:rPr>
        <w:t>柴油罐，</w:t>
      </w:r>
      <w:r>
        <w:rPr>
          <w:rFonts w:hint="eastAsia" w:ascii="宋体" w:hAnsi="宋体" w:cs="宋体"/>
          <w:kern w:val="2"/>
          <w:szCs w:val="21"/>
        </w:rPr>
        <w:t>4台储罐均安装了液位仪、检漏仪；汽油、柴油卸油口位于罐区内北侧；通气管4根位于罐区内东侧，该站设有三次油气回收系统，包括卸油油气回收系统、加油油气回收系统、油气回收处理系统</w:t>
      </w:r>
      <w:r>
        <w:rPr>
          <w:rFonts w:hint="eastAsia" w:ascii="宋体" w:hAnsi="宋体"/>
          <w:szCs w:val="28"/>
        </w:rPr>
        <w:t>；</w:t>
      </w:r>
      <w:r>
        <w:rPr>
          <w:rFonts w:hint="eastAsia" w:ascii="宋体"/>
        </w:rPr>
        <w:t>按《汽车加油加气加氢站技术标准》GB50156-2021标准规定：V=20</w:t>
      </w:r>
      <w:r>
        <w:rPr>
          <w:rFonts w:hint="eastAsia" w:ascii="宋体" w:hAnsi="宋体" w:cs="宋体"/>
          <w:szCs w:val="28"/>
          <w:shd w:val="clear" w:color="auto" w:fill="FFFFFF"/>
        </w:rPr>
        <w:t>×</w:t>
      </w:r>
      <w:r>
        <w:rPr>
          <w:rFonts w:hint="eastAsia" w:ascii="宋体"/>
        </w:rPr>
        <w:t>2+30+30/2=85m</w:t>
      </w:r>
      <w:r>
        <w:rPr>
          <w:rFonts w:hint="eastAsia" w:ascii="宋体"/>
          <w:vertAlign w:val="superscript"/>
        </w:rPr>
        <w:t>3</w:t>
      </w:r>
      <w:r>
        <w:rPr>
          <w:rFonts w:hint="eastAsia" w:ascii="宋体"/>
        </w:rPr>
        <w:t>，该站属三级加油站。</w:t>
      </w:r>
    </w:p>
    <w:p w14:paraId="36BAD9C2">
      <w:pPr>
        <w:pStyle w:val="20"/>
        <w:widowControl w:val="0"/>
        <w:adjustRightInd w:val="0"/>
        <w:snapToGrid w:val="0"/>
        <w:spacing w:line="360" w:lineRule="auto"/>
        <w:outlineLvl w:val="9"/>
      </w:pPr>
      <w:r>
        <w:t>表</w:t>
      </w:r>
      <w:r>
        <w:rPr>
          <w:rFonts w:ascii="黑体" w:hAnsi="黑体"/>
        </w:rPr>
        <w:t xml:space="preserve">2.1-1 </w:t>
      </w:r>
      <w:r>
        <w:t>加油站的等级划分</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25"/>
        <w:gridCol w:w="3134"/>
        <w:gridCol w:w="3141"/>
      </w:tblGrid>
      <w:tr w14:paraId="494DD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3940C1FE">
            <w:pPr>
              <w:pStyle w:val="21"/>
              <w:widowControl w:val="0"/>
              <w:spacing w:line="360" w:lineRule="auto"/>
              <w:rPr>
                <w:rFonts w:hint="eastAsia" w:ascii="宋体" w:hAnsi="宋体"/>
                <w:b/>
                <w:bCs/>
              </w:rPr>
            </w:pPr>
            <w:r>
              <w:rPr>
                <w:rFonts w:ascii="宋体" w:hAnsi="宋体"/>
                <w:b/>
                <w:bCs/>
              </w:rPr>
              <w:t>加油站</w:t>
            </w:r>
            <w:r>
              <w:rPr>
                <w:rFonts w:hint="eastAsia" w:ascii="宋体" w:hAnsi="宋体"/>
                <w:b/>
                <w:bCs/>
              </w:rPr>
              <w:t>等级</w:t>
            </w:r>
          </w:p>
        </w:tc>
        <w:tc>
          <w:tcPr>
            <w:tcW w:w="3338" w:type="pct"/>
            <w:gridSpan w:val="2"/>
            <w:vAlign w:val="center"/>
          </w:tcPr>
          <w:p w14:paraId="045EF0F0">
            <w:pPr>
              <w:pStyle w:val="21"/>
              <w:widowControl w:val="0"/>
              <w:spacing w:line="360" w:lineRule="auto"/>
              <w:rPr>
                <w:rFonts w:hint="eastAsia" w:ascii="宋体" w:hAnsi="宋体"/>
                <w:b/>
                <w:bCs/>
              </w:rPr>
            </w:pPr>
            <w:r>
              <w:rPr>
                <w:rFonts w:ascii="宋体" w:hAnsi="宋体"/>
                <w:b/>
                <w:bCs/>
              </w:rPr>
              <w:t>加油站油罐容积（m</w:t>
            </w:r>
            <w:r>
              <w:rPr>
                <w:rFonts w:ascii="宋体" w:hAnsi="宋体"/>
                <w:b/>
                <w:bCs/>
                <w:vertAlign w:val="superscript"/>
              </w:rPr>
              <w:t>3</w:t>
            </w:r>
            <w:r>
              <w:rPr>
                <w:rFonts w:ascii="宋体" w:hAnsi="宋体"/>
                <w:b/>
                <w:bCs/>
              </w:rPr>
              <w:t>）</w:t>
            </w:r>
          </w:p>
        </w:tc>
      </w:tr>
      <w:tr w14:paraId="2F077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4AEA1C02">
            <w:pPr>
              <w:pStyle w:val="21"/>
              <w:widowControl w:val="0"/>
              <w:spacing w:line="360" w:lineRule="auto"/>
              <w:rPr>
                <w:rFonts w:hint="eastAsia" w:ascii="宋体" w:hAnsi="宋体"/>
                <w:b/>
                <w:bCs/>
              </w:rPr>
            </w:pPr>
          </w:p>
        </w:tc>
        <w:tc>
          <w:tcPr>
            <w:tcW w:w="1667" w:type="pct"/>
            <w:vAlign w:val="center"/>
          </w:tcPr>
          <w:p w14:paraId="12414B27">
            <w:pPr>
              <w:pStyle w:val="21"/>
              <w:widowControl w:val="0"/>
              <w:spacing w:line="360" w:lineRule="auto"/>
              <w:rPr>
                <w:rFonts w:hint="eastAsia" w:ascii="宋体" w:hAnsi="宋体"/>
                <w:b/>
                <w:bCs/>
              </w:rPr>
            </w:pPr>
            <w:r>
              <w:rPr>
                <w:rFonts w:ascii="宋体" w:hAnsi="宋体"/>
                <w:b/>
                <w:bCs/>
              </w:rPr>
              <w:t>总容积</w:t>
            </w:r>
            <w:r>
              <w:rPr>
                <w:rFonts w:hint="eastAsia" w:ascii="宋体" w:hAnsi="宋体"/>
                <w:b/>
                <w:bCs/>
              </w:rPr>
              <w:t>V</w:t>
            </w:r>
          </w:p>
        </w:tc>
        <w:tc>
          <w:tcPr>
            <w:tcW w:w="1671" w:type="pct"/>
            <w:vAlign w:val="center"/>
          </w:tcPr>
          <w:p w14:paraId="6DECC326">
            <w:pPr>
              <w:pStyle w:val="21"/>
              <w:widowControl w:val="0"/>
              <w:spacing w:line="360" w:lineRule="auto"/>
              <w:rPr>
                <w:rFonts w:hint="eastAsia" w:ascii="宋体" w:hAnsi="宋体"/>
                <w:b/>
                <w:bCs/>
              </w:rPr>
            </w:pPr>
            <w:r>
              <w:rPr>
                <w:rFonts w:ascii="宋体" w:hAnsi="宋体"/>
                <w:b/>
                <w:bCs/>
              </w:rPr>
              <w:t>单罐容积</w:t>
            </w:r>
          </w:p>
        </w:tc>
      </w:tr>
      <w:tr w14:paraId="66313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CF51C82">
            <w:pPr>
              <w:pStyle w:val="21"/>
              <w:widowControl w:val="0"/>
              <w:spacing w:line="360" w:lineRule="auto"/>
              <w:rPr>
                <w:rFonts w:hint="eastAsia" w:ascii="宋体" w:hAnsi="宋体"/>
              </w:rPr>
            </w:pPr>
            <w:r>
              <w:rPr>
                <w:rFonts w:ascii="宋体" w:hAnsi="宋体"/>
              </w:rPr>
              <w:t>一级</w:t>
            </w:r>
          </w:p>
        </w:tc>
        <w:tc>
          <w:tcPr>
            <w:tcW w:w="1667" w:type="pct"/>
            <w:vAlign w:val="center"/>
          </w:tcPr>
          <w:p w14:paraId="72538449">
            <w:pPr>
              <w:pStyle w:val="21"/>
              <w:widowControl w:val="0"/>
              <w:spacing w:line="360" w:lineRule="auto"/>
              <w:rPr>
                <w:rFonts w:hint="eastAsia" w:ascii="宋体" w:hAnsi="宋体"/>
              </w:rPr>
            </w:pPr>
            <w:r>
              <w:rPr>
                <w:rFonts w:ascii="宋体" w:hAnsi="宋体"/>
              </w:rPr>
              <w:t>150＜V</w:t>
            </w:r>
            <w:r>
              <w:rPr>
                <w:rFonts w:hint="eastAsia" w:ascii="宋体" w:hAnsi="宋体"/>
              </w:rPr>
              <w:t>≤</w:t>
            </w:r>
            <w:r>
              <w:rPr>
                <w:rFonts w:ascii="宋体" w:hAnsi="宋体"/>
              </w:rPr>
              <w:t>210</w:t>
            </w:r>
          </w:p>
        </w:tc>
        <w:tc>
          <w:tcPr>
            <w:tcW w:w="1671" w:type="pct"/>
            <w:vAlign w:val="center"/>
          </w:tcPr>
          <w:p w14:paraId="0906D54A">
            <w:pPr>
              <w:pStyle w:val="21"/>
              <w:widowControl w:val="0"/>
              <w:spacing w:line="360" w:lineRule="auto"/>
              <w:rPr>
                <w:rFonts w:hint="eastAsia" w:ascii="宋体" w:hAnsi="宋体"/>
              </w:rPr>
            </w:pPr>
            <w:r>
              <w:rPr>
                <w:rFonts w:hint="eastAsia" w:ascii="宋体" w:hAnsi="宋体"/>
              </w:rPr>
              <w:t>≤</w:t>
            </w:r>
            <w:r>
              <w:rPr>
                <w:rFonts w:ascii="宋体" w:hAnsi="宋体"/>
              </w:rPr>
              <w:t>50</w:t>
            </w:r>
          </w:p>
        </w:tc>
      </w:tr>
      <w:tr w14:paraId="7BCA9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97B6187">
            <w:pPr>
              <w:pStyle w:val="21"/>
              <w:widowControl w:val="0"/>
              <w:spacing w:line="360" w:lineRule="auto"/>
              <w:rPr>
                <w:rFonts w:hint="eastAsia" w:ascii="宋体" w:hAnsi="宋体"/>
              </w:rPr>
            </w:pPr>
            <w:r>
              <w:rPr>
                <w:rFonts w:ascii="宋体" w:hAnsi="宋体"/>
              </w:rPr>
              <w:t>二级</w:t>
            </w:r>
          </w:p>
        </w:tc>
        <w:tc>
          <w:tcPr>
            <w:tcW w:w="1667" w:type="pct"/>
            <w:vAlign w:val="center"/>
          </w:tcPr>
          <w:p w14:paraId="5D591B55">
            <w:pPr>
              <w:pStyle w:val="21"/>
              <w:widowControl w:val="0"/>
              <w:spacing w:line="360" w:lineRule="auto"/>
              <w:rPr>
                <w:rFonts w:hint="eastAsia" w:ascii="宋体" w:hAnsi="宋体"/>
              </w:rPr>
            </w:pPr>
            <w:r>
              <w:rPr>
                <w:rFonts w:ascii="宋体" w:hAnsi="宋体"/>
              </w:rPr>
              <w:t>90</w:t>
            </w:r>
            <w:r>
              <w:rPr>
                <w:rFonts w:hint="eastAsia" w:ascii="宋体" w:hAnsi="宋体"/>
              </w:rPr>
              <w:t>＜</w:t>
            </w:r>
            <w:r>
              <w:rPr>
                <w:rFonts w:ascii="宋体" w:hAnsi="宋体"/>
              </w:rPr>
              <w:t>V</w:t>
            </w:r>
            <w:r>
              <w:rPr>
                <w:rFonts w:hint="eastAsia" w:ascii="宋体" w:hAnsi="宋体"/>
              </w:rPr>
              <w:t>≤</w:t>
            </w:r>
            <w:r>
              <w:rPr>
                <w:rFonts w:ascii="宋体" w:hAnsi="宋体"/>
              </w:rPr>
              <w:t>150</w:t>
            </w:r>
          </w:p>
        </w:tc>
        <w:tc>
          <w:tcPr>
            <w:tcW w:w="1671" w:type="pct"/>
            <w:vAlign w:val="center"/>
          </w:tcPr>
          <w:p w14:paraId="3E7A7AEC">
            <w:pPr>
              <w:pStyle w:val="21"/>
              <w:widowControl w:val="0"/>
              <w:spacing w:line="360" w:lineRule="auto"/>
              <w:rPr>
                <w:rFonts w:hint="eastAsia" w:ascii="宋体" w:hAnsi="宋体"/>
              </w:rPr>
            </w:pPr>
            <w:r>
              <w:rPr>
                <w:rFonts w:hint="eastAsia" w:ascii="宋体" w:hAnsi="宋体"/>
              </w:rPr>
              <w:t>≤</w:t>
            </w:r>
            <w:r>
              <w:rPr>
                <w:rFonts w:ascii="宋体" w:hAnsi="宋体"/>
              </w:rPr>
              <w:t>50</w:t>
            </w:r>
          </w:p>
        </w:tc>
      </w:tr>
      <w:tr w14:paraId="7B7B3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5265167">
            <w:pPr>
              <w:pStyle w:val="21"/>
              <w:widowControl w:val="0"/>
              <w:spacing w:line="360" w:lineRule="auto"/>
              <w:rPr>
                <w:rFonts w:hint="eastAsia" w:ascii="宋体" w:hAnsi="宋体"/>
              </w:rPr>
            </w:pPr>
            <w:r>
              <w:rPr>
                <w:rFonts w:ascii="宋体" w:hAnsi="宋体"/>
              </w:rPr>
              <w:t>三级</w:t>
            </w:r>
          </w:p>
        </w:tc>
        <w:tc>
          <w:tcPr>
            <w:tcW w:w="1667" w:type="pct"/>
            <w:vAlign w:val="center"/>
          </w:tcPr>
          <w:p w14:paraId="4A0DA194">
            <w:pPr>
              <w:pStyle w:val="21"/>
              <w:widowControl w:val="0"/>
              <w:spacing w:line="360" w:lineRule="auto"/>
              <w:rPr>
                <w:rFonts w:hint="eastAsia" w:ascii="宋体" w:hAnsi="宋体"/>
              </w:rPr>
            </w:pPr>
            <w:r>
              <w:rPr>
                <w:rFonts w:ascii="宋体" w:hAnsi="宋体"/>
              </w:rPr>
              <w:t>V</w:t>
            </w:r>
            <w:r>
              <w:rPr>
                <w:rFonts w:hint="eastAsia" w:ascii="宋体" w:hAnsi="宋体"/>
              </w:rPr>
              <w:t>≤</w:t>
            </w:r>
            <w:r>
              <w:rPr>
                <w:rFonts w:ascii="宋体" w:hAnsi="宋体"/>
              </w:rPr>
              <w:t>90</w:t>
            </w:r>
          </w:p>
        </w:tc>
        <w:tc>
          <w:tcPr>
            <w:tcW w:w="1671" w:type="pct"/>
            <w:vAlign w:val="center"/>
          </w:tcPr>
          <w:p w14:paraId="07FC7759">
            <w:pPr>
              <w:pStyle w:val="21"/>
              <w:widowControl w:val="0"/>
              <w:spacing w:line="360" w:lineRule="auto"/>
              <w:rPr>
                <w:rFonts w:hint="eastAsia" w:ascii="宋体" w:hAnsi="宋体"/>
              </w:rPr>
            </w:pPr>
            <w:r>
              <w:rPr>
                <w:rFonts w:hint="eastAsia" w:ascii="宋体" w:hAnsi="宋体"/>
              </w:rPr>
              <w:t>汽油</w:t>
            </w:r>
            <w:r>
              <w:rPr>
                <w:rFonts w:ascii="宋体" w:hAnsi="宋体"/>
              </w:rPr>
              <w:t>罐</w:t>
            </w:r>
            <w:r>
              <w:rPr>
                <w:rFonts w:hint="eastAsia" w:ascii="宋体" w:hAnsi="宋体"/>
              </w:rPr>
              <w:t>≤</w:t>
            </w:r>
            <w:r>
              <w:rPr>
                <w:rFonts w:ascii="宋体" w:hAnsi="宋体"/>
              </w:rPr>
              <w:t>30，柴油罐</w:t>
            </w:r>
            <w:r>
              <w:rPr>
                <w:rFonts w:hint="eastAsia" w:ascii="宋体" w:hAnsi="宋体"/>
              </w:rPr>
              <w:t>≤</w:t>
            </w:r>
            <w:r>
              <w:rPr>
                <w:rFonts w:ascii="宋体" w:hAnsi="宋体"/>
              </w:rPr>
              <w:t>50</w:t>
            </w:r>
          </w:p>
        </w:tc>
      </w:tr>
    </w:tbl>
    <w:p w14:paraId="40F4E2ED">
      <w:pPr>
        <w:pStyle w:val="22"/>
        <w:widowControl w:val="0"/>
        <w:spacing w:line="360" w:lineRule="auto"/>
        <w:ind w:firstLine="436"/>
      </w:pPr>
      <w:r>
        <w:t>注：</w:t>
      </w:r>
      <w:r>
        <w:rPr>
          <w:rFonts w:hint="eastAsia"/>
        </w:rPr>
        <w:t>V为油罐总容积。</w:t>
      </w:r>
      <w:r>
        <w:t>柴油罐容积可折半计入油罐总容积。</w:t>
      </w:r>
    </w:p>
    <w:p w14:paraId="0DB276BE">
      <w:pPr>
        <w:pStyle w:val="18"/>
        <w:widowControl w:val="0"/>
        <w:adjustRightInd w:val="0"/>
        <w:snapToGrid w:val="0"/>
        <w:spacing w:line="360" w:lineRule="auto"/>
        <w:ind w:firstLine="560"/>
        <w:rPr>
          <w:rFonts w:ascii="宋体"/>
        </w:rPr>
      </w:pPr>
      <w:r>
        <w:rPr>
          <w:rFonts w:ascii="宋体"/>
        </w:rPr>
        <w:t>该站现有职工</w:t>
      </w:r>
      <w:r>
        <w:rPr>
          <w:rFonts w:hint="eastAsia" w:ascii="宋体"/>
        </w:rPr>
        <w:t>3人</w:t>
      </w:r>
      <w:r>
        <w:rPr>
          <w:rFonts w:ascii="宋体"/>
        </w:rPr>
        <w:t>，</w:t>
      </w:r>
      <w:r>
        <w:rPr>
          <w:rFonts w:hint="eastAsia" w:ascii="宋体"/>
        </w:rPr>
        <w:t>其中</w:t>
      </w:r>
      <w:r>
        <w:rPr>
          <w:rFonts w:ascii="宋体"/>
        </w:rPr>
        <w:t>主要负责人</w:t>
      </w:r>
      <w:r>
        <w:rPr>
          <w:rFonts w:hint="eastAsia" w:ascii="宋体"/>
        </w:rPr>
        <w:t>1</w:t>
      </w:r>
      <w:r>
        <w:rPr>
          <w:rFonts w:ascii="宋体"/>
        </w:rPr>
        <w:t>人，安全生产管理人员</w:t>
      </w:r>
      <w:r>
        <w:rPr>
          <w:rFonts w:hint="eastAsia" w:ascii="宋体"/>
        </w:rPr>
        <w:t>1人。主要负责人和</w:t>
      </w:r>
      <w:r>
        <w:rPr>
          <w:rFonts w:ascii="宋体"/>
        </w:rPr>
        <w:t>安全生产管理人员已</w:t>
      </w:r>
      <w:r>
        <w:rPr>
          <w:rFonts w:hint="eastAsia" w:ascii="宋体"/>
        </w:rPr>
        <w:t>参加了</w:t>
      </w:r>
      <w:r>
        <w:rPr>
          <w:rFonts w:ascii="宋体"/>
        </w:rPr>
        <w:t>危险化学品安全管理培训，</w:t>
      </w:r>
      <w:r>
        <w:rPr>
          <w:rFonts w:hint="eastAsia" w:ascii="宋体"/>
        </w:rPr>
        <w:t>并取得考核合格证，</w:t>
      </w:r>
      <w:r>
        <w:rPr>
          <w:rFonts w:ascii="宋体"/>
        </w:rPr>
        <w:t>详见附件。</w:t>
      </w:r>
    </w:p>
    <w:p w14:paraId="128205EF">
      <w:pPr>
        <w:adjustRightInd w:val="0"/>
        <w:snapToGrid w:val="0"/>
        <w:spacing w:line="360" w:lineRule="auto"/>
        <w:ind w:firstLine="560" w:firstLineChars="200"/>
        <w:rPr>
          <w:rFonts w:hint="eastAsia" w:asciiTheme="minorEastAsia" w:hAnsiTheme="minorEastAsia" w:eastAsiaTheme="minorEastAsia" w:cstheme="minorEastAsia"/>
          <w:kern w:val="0"/>
          <w:sz w:val="28"/>
          <w:szCs w:val="20"/>
        </w:rPr>
      </w:pPr>
      <w:r>
        <w:rPr>
          <w:rFonts w:hint="eastAsia" w:asciiTheme="minorEastAsia" w:hAnsiTheme="minorEastAsia" w:eastAsiaTheme="minorEastAsia" w:cstheme="minorEastAsia"/>
          <w:sz w:val="28"/>
        </w:rPr>
        <w:t>肥城市中润石油制品有限公司法定代表人</w:t>
      </w:r>
      <w:r>
        <w:rPr>
          <w:rFonts w:hint="eastAsia" w:asciiTheme="minorEastAsia" w:hAnsiTheme="minorEastAsia" w:eastAsiaTheme="minorEastAsia" w:cstheme="minorEastAsia"/>
          <w:kern w:val="0"/>
          <w:sz w:val="28"/>
          <w:szCs w:val="20"/>
        </w:rPr>
        <w:t>李希泉于2012年12月26日与老城街道办事处官路店村民委员会签订《合同书》，租赁年限20年，合同期自2013年1月1日至2032年12月31日止；</w:t>
      </w:r>
      <w:r>
        <w:rPr>
          <w:rFonts w:hint="eastAsia" w:asciiTheme="minorEastAsia" w:hAnsiTheme="minorEastAsia" w:eastAsiaTheme="minorEastAsia" w:cstheme="minorEastAsia"/>
          <w:sz w:val="28"/>
        </w:rPr>
        <w:t>肥城市中润石油制品有限公司</w:t>
      </w:r>
      <w:r>
        <w:rPr>
          <w:rFonts w:hint="eastAsia" w:asciiTheme="minorEastAsia" w:hAnsiTheme="minorEastAsia" w:eastAsiaTheme="minorEastAsia" w:cstheme="minorEastAsia"/>
          <w:kern w:val="0"/>
          <w:sz w:val="28"/>
          <w:szCs w:val="20"/>
          <w:lang w:val="en-US" w:eastAsia="zh-CN"/>
        </w:rPr>
        <w:t>于2025年1月15日</w:t>
      </w:r>
      <w:r>
        <w:rPr>
          <w:rFonts w:hint="eastAsia" w:asciiTheme="minorEastAsia" w:hAnsiTheme="minorEastAsia" w:eastAsiaTheme="minorEastAsia" w:cstheme="minorEastAsia"/>
          <w:kern w:val="0"/>
          <w:sz w:val="28"/>
          <w:szCs w:val="20"/>
        </w:rPr>
        <w:t>与老城街道办事处官路店村民委员会签订《</w:t>
      </w:r>
      <w:r>
        <w:rPr>
          <w:rFonts w:hint="eastAsia" w:asciiTheme="minorEastAsia" w:hAnsiTheme="minorEastAsia" w:eastAsiaTheme="minorEastAsia" w:cstheme="minorEastAsia"/>
          <w:kern w:val="0"/>
          <w:sz w:val="28"/>
          <w:szCs w:val="20"/>
          <w:lang w:val="en-US" w:eastAsia="zh-CN"/>
        </w:rPr>
        <w:t>补充协议书</w:t>
      </w:r>
      <w:r>
        <w:rPr>
          <w:rFonts w:hint="eastAsia" w:asciiTheme="minorEastAsia" w:hAnsiTheme="minorEastAsia" w:eastAsiaTheme="minorEastAsia" w:cstheme="minorEastAsia"/>
          <w:kern w:val="0"/>
          <w:sz w:val="28"/>
          <w:szCs w:val="20"/>
        </w:rPr>
        <w:t>》</w:t>
      </w:r>
      <w:r>
        <w:rPr>
          <w:rFonts w:hint="eastAsia" w:asciiTheme="minorEastAsia" w:hAnsiTheme="minorEastAsia" w:eastAsiaTheme="minorEastAsia" w:cstheme="minorEastAsia"/>
          <w:kern w:val="0"/>
          <w:sz w:val="28"/>
          <w:szCs w:val="20"/>
          <w:lang w:eastAsia="zh-CN"/>
        </w:rPr>
        <w:t>，</w:t>
      </w:r>
      <w:r>
        <w:rPr>
          <w:rFonts w:hint="eastAsia" w:asciiTheme="minorEastAsia" w:hAnsiTheme="minorEastAsia" w:eastAsiaTheme="minorEastAsia" w:cstheme="minorEastAsia"/>
          <w:kern w:val="0"/>
          <w:sz w:val="28"/>
          <w:szCs w:val="20"/>
          <w:lang w:val="en-US" w:eastAsia="zh-CN"/>
        </w:rPr>
        <w:t>补充协议将合同期限在原来的基础上延长12年，即延长至2044年12月31日。</w:t>
      </w:r>
      <w:r>
        <w:rPr>
          <w:rFonts w:hint="eastAsia" w:asciiTheme="minorEastAsia" w:hAnsiTheme="minorEastAsia" w:eastAsiaTheme="minorEastAsia" w:cstheme="minorEastAsia"/>
          <w:kern w:val="0"/>
          <w:sz w:val="28"/>
          <w:szCs w:val="20"/>
        </w:rPr>
        <w:t>山东京博新能源控股发展有限公司于2025年8月3日与肥城市中润石油制品有限公司签订《加油站资产租赁合同》，租赁年限10年；详见附件。</w:t>
      </w:r>
    </w:p>
    <w:p w14:paraId="212A4A10">
      <w:pPr>
        <w:pStyle w:val="4"/>
        <w:adjustRightInd w:val="0"/>
        <w:snapToGrid w:val="0"/>
        <w:spacing w:line="360" w:lineRule="auto"/>
        <w:ind w:firstLine="560"/>
        <w:rPr>
          <w:rFonts w:ascii="宋体"/>
        </w:rPr>
      </w:pPr>
      <w:r>
        <w:rPr>
          <w:rFonts w:hint="eastAsia" w:ascii="宋体"/>
        </w:rPr>
        <w:t>加油站</w:t>
      </w:r>
      <w:r>
        <w:rPr>
          <w:rFonts w:hint="eastAsia" w:ascii="宋体" w:hAnsi="宋体"/>
        </w:rPr>
        <w:t>（曾用名中国石油天然气股份有限公司山东泰安销售分公司）</w:t>
      </w:r>
      <w:r>
        <w:rPr>
          <w:rFonts w:hint="eastAsia" w:ascii="宋体"/>
        </w:rPr>
        <w:t>于2003年5月26日取得了肥城市公安消防大队出具的《建筑工程消防验收意见书》，意见书编号：肥公消验字第032号，意见书结论为：认为基本合格，准许投入使用，详见附件。</w:t>
      </w:r>
    </w:p>
    <w:p w14:paraId="6E68100A">
      <w:pPr>
        <w:pStyle w:val="18"/>
        <w:widowControl w:val="0"/>
        <w:adjustRightInd w:val="0"/>
        <w:snapToGrid w:val="0"/>
        <w:spacing w:line="360" w:lineRule="auto"/>
        <w:ind w:firstLine="560"/>
        <w:rPr>
          <w:rFonts w:ascii="宋体"/>
        </w:rPr>
      </w:pPr>
      <w:r>
        <w:rPr>
          <w:rFonts w:hint="eastAsia" w:ascii="宋体"/>
        </w:rPr>
        <w:t>加油站</w:t>
      </w:r>
      <w:r>
        <w:rPr>
          <w:rFonts w:hint="eastAsia" w:ascii="宋体" w:hAnsi="宋体"/>
        </w:rPr>
        <w:t>（原肥城市中润石油制品有限公司）</w:t>
      </w:r>
      <w:r>
        <w:rPr>
          <w:rFonts w:hint="eastAsia" w:ascii="宋体"/>
        </w:rPr>
        <w:t>于</w:t>
      </w:r>
      <w:r>
        <w:rPr>
          <w:rFonts w:ascii="宋体"/>
        </w:rPr>
        <w:t>20</w:t>
      </w:r>
      <w:r>
        <w:rPr>
          <w:rFonts w:hint="eastAsia" w:ascii="宋体"/>
        </w:rPr>
        <w:t>25年6月29日换发了《危险化学品经营许可证》，证书编号： 37090013202500087，证书有效期至2028年6月28日，证书见附件。</w:t>
      </w:r>
    </w:p>
    <w:p w14:paraId="293C53BC">
      <w:pPr>
        <w:pStyle w:val="18"/>
        <w:widowControl w:val="0"/>
        <w:adjustRightInd w:val="0"/>
        <w:snapToGrid w:val="0"/>
        <w:spacing w:line="360" w:lineRule="auto"/>
        <w:ind w:firstLine="560"/>
        <w:rPr>
          <w:rFonts w:ascii="宋体"/>
        </w:rPr>
      </w:pPr>
      <w:r>
        <w:rPr>
          <w:rFonts w:hint="eastAsia" w:ascii="宋体"/>
        </w:rPr>
        <w:t>加油站</w:t>
      </w:r>
      <w:r>
        <w:rPr>
          <w:rFonts w:hint="eastAsia" w:ascii="宋体" w:hAnsi="宋体"/>
        </w:rPr>
        <w:t>（原肥城市中润石油制品有限公司）</w:t>
      </w:r>
      <w:r>
        <w:rPr>
          <w:rFonts w:hint="eastAsia" w:ascii="宋体"/>
        </w:rPr>
        <w:t>于</w:t>
      </w:r>
      <w:r>
        <w:rPr>
          <w:rFonts w:ascii="宋体"/>
        </w:rPr>
        <w:t>20</w:t>
      </w:r>
      <w:r>
        <w:rPr>
          <w:rFonts w:hint="eastAsia" w:ascii="宋体"/>
        </w:rPr>
        <w:t>25</w:t>
      </w:r>
      <w:r>
        <w:rPr>
          <w:rFonts w:ascii="宋体"/>
        </w:rPr>
        <w:t>年</w:t>
      </w:r>
      <w:r>
        <w:rPr>
          <w:rFonts w:hint="eastAsia" w:ascii="宋体"/>
        </w:rPr>
        <w:t>12</w:t>
      </w:r>
      <w:r>
        <w:rPr>
          <w:rFonts w:ascii="宋体"/>
        </w:rPr>
        <w:t>月</w:t>
      </w:r>
      <w:r>
        <w:rPr>
          <w:rFonts w:hint="eastAsia" w:ascii="宋体"/>
        </w:rPr>
        <w:t>10</w:t>
      </w:r>
      <w:r>
        <w:rPr>
          <w:rFonts w:ascii="宋体"/>
        </w:rPr>
        <w:t>日</w:t>
      </w:r>
      <w:r>
        <w:rPr>
          <w:rFonts w:hint="eastAsia" w:ascii="宋体"/>
        </w:rPr>
        <w:t>换发了</w:t>
      </w:r>
      <w:r>
        <w:rPr>
          <w:rFonts w:ascii="宋体"/>
        </w:rPr>
        <w:t>《成品油零售经营批准证书》，证书编号：</w:t>
      </w:r>
      <w:r>
        <w:rPr>
          <w:rFonts w:hint="eastAsia" w:ascii="宋体"/>
        </w:rPr>
        <w:t>鲁油零售证书第3709062002</w:t>
      </w:r>
      <w:r>
        <w:rPr>
          <w:rFonts w:ascii="宋体"/>
        </w:rPr>
        <w:t>号</w:t>
      </w:r>
      <w:r>
        <w:rPr>
          <w:rFonts w:hint="eastAsia" w:ascii="宋体"/>
        </w:rPr>
        <w:t>，证书有效期至2030年12月10日，证书见附件</w:t>
      </w:r>
      <w:r>
        <w:rPr>
          <w:rFonts w:ascii="宋体"/>
        </w:rPr>
        <w:t>。</w:t>
      </w:r>
    </w:p>
    <w:p w14:paraId="0A650FC5">
      <w:pPr>
        <w:adjustRightInd w:val="0"/>
        <w:snapToGrid w:val="0"/>
        <w:spacing w:line="360" w:lineRule="auto"/>
        <w:ind w:firstLine="560" w:firstLineChars="200"/>
        <w:rPr>
          <w:rFonts w:hint="eastAsia" w:ascii="宋体" w:hAnsi="宋体"/>
          <w:sz w:val="28"/>
        </w:rPr>
      </w:pPr>
      <w:r>
        <w:rPr>
          <w:rFonts w:hint="eastAsia" w:ascii="宋体" w:hAnsi="宋体"/>
          <w:sz w:val="28"/>
        </w:rPr>
        <w:t>该站编制了生产安全事故应急预案，于2025年12月10日在肥城市应急管理局进行了备案，备案编号为：370983-2025-W055，详见附件。</w:t>
      </w:r>
    </w:p>
    <w:p w14:paraId="621A9C15">
      <w:pPr>
        <w:pStyle w:val="18"/>
        <w:widowControl w:val="0"/>
        <w:adjustRightInd w:val="0"/>
        <w:snapToGrid w:val="0"/>
        <w:spacing w:line="360" w:lineRule="auto"/>
        <w:ind w:firstLine="560"/>
        <w:rPr>
          <w:rFonts w:ascii="宋体"/>
        </w:rPr>
      </w:pPr>
      <w:r>
        <w:rPr>
          <w:rFonts w:hint="eastAsia" w:ascii="宋体"/>
        </w:rPr>
        <w:t>该站在中国人民财产保险股份有限公司滨州市分公司投保安全生产责任保险，保险期限2026年01月08日至2027年01月07日，详见附件。</w:t>
      </w:r>
    </w:p>
    <w:p w14:paraId="31E2AF37">
      <w:pPr>
        <w:pStyle w:val="18"/>
        <w:widowControl w:val="0"/>
        <w:adjustRightInd w:val="0"/>
        <w:snapToGrid w:val="0"/>
        <w:spacing w:line="360" w:lineRule="auto"/>
        <w:ind w:firstLine="560"/>
        <w:rPr>
          <w:rFonts w:hint="eastAsia" w:ascii="宋体" w:hAnsi="宋体" w:cs="宋体"/>
        </w:rPr>
      </w:pPr>
      <w:r>
        <w:rPr>
          <w:rFonts w:hint="eastAsia" w:ascii="宋体" w:hAnsi="宋体" w:cs="宋体"/>
        </w:rPr>
        <w:t>该站</w:t>
      </w:r>
      <w:r>
        <w:rPr>
          <w:rFonts w:hint="eastAsia" w:ascii="宋体" w:hAnsi="宋体" w:cs="宋体"/>
          <w:lang w:val="en-US" w:eastAsia="zh-CN"/>
        </w:rPr>
        <w:t>共设置5套可燃气体报警器，并</w:t>
      </w:r>
      <w:r>
        <w:rPr>
          <w:rFonts w:hint="eastAsia" w:ascii="宋体" w:hAnsi="宋体" w:cs="宋体"/>
        </w:rPr>
        <w:t>于2025年04月14日取得了山东方达校准检测有限公司出具的点型可燃气体探测器《校准证书》，校准证书见附件。</w:t>
      </w:r>
    </w:p>
    <w:p w14:paraId="6068A5CC">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山东天科防雷工程有限公司对该站进行了相关防雷设施的检测，出具了合格的《雷电防护装置定期检测报告》，报告编号：（1122016001）[2025]D-TAFC0403，防雷类别：二类，结论为“合格：雷电防护装置符合现行国家防雷规范标准要求”,报告截至2026年05月15日前有效，详见附件。</w:t>
      </w:r>
    </w:p>
    <w:p w14:paraId="29AD74A1">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该站建立健全了安全生产责任制、安全生产规章制度和安全操作规程，执行情况较好。</w:t>
      </w:r>
    </w:p>
    <w:p w14:paraId="7E5FFF14">
      <w:pPr>
        <w:pStyle w:val="18"/>
        <w:widowControl w:val="0"/>
        <w:adjustRightInd w:val="0"/>
        <w:snapToGrid w:val="0"/>
        <w:spacing w:line="360" w:lineRule="auto"/>
        <w:ind w:firstLine="560"/>
        <w:rPr>
          <w:rFonts w:ascii="宋体"/>
        </w:rPr>
      </w:pPr>
      <w:r>
        <w:rPr>
          <w:rFonts w:hint="eastAsia" w:ascii="宋体"/>
        </w:rPr>
        <w:t>该站各项安全管理制度健全，有生产经营单位生产事故应急预案，并定期进行应急救援演练。该加油站消防器材配备齐全，加油站配备了35kg推车式干粉灭火器2具，8kg手提式干粉灭火器4具，5kg手提式干粉灭火器8具，CO</w:t>
      </w:r>
      <w:r>
        <w:rPr>
          <w:rFonts w:hint="eastAsia" w:ascii="宋体"/>
          <w:vertAlign w:val="subscript"/>
        </w:rPr>
        <w:t>2</w:t>
      </w:r>
      <w:r>
        <w:rPr>
          <w:rFonts w:hint="eastAsia" w:ascii="宋体"/>
        </w:rPr>
        <w:t>灭火器2具，灭火毯6块，消防锨2把，消防桶2个，消防沙池2m</w:t>
      </w:r>
      <w:r>
        <w:rPr>
          <w:rFonts w:hint="eastAsia" w:ascii="宋体"/>
          <w:vertAlign w:val="superscript"/>
        </w:rPr>
        <w:t>3</w:t>
      </w:r>
      <w:r>
        <w:rPr>
          <w:rFonts w:hint="eastAsia" w:ascii="宋体"/>
        </w:rPr>
        <w:t>。</w:t>
      </w:r>
    </w:p>
    <w:p w14:paraId="43C9A41E">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该加油站按功能分区布置，有油罐区、加油区、站房，布置较合理。</w:t>
      </w:r>
    </w:p>
    <w:p w14:paraId="1033DE9C">
      <w:pPr>
        <w:pStyle w:val="19"/>
        <w:spacing w:before="312" w:after="312"/>
        <w:rPr>
          <w:color w:val="auto"/>
        </w:rPr>
      </w:pPr>
      <w:r>
        <w:rPr>
          <w:rFonts w:hint="eastAsia"/>
          <w:color w:val="auto"/>
        </w:rPr>
        <w:t>第四章 评价单元划分与评价方法选择</w:t>
      </w:r>
    </w:p>
    <w:p w14:paraId="30EFAFE2">
      <w:pPr>
        <w:pStyle w:val="3"/>
        <w:spacing w:before="312" w:beforeLines="100" w:after="312" w:afterLines="100" w:line="360" w:lineRule="auto"/>
        <w:ind w:firstLine="0"/>
        <w:rPr>
          <w:color w:val="auto"/>
        </w:rPr>
      </w:pPr>
      <w:bookmarkStart w:id="14" w:name="_Toc23543"/>
      <w:bookmarkStart w:id="15" w:name="_Toc12643"/>
      <w:bookmarkStart w:id="16" w:name="_Toc192907201"/>
      <w:bookmarkStart w:id="17" w:name="_Toc102634256"/>
      <w:bookmarkStart w:id="18" w:name="_Toc198026273"/>
      <w:bookmarkStart w:id="19" w:name="_Toc238007574"/>
      <w:bookmarkStart w:id="20" w:name="_Toc102633907"/>
      <w:bookmarkStart w:id="21" w:name="_Toc102633981"/>
      <w:bookmarkStart w:id="22" w:name="_Toc102634407"/>
      <w:bookmarkStart w:id="23" w:name="_Toc7829"/>
      <w:bookmarkStart w:id="24" w:name="_Toc272364536"/>
      <w:bookmarkStart w:id="25" w:name="_Toc15033754"/>
      <w:r>
        <w:rPr>
          <w:rFonts w:hint="eastAsia"/>
          <w:color w:val="auto"/>
        </w:rPr>
        <w:t>第一节 评价单元的划分</w:t>
      </w:r>
      <w:bookmarkEnd w:id="14"/>
      <w:bookmarkEnd w:id="15"/>
      <w:bookmarkEnd w:id="16"/>
      <w:bookmarkEnd w:id="17"/>
      <w:bookmarkEnd w:id="18"/>
      <w:bookmarkEnd w:id="19"/>
      <w:bookmarkEnd w:id="20"/>
      <w:bookmarkEnd w:id="21"/>
      <w:bookmarkEnd w:id="22"/>
      <w:bookmarkEnd w:id="23"/>
      <w:bookmarkEnd w:id="24"/>
      <w:bookmarkEnd w:id="25"/>
    </w:p>
    <w:p w14:paraId="763B4731">
      <w:pPr>
        <w:pStyle w:val="18"/>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B2717B0">
      <w:pPr>
        <w:pStyle w:val="23"/>
        <w:widowControl w:val="0"/>
        <w:adjustRightInd w:val="0"/>
        <w:snapToGrid w:val="0"/>
        <w:spacing w:line="360" w:lineRule="auto"/>
        <w:ind w:firstLine="560"/>
        <w:jc w:val="both"/>
        <w:rPr>
          <w:color w:val="auto"/>
        </w:rPr>
      </w:pPr>
      <w:bookmarkStart w:id="26" w:name="_Toc102634257"/>
      <w:r>
        <w:rPr>
          <w:rFonts w:hint="eastAsia"/>
          <w:color w:val="auto"/>
        </w:rPr>
        <w:t>一</w:t>
      </w:r>
      <w:r>
        <w:rPr>
          <w:color w:val="auto"/>
        </w:rPr>
        <w:t>、以危险有害因素的类别为主划分评价单元</w:t>
      </w:r>
      <w:bookmarkEnd w:id="26"/>
    </w:p>
    <w:p w14:paraId="05C4A291">
      <w:pPr>
        <w:pStyle w:val="18"/>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39D502B">
      <w:pPr>
        <w:pStyle w:val="18"/>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5196401">
      <w:pPr>
        <w:pStyle w:val="23"/>
        <w:widowControl w:val="0"/>
        <w:adjustRightInd w:val="0"/>
        <w:snapToGrid w:val="0"/>
        <w:spacing w:line="360" w:lineRule="auto"/>
        <w:ind w:firstLine="560"/>
        <w:jc w:val="both"/>
        <w:rPr>
          <w:color w:val="auto"/>
        </w:rPr>
      </w:pPr>
      <w:bookmarkStart w:id="27" w:name="_Toc102634258"/>
      <w:r>
        <w:rPr>
          <w:rFonts w:hint="eastAsia"/>
          <w:color w:val="auto"/>
        </w:rPr>
        <w:t>二</w:t>
      </w:r>
      <w:r>
        <w:rPr>
          <w:color w:val="auto"/>
        </w:rPr>
        <w:t>、以物质特征划分评价单元</w:t>
      </w:r>
      <w:bookmarkEnd w:id="27"/>
    </w:p>
    <w:p w14:paraId="5A1E40CB">
      <w:pPr>
        <w:pStyle w:val="18"/>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5A8A20F">
      <w:pPr>
        <w:pStyle w:val="18"/>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415DEC05">
      <w:pPr>
        <w:pStyle w:val="18"/>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rPr>
        <w:t>四</w:t>
      </w:r>
      <w:r>
        <w:rPr>
          <w:rFonts w:ascii="宋体"/>
          <w:color w:val="auto"/>
        </w:rPr>
        <w:t>个单元：</w:t>
      </w:r>
    </w:p>
    <w:p w14:paraId="4B345C19">
      <w:pPr>
        <w:pStyle w:val="18"/>
        <w:widowControl w:val="0"/>
        <w:adjustRightInd w:val="0"/>
        <w:snapToGrid w:val="0"/>
        <w:spacing w:line="360" w:lineRule="auto"/>
        <w:ind w:firstLine="560"/>
        <w:rPr>
          <w:rFonts w:ascii="宋体"/>
          <w:color w:val="auto"/>
        </w:rPr>
      </w:pPr>
      <w:r>
        <w:rPr>
          <w:rFonts w:ascii="宋体"/>
          <w:color w:val="auto"/>
        </w:rPr>
        <w:t>1、安全管理；</w:t>
      </w:r>
    </w:p>
    <w:p w14:paraId="32BE1495">
      <w:pPr>
        <w:pStyle w:val="18"/>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41286861">
      <w:pPr>
        <w:pStyle w:val="18"/>
        <w:widowControl w:val="0"/>
        <w:adjustRightInd w:val="0"/>
        <w:snapToGrid w:val="0"/>
        <w:spacing w:line="360" w:lineRule="auto"/>
        <w:ind w:firstLine="560"/>
        <w:rPr>
          <w:rFonts w:ascii="宋体"/>
          <w:color w:val="auto"/>
        </w:rPr>
      </w:pPr>
      <w:r>
        <w:rPr>
          <w:rFonts w:ascii="宋体"/>
          <w:color w:val="auto"/>
        </w:rPr>
        <w:t>3、加油工艺及设施；</w:t>
      </w:r>
    </w:p>
    <w:p w14:paraId="46391952">
      <w:pPr>
        <w:pStyle w:val="18"/>
        <w:widowControl w:val="0"/>
        <w:adjustRightInd w:val="0"/>
        <w:snapToGrid w:val="0"/>
        <w:spacing w:line="360" w:lineRule="auto"/>
        <w:ind w:firstLine="560"/>
        <w:rPr>
          <w:rFonts w:ascii="宋体"/>
          <w:color w:val="auto"/>
        </w:rPr>
      </w:pPr>
      <w:r>
        <w:rPr>
          <w:rFonts w:ascii="宋体"/>
          <w:color w:val="auto"/>
        </w:rPr>
        <w:t>4、其它安全设施</w:t>
      </w:r>
    </w:p>
    <w:p w14:paraId="5DA9EF16">
      <w:pPr>
        <w:pStyle w:val="3"/>
        <w:spacing w:before="312" w:beforeLines="100" w:after="312" w:afterLines="100" w:line="360" w:lineRule="auto"/>
        <w:ind w:firstLine="0"/>
        <w:rPr>
          <w:rFonts w:hint="eastAsia"/>
          <w:color w:val="auto"/>
        </w:rPr>
      </w:pPr>
      <w:bookmarkStart w:id="28" w:name="_Toc102633908"/>
      <w:bookmarkStart w:id="29" w:name="_Toc22810"/>
      <w:bookmarkStart w:id="30" w:name="_Toc102634408"/>
      <w:bookmarkStart w:id="31" w:name="_Toc102633982"/>
      <w:bookmarkStart w:id="32" w:name="_Toc102634259"/>
    </w:p>
    <w:p w14:paraId="178D2E97">
      <w:pPr>
        <w:pStyle w:val="3"/>
        <w:spacing w:before="312" w:beforeLines="100" w:after="312" w:afterLines="100" w:line="360" w:lineRule="auto"/>
        <w:ind w:firstLine="0"/>
        <w:rPr>
          <w:color w:val="auto"/>
        </w:rPr>
      </w:pPr>
      <w:r>
        <w:rPr>
          <w:rFonts w:hint="eastAsia"/>
          <w:color w:val="auto"/>
        </w:rPr>
        <w:t>第二节 评价方法的选择</w:t>
      </w:r>
      <w:bookmarkEnd w:id="28"/>
      <w:bookmarkEnd w:id="29"/>
      <w:bookmarkEnd w:id="30"/>
      <w:bookmarkEnd w:id="31"/>
      <w:bookmarkEnd w:id="32"/>
    </w:p>
    <w:p w14:paraId="1E411B7E">
      <w:pPr>
        <w:pStyle w:val="18"/>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42C872EF">
      <w:pPr>
        <w:pStyle w:val="18"/>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1EEE2394">
      <w:pPr>
        <w:pStyle w:val="18"/>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泰安市岱岳区山口平安加油站</w:t>
      </w:r>
      <w:r>
        <w:rPr>
          <w:rFonts w:ascii="宋体"/>
          <w:color w:val="auto"/>
        </w:rPr>
        <w:t>的具体情况，选用安全检查表、事故树法及危险度评价法对加油站进行评价。具体应用如下表所示：</w:t>
      </w:r>
    </w:p>
    <w:p w14:paraId="30D795B2">
      <w:pPr>
        <w:pStyle w:val="20"/>
        <w:widowControl w:val="0"/>
        <w:adjustRightInd w:val="0"/>
        <w:snapToGrid w:val="0"/>
        <w:outlineLvl w:val="9"/>
        <w:rPr>
          <w:rFonts w:ascii="黑体" w:hAnsi="黑体"/>
          <w:color w:val="auto"/>
        </w:rPr>
      </w:pPr>
      <w:r>
        <w:rPr>
          <w:rFonts w:ascii="黑体" w:hAnsi="黑体"/>
          <w:color w:val="auto"/>
        </w:rPr>
        <w:t>表4.2-1 评价方法选择一览表</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5"/>
        <w:gridCol w:w="2416"/>
        <w:gridCol w:w="2249"/>
        <w:gridCol w:w="2200"/>
        <w:gridCol w:w="1830"/>
      </w:tblGrid>
      <w:tr w14:paraId="53FBF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9969897">
            <w:pPr>
              <w:pStyle w:val="21"/>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0168CB46">
            <w:pPr>
              <w:pStyle w:val="21"/>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2C4AFDEB">
            <w:pPr>
              <w:pStyle w:val="21"/>
              <w:widowControl w:val="0"/>
              <w:adjustRightInd w:val="0"/>
              <w:snapToGrid w:val="0"/>
              <w:spacing w:line="360" w:lineRule="auto"/>
              <w:rPr>
                <w:rFonts w:ascii="宋体"/>
                <w:b/>
                <w:color w:val="auto"/>
              </w:rPr>
            </w:pPr>
            <w:r>
              <w:rPr>
                <w:rFonts w:ascii="宋体"/>
                <w:b/>
                <w:color w:val="auto"/>
                <w:lang w:val="en-GB"/>
              </w:rPr>
              <w:t>评价方法</w:t>
            </w:r>
          </w:p>
        </w:tc>
      </w:tr>
      <w:tr w14:paraId="31037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03509717">
            <w:pPr>
              <w:pStyle w:val="21"/>
              <w:widowControl w:val="0"/>
              <w:adjustRightInd w:val="0"/>
              <w:snapToGrid w:val="0"/>
              <w:spacing w:line="360" w:lineRule="auto"/>
              <w:rPr>
                <w:rFonts w:ascii="宋体"/>
                <w:b/>
                <w:color w:val="auto"/>
                <w:lang w:val="en-GB"/>
              </w:rPr>
            </w:pPr>
          </w:p>
        </w:tc>
        <w:tc>
          <w:tcPr>
            <w:tcW w:w="1285" w:type="pct"/>
            <w:vMerge w:val="continue"/>
            <w:vAlign w:val="center"/>
          </w:tcPr>
          <w:p w14:paraId="45C0FD29">
            <w:pPr>
              <w:pStyle w:val="21"/>
              <w:widowControl w:val="0"/>
              <w:adjustRightInd w:val="0"/>
              <w:snapToGrid w:val="0"/>
              <w:spacing w:line="360" w:lineRule="auto"/>
              <w:rPr>
                <w:rFonts w:ascii="宋体"/>
                <w:b/>
                <w:color w:val="auto"/>
              </w:rPr>
            </w:pPr>
          </w:p>
        </w:tc>
        <w:tc>
          <w:tcPr>
            <w:tcW w:w="1196" w:type="pct"/>
            <w:vAlign w:val="center"/>
          </w:tcPr>
          <w:p w14:paraId="17BCE365">
            <w:pPr>
              <w:pStyle w:val="21"/>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446C4779">
            <w:pPr>
              <w:pStyle w:val="21"/>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08FEC620">
            <w:pPr>
              <w:pStyle w:val="21"/>
              <w:widowControl w:val="0"/>
              <w:adjustRightInd w:val="0"/>
              <w:snapToGrid w:val="0"/>
              <w:spacing w:line="360" w:lineRule="auto"/>
              <w:rPr>
                <w:rFonts w:ascii="宋体"/>
                <w:b/>
                <w:color w:val="auto"/>
                <w:lang w:val="en-GB"/>
              </w:rPr>
            </w:pPr>
            <w:r>
              <w:rPr>
                <w:rFonts w:ascii="宋体"/>
                <w:b/>
                <w:color w:val="auto"/>
                <w:lang w:val="en-GB"/>
              </w:rPr>
              <w:t>事故树法</w:t>
            </w:r>
          </w:p>
        </w:tc>
      </w:tr>
      <w:tr w14:paraId="27EE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C5D8607">
            <w:pPr>
              <w:pStyle w:val="21"/>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5AEBABC2">
            <w:pPr>
              <w:pStyle w:val="21"/>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1E291D00">
            <w:pPr>
              <w:pStyle w:val="21"/>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A4A5594">
            <w:pPr>
              <w:pStyle w:val="21"/>
              <w:widowControl w:val="0"/>
              <w:adjustRightInd w:val="0"/>
              <w:snapToGrid w:val="0"/>
              <w:spacing w:line="360" w:lineRule="auto"/>
              <w:rPr>
                <w:rFonts w:ascii="宋体"/>
                <w:color w:val="auto"/>
              </w:rPr>
            </w:pPr>
          </w:p>
        </w:tc>
        <w:tc>
          <w:tcPr>
            <w:tcW w:w="972" w:type="pct"/>
            <w:vAlign w:val="center"/>
          </w:tcPr>
          <w:p w14:paraId="00C1DAAC">
            <w:pPr>
              <w:pStyle w:val="21"/>
              <w:widowControl w:val="0"/>
              <w:adjustRightInd w:val="0"/>
              <w:snapToGrid w:val="0"/>
              <w:spacing w:line="360" w:lineRule="auto"/>
              <w:rPr>
                <w:rFonts w:ascii="宋体"/>
                <w:color w:val="auto"/>
              </w:rPr>
            </w:pPr>
          </w:p>
        </w:tc>
      </w:tr>
      <w:tr w14:paraId="76973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A4AADEA">
            <w:pPr>
              <w:pStyle w:val="21"/>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6DFEA469">
            <w:pPr>
              <w:pStyle w:val="21"/>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5CF653C1">
            <w:pPr>
              <w:pStyle w:val="21"/>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0F8023B">
            <w:pPr>
              <w:pStyle w:val="21"/>
              <w:widowControl w:val="0"/>
              <w:adjustRightInd w:val="0"/>
              <w:snapToGrid w:val="0"/>
              <w:spacing w:line="360" w:lineRule="auto"/>
              <w:rPr>
                <w:rFonts w:ascii="宋体"/>
                <w:color w:val="auto"/>
              </w:rPr>
            </w:pPr>
          </w:p>
        </w:tc>
        <w:tc>
          <w:tcPr>
            <w:tcW w:w="972" w:type="pct"/>
            <w:vAlign w:val="center"/>
          </w:tcPr>
          <w:p w14:paraId="757A7995">
            <w:pPr>
              <w:pStyle w:val="21"/>
              <w:widowControl w:val="0"/>
              <w:adjustRightInd w:val="0"/>
              <w:snapToGrid w:val="0"/>
              <w:spacing w:line="360" w:lineRule="auto"/>
              <w:rPr>
                <w:rFonts w:ascii="宋体"/>
                <w:color w:val="auto"/>
              </w:rPr>
            </w:pPr>
          </w:p>
        </w:tc>
      </w:tr>
      <w:tr w14:paraId="62F83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1EE35C5">
            <w:pPr>
              <w:pStyle w:val="21"/>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4A918E6C">
            <w:pPr>
              <w:pStyle w:val="21"/>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4D11A67E">
            <w:pPr>
              <w:pStyle w:val="21"/>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92D00C6">
            <w:pPr>
              <w:pStyle w:val="21"/>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0E836CF9">
            <w:pPr>
              <w:pStyle w:val="21"/>
              <w:widowControl w:val="0"/>
              <w:adjustRightInd w:val="0"/>
              <w:snapToGrid w:val="0"/>
              <w:spacing w:line="360" w:lineRule="auto"/>
              <w:rPr>
                <w:rFonts w:ascii="宋体"/>
                <w:color w:val="auto"/>
              </w:rPr>
            </w:pPr>
            <w:r>
              <w:rPr>
                <w:rFonts w:hint="eastAsia" w:ascii="宋体" w:hAnsi="宋体" w:cs="宋体"/>
                <w:color w:val="auto"/>
              </w:rPr>
              <w:t>★</w:t>
            </w:r>
          </w:p>
        </w:tc>
      </w:tr>
      <w:tr w14:paraId="033D5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6CB1BBD">
            <w:pPr>
              <w:pStyle w:val="21"/>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18F40D56">
            <w:pPr>
              <w:pStyle w:val="21"/>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65B05064">
            <w:pPr>
              <w:pStyle w:val="21"/>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3808F65A">
            <w:pPr>
              <w:pStyle w:val="21"/>
              <w:widowControl w:val="0"/>
              <w:adjustRightInd w:val="0"/>
              <w:snapToGrid w:val="0"/>
              <w:spacing w:line="360" w:lineRule="auto"/>
              <w:rPr>
                <w:rFonts w:ascii="宋体"/>
                <w:color w:val="auto"/>
              </w:rPr>
            </w:pPr>
          </w:p>
        </w:tc>
        <w:tc>
          <w:tcPr>
            <w:tcW w:w="972" w:type="pct"/>
            <w:vAlign w:val="center"/>
          </w:tcPr>
          <w:p w14:paraId="4ADFB55C">
            <w:pPr>
              <w:pStyle w:val="21"/>
              <w:widowControl w:val="0"/>
              <w:adjustRightInd w:val="0"/>
              <w:snapToGrid w:val="0"/>
              <w:spacing w:line="360" w:lineRule="auto"/>
              <w:rPr>
                <w:rFonts w:ascii="宋体"/>
                <w:color w:val="auto"/>
              </w:rPr>
            </w:pPr>
          </w:p>
        </w:tc>
      </w:tr>
    </w:tbl>
    <w:p w14:paraId="63FFFE3C">
      <w:pPr>
        <w:pStyle w:val="18"/>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6EC93C82">
      <w:pPr>
        <w:pStyle w:val="22"/>
        <w:widowControl w:val="0"/>
        <w:snapToGrid w:val="0"/>
        <w:spacing w:line="360" w:lineRule="auto"/>
        <w:ind w:firstLine="872" w:firstLineChars="400"/>
        <w:rPr>
          <w:color w:val="auto"/>
        </w:rPr>
      </w:pPr>
    </w:p>
    <w:p w14:paraId="0438E3AC">
      <w:pPr>
        <w:pStyle w:val="19"/>
        <w:widowControl w:val="0"/>
        <w:adjustRightInd w:val="0"/>
        <w:snapToGrid w:val="0"/>
        <w:spacing w:before="468" w:beforeLines="150" w:after="156" w:afterLines="50" w:line="360" w:lineRule="auto"/>
      </w:pPr>
      <w:bookmarkStart w:id="33" w:name="_Toc9894"/>
      <w:bookmarkStart w:id="34" w:name="_Toc15033761"/>
      <w:bookmarkStart w:id="35" w:name="_Toc27772"/>
      <w:bookmarkStart w:id="36" w:name="_Toc102633914"/>
      <w:bookmarkStart w:id="37" w:name="_Toc102633988"/>
      <w:bookmarkStart w:id="38" w:name="_Toc102634276"/>
      <w:r>
        <w:t>第六章  安全对策措施及建议</w:t>
      </w:r>
      <w:bookmarkEnd w:id="33"/>
      <w:bookmarkEnd w:id="34"/>
      <w:bookmarkEnd w:id="35"/>
      <w:bookmarkEnd w:id="36"/>
      <w:bookmarkEnd w:id="37"/>
      <w:bookmarkEnd w:id="38"/>
    </w:p>
    <w:p w14:paraId="1582FBC1">
      <w:pPr>
        <w:snapToGrid w:val="0"/>
        <w:spacing w:before="120" w:after="120" w:line="560" w:lineRule="exact"/>
        <w:jc w:val="center"/>
        <w:outlineLvl w:val="1"/>
        <w:rPr>
          <w:rFonts w:ascii="Calibri" w:hAnsi="Calibri" w:eastAsia="楷体_GB2312"/>
          <w:b/>
          <w:kern w:val="0"/>
          <w:sz w:val="32"/>
          <w:szCs w:val="20"/>
        </w:rPr>
      </w:pPr>
      <w:bookmarkStart w:id="39" w:name="_Toc339456079"/>
      <w:bookmarkStart w:id="40" w:name="_Toc225046264"/>
      <w:bookmarkStart w:id="41" w:name="_Toc15033762"/>
      <w:bookmarkStart w:id="42" w:name="_Toc4961"/>
      <w:bookmarkStart w:id="43" w:name="_Toc102634277"/>
      <w:bookmarkStart w:id="44" w:name="_Toc23130"/>
      <w:bookmarkStart w:id="45" w:name="_Toc348877039"/>
      <w:bookmarkStart w:id="46" w:name="_Toc102633989"/>
      <w:bookmarkStart w:id="47" w:name="_Toc102633915"/>
      <w:bookmarkStart w:id="48" w:name="_Toc242065302"/>
      <w:r>
        <w:rPr>
          <w:rFonts w:ascii="Calibri" w:hAnsi="Calibri" w:eastAsia="楷体_GB2312"/>
          <w:b/>
          <w:kern w:val="0"/>
          <w:sz w:val="32"/>
          <w:szCs w:val="20"/>
        </w:rPr>
        <w:t xml:space="preserve">第一节 </w:t>
      </w:r>
      <w:bookmarkEnd w:id="39"/>
      <w:bookmarkEnd w:id="40"/>
      <w:r>
        <w:rPr>
          <w:rFonts w:ascii="Calibri" w:hAnsi="Calibri" w:eastAsia="楷体_GB2312"/>
          <w:b/>
          <w:kern w:val="0"/>
          <w:sz w:val="32"/>
          <w:szCs w:val="20"/>
        </w:rPr>
        <w:t>存在的问题及整改建议</w:t>
      </w:r>
      <w:bookmarkEnd w:id="41"/>
      <w:bookmarkEnd w:id="42"/>
      <w:bookmarkEnd w:id="43"/>
      <w:bookmarkEnd w:id="44"/>
      <w:bookmarkEnd w:id="45"/>
      <w:bookmarkEnd w:id="46"/>
      <w:bookmarkEnd w:id="47"/>
      <w:bookmarkEnd w:id="48"/>
    </w:p>
    <w:p w14:paraId="5D00CC6A">
      <w:pPr>
        <w:adjustRightInd w:val="0"/>
        <w:snapToGrid w:val="0"/>
        <w:spacing w:line="360" w:lineRule="auto"/>
        <w:ind w:firstLine="560" w:firstLineChars="200"/>
        <w:rPr>
          <w:rFonts w:ascii="宋体"/>
          <w:kern w:val="0"/>
          <w:sz w:val="28"/>
          <w:szCs w:val="20"/>
        </w:rPr>
      </w:pPr>
      <w:bookmarkStart w:id="49" w:name="_Toc15033763"/>
      <w:bookmarkStart w:id="50" w:name="_Toc49590281"/>
      <w:r>
        <w:rPr>
          <w:rFonts w:ascii="宋体"/>
          <w:kern w:val="0"/>
          <w:sz w:val="28"/>
          <w:szCs w:val="20"/>
        </w:rPr>
        <w:t>通过现场检查和审查有关资料</w:t>
      </w:r>
      <w:r>
        <w:rPr>
          <w:rFonts w:hint="eastAsia" w:ascii="宋体"/>
          <w:kern w:val="0"/>
          <w:sz w:val="28"/>
          <w:szCs w:val="20"/>
        </w:rPr>
        <w:t>可以看出，该加油站问题如下：</w:t>
      </w:r>
    </w:p>
    <w:bookmarkEnd w:id="49"/>
    <w:bookmarkEnd w:id="50"/>
    <w:p w14:paraId="02AEEC48">
      <w:pPr>
        <w:widowControl/>
        <w:spacing w:line="360" w:lineRule="auto"/>
        <w:jc w:val="center"/>
        <w:textAlignment w:val="baseline"/>
        <w:rPr>
          <w:rFonts w:eastAsia="黑体"/>
          <w:kern w:val="0"/>
          <w:sz w:val="24"/>
          <w:szCs w:val="24"/>
          <w:u w:color="000000"/>
        </w:rPr>
      </w:pPr>
      <w:r>
        <w:rPr>
          <w:rFonts w:hint="eastAsia" w:ascii="黑体" w:hAnsi="黑体" w:eastAsia="黑体" w:cs="黑体"/>
          <w:kern w:val="0"/>
          <w:sz w:val="24"/>
          <w:szCs w:val="24"/>
          <w:u w:color="000000"/>
        </w:rPr>
        <w:t>表6.1-1</w:t>
      </w:r>
      <w:r>
        <w:rPr>
          <w:rFonts w:hint="eastAsia" w:eastAsia="黑体"/>
          <w:kern w:val="0"/>
          <w:sz w:val="24"/>
          <w:szCs w:val="24"/>
          <w:u w:color="000000"/>
        </w:rPr>
        <w:t xml:space="preserve">  现场存在问题表</w:t>
      </w:r>
    </w:p>
    <w:tbl>
      <w:tblPr>
        <w:tblStyle w:val="10"/>
        <w:tblW w:w="957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4361"/>
        <w:gridCol w:w="4538"/>
      </w:tblGrid>
      <w:tr w14:paraId="2050A2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22" w:hRule="atLeast"/>
          <w:tblHeader/>
          <w:jc w:val="center"/>
        </w:trPr>
        <w:tc>
          <w:tcPr>
            <w:tcW w:w="680" w:type="dxa"/>
            <w:vAlign w:val="center"/>
          </w:tcPr>
          <w:p w14:paraId="0BAB3D9B">
            <w:pPr>
              <w:widowControl/>
              <w:tabs>
                <w:tab w:val="left" w:pos="6120"/>
              </w:tabs>
              <w:adjustRightInd w:val="0"/>
              <w:spacing w:before="31" w:beforeLines="10" w:after="31" w:afterLines="10" w:line="320" w:lineRule="exact"/>
              <w:jc w:val="center"/>
              <w:textAlignment w:val="baseline"/>
              <w:rPr>
                <w:rFonts w:hint="eastAsia" w:ascii="宋体" w:hAnsi="宋体"/>
                <w:b/>
                <w:bCs/>
                <w:kern w:val="0"/>
                <w:position w:val="2"/>
                <w:u w:color="000000"/>
              </w:rPr>
            </w:pPr>
            <w:r>
              <w:rPr>
                <w:rFonts w:ascii="宋体" w:hAnsi="宋体"/>
                <w:b/>
                <w:bCs/>
                <w:kern w:val="0"/>
                <w:position w:val="2"/>
                <w:u w:color="000000"/>
              </w:rPr>
              <w:t>序号</w:t>
            </w:r>
          </w:p>
        </w:tc>
        <w:tc>
          <w:tcPr>
            <w:tcW w:w="4361" w:type="dxa"/>
            <w:vAlign w:val="center"/>
          </w:tcPr>
          <w:p w14:paraId="436726AC">
            <w:pPr>
              <w:widowControl/>
              <w:tabs>
                <w:tab w:val="left" w:pos="6120"/>
              </w:tabs>
              <w:adjustRightInd w:val="0"/>
              <w:spacing w:before="31" w:beforeLines="10" w:after="31" w:afterLines="10" w:line="320" w:lineRule="exact"/>
              <w:jc w:val="center"/>
              <w:textAlignment w:val="baseline"/>
              <w:rPr>
                <w:rFonts w:hint="eastAsia" w:ascii="宋体" w:hAnsi="宋体"/>
                <w:b/>
                <w:bCs/>
                <w:kern w:val="0"/>
                <w:position w:val="2"/>
                <w:u w:color="000000"/>
              </w:rPr>
            </w:pPr>
            <w:r>
              <w:rPr>
                <w:rFonts w:ascii="宋体" w:hAnsi="宋体"/>
                <w:b/>
                <w:bCs/>
                <w:kern w:val="0"/>
                <w:position w:val="2"/>
                <w:u w:color="000000"/>
              </w:rPr>
              <w:t>企业存在的问题</w:t>
            </w:r>
          </w:p>
        </w:tc>
        <w:tc>
          <w:tcPr>
            <w:tcW w:w="4538" w:type="dxa"/>
            <w:vAlign w:val="center"/>
          </w:tcPr>
          <w:p w14:paraId="67436A44">
            <w:pPr>
              <w:widowControl/>
              <w:tabs>
                <w:tab w:val="left" w:pos="6120"/>
              </w:tabs>
              <w:adjustRightInd w:val="0"/>
              <w:spacing w:before="31" w:beforeLines="10" w:after="31" w:afterLines="10" w:line="320" w:lineRule="exact"/>
              <w:jc w:val="center"/>
              <w:textAlignment w:val="baseline"/>
              <w:rPr>
                <w:rFonts w:hint="eastAsia" w:ascii="宋体" w:hAnsi="宋体"/>
                <w:b/>
                <w:bCs/>
                <w:kern w:val="0"/>
                <w:position w:val="2"/>
                <w:u w:color="000000"/>
              </w:rPr>
            </w:pPr>
            <w:r>
              <w:rPr>
                <w:rFonts w:ascii="宋体" w:hAnsi="宋体"/>
                <w:b/>
                <w:bCs/>
                <w:kern w:val="0"/>
                <w:position w:val="2"/>
                <w:u w:color="000000"/>
              </w:rPr>
              <w:t>整改建议措施</w:t>
            </w:r>
          </w:p>
        </w:tc>
      </w:tr>
      <w:tr w14:paraId="7A1CD5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680" w:type="dxa"/>
            <w:vAlign w:val="center"/>
          </w:tcPr>
          <w:p w14:paraId="50823BC2">
            <w:pPr>
              <w:widowControl/>
              <w:tabs>
                <w:tab w:val="left" w:pos="6120"/>
              </w:tabs>
              <w:adjustRightInd w:val="0"/>
              <w:spacing w:before="31" w:beforeLines="10" w:after="31" w:afterLines="10" w:line="320" w:lineRule="exact"/>
              <w:jc w:val="center"/>
              <w:textAlignment w:val="baseline"/>
              <w:rPr>
                <w:rFonts w:hint="eastAsia" w:ascii="宋体" w:hAnsi="宋体"/>
                <w:bCs/>
                <w:kern w:val="0"/>
                <w:position w:val="2"/>
                <w:u w:color="000000"/>
              </w:rPr>
            </w:pPr>
            <w:r>
              <w:rPr>
                <w:rFonts w:hint="eastAsia" w:ascii="宋体" w:hAnsi="宋体"/>
                <w:bCs/>
                <w:kern w:val="0"/>
                <w:position w:val="2"/>
                <w:u w:color="000000"/>
              </w:rPr>
              <w:t>1</w:t>
            </w:r>
          </w:p>
        </w:tc>
        <w:tc>
          <w:tcPr>
            <w:tcW w:w="4361" w:type="dxa"/>
            <w:vAlign w:val="center"/>
          </w:tcPr>
          <w:p w14:paraId="2F3B5E8A">
            <w:pPr>
              <w:widowControl/>
              <w:tabs>
                <w:tab w:val="left" w:pos="6120"/>
              </w:tabs>
              <w:adjustRightInd w:val="0"/>
              <w:spacing w:before="31" w:beforeLines="10" w:after="31" w:afterLines="10" w:line="320" w:lineRule="exact"/>
              <w:jc w:val="center"/>
              <w:textAlignment w:val="baseline"/>
              <w:rPr>
                <w:rFonts w:hint="eastAsia" w:ascii="宋体" w:hAnsi="宋体"/>
                <w:kern w:val="0"/>
                <w:u w:color="000000"/>
              </w:rPr>
            </w:pPr>
            <w:r>
              <w:rPr>
                <w:rFonts w:hint="eastAsia" w:ascii="宋体" w:hAnsi="宋体"/>
                <w:kern w:val="0"/>
                <w:u w:color="000000"/>
              </w:rPr>
              <w:t>液位仪、测漏仪、监控系统均未安装UPS电源；</w:t>
            </w:r>
          </w:p>
        </w:tc>
        <w:tc>
          <w:tcPr>
            <w:tcW w:w="4538" w:type="dxa"/>
            <w:vAlign w:val="center"/>
          </w:tcPr>
          <w:p w14:paraId="13A69E8A">
            <w:pPr>
              <w:widowControl/>
              <w:tabs>
                <w:tab w:val="left" w:pos="6120"/>
              </w:tabs>
              <w:adjustRightInd w:val="0"/>
              <w:spacing w:before="31" w:beforeLines="10" w:after="31" w:afterLines="10" w:line="320" w:lineRule="exact"/>
              <w:jc w:val="center"/>
              <w:textAlignment w:val="baseline"/>
              <w:rPr>
                <w:rFonts w:hint="eastAsia" w:ascii="宋体" w:hAnsi="宋体"/>
                <w:kern w:val="0"/>
                <w:u w:color="000000"/>
              </w:rPr>
            </w:pPr>
            <w:r>
              <w:rPr>
                <w:rFonts w:hint="eastAsia" w:ascii="宋体" w:hAnsi="宋体"/>
                <w:kern w:val="0"/>
                <w:u w:color="000000"/>
              </w:rPr>
              <w:t>液位仪、测漏仪、监控系统均应安装UPS电源；</w:t>
            </w:r>
          </w:p>
        </w:tc>
      </w:tr>
      <w:tr w14:paraId="1AA873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680" w:type="dxa"/>
            <w:vAlign w:val="center"/>
          </w:tcPr>
          <w:p w14:paraId="3F41C4E7">
            <w:pPr>
              <w:widowControl/>
              <w:tabs>
                <w:tab w:val="left" w:pos="6120"/>
              </w:tabs>
              <w:adjustRightInd w:val="0"/>
              <w:spacing w:before="31" w:beforeLines="10" w:after="31" w:afterLines="10" w:line="320" w:lineRule="exact"/>
              <w:jc w:val="center"/>
              <w:textAlignment w:val="baseline"/>
              <w:rPr>
                <w:rFonts w:hint="eastAsia" w:ascii="宋体" w:hAnsi="宋体"/>
                <w:bCs/>
                <w:kern w:val="0"/>
                <w:position w:val="2"/>
                <w:u w:color="000000"/>
              </w:rPr>
            </w:pPr>
            <w:r>
              <w:rPr>
                <w:rFonts w:hint="eastAsia" w:ascii="宋体" w:hAnsi="宋体"/>
                <w:bCs/>
                <w:kern w:val="0"/>
                <w:position w:val="2"/>
                <w:u w:color="000000"/>
              </w:rPr>
              <w:t>2</w:t>
            </w:r>
          </w:p>
        </w:tc>
        <w:tc>
          <w:tcPr>
            <w:tcW w:w="4361" w:type="dxa"/>
            <w:vAlign w:val="center"/>
          </w:tcPr>
          <w:p w14:paraId="592B9FC4">
            <w:pPr>
              <w:widowControl/>
              <w:tabs>
                <w:tab w:val="left" w:pos="6120"/>
              </w:tabs>
              <w:adjustRightInd w:val="0"/>
              <w:spacing w:before="31" w:beforeLines="10" w:after="31" w:afterLines="10" w:line="320" w:lineRule="exact"/>
              <w:jc w:val="center"/>
              <w:textAlignment w:val="baseline"/>
              <w:rPr>
                <w:rFonts w:hint="eastAsia" w:ascii="宋体" w:hAnsi="宋体"/>
                <w:kern w:val="0"/>
                <w:u w:color="000000"/>
              </w:rPr>
            </w:pPr>
            <w:r>
              <w:rPr>
                <w:rFonts w:hint="eastAsia" w:ascii="宋体" w:hAnsi="宋体"/>
                <w:kern w:val="0"/>
                <w:u w:color="000000"/>
              </w:rPr>
              <w:t>营业室现场杂乱。</w:t>
            </w:r>
          </w:p>
        </w:tc>
        <w:tc>
          <w:tcPr>
            <w:tcW w:w="4538" w:type="dxa"/>
            <w:vAlign w:val="center"/>
          </w:tcPr>
          <w:p w14:paraId="799D17D6">
            <w:pPr>
              <w:widowControl/>
              <w:tabs>
                <w:tab w:val="left" w:pos="6120"/>
              </w:tabs>
              <w:adjustRightInd w:val="0"/>
              <w:spacing w:before="31" w:beforeLines="10" w:after="31" w:afterLines="10" w:line="320" w:lineRule="exact"/>
              <w:jc w:val="center"/>
              <w:textAlignment w:val="baseline"/>
              <w:rPr>
                <w:rFonts w:hint="eastAsia" w:ascii="宋体" w:hAnsi="宋体"/>
                <w:kern w:val="0"/>
                <w:u w:color="000000"/>
              </w:rPr>
            </w:pPr>
            <w:r>
              <w:rPr>
                <w:rFonts w:hint="eastAsia" w:ascii="宋体" w:hAnsi="宋体"/>
                <w:kern w:val="0"/>
                <w:u w:color="000000"/>
              </w:rPr>
              <w:t>营业室现场应干净整洁。</w:t>
            </w:r>
          </w:p>
        </w:tc>
      </w:tr>
    </w:tbl>
    <w:p w14:paraId="4B6B0605">
      <w:pPr>
        <w:tabs>
          <w:tab w:val="left" w:pos="698"/>
        </w:tabs>
        <w:ind w:firstLine="560" w:firstLineChars="200"/>
        <w:jc w:val="left"/>
        <w:rPr>
          <w:rFonts w:hint="eastAsia" w:ascii="宋体"/>
          <w:kern w:val="0"/>
          <w:sz w:val="28"/>
          <w:szCs w:val="20"/>
        </w:rPr>
      </w:pPr>
      <w:r>
        <w:rPr>
          <w:rFonts w:hint="eastAsia" w:ascii="宋体"/>
          <w:kern w:val="0"/>
          <w:sz w:val="28"/>
          <w:szCs w:val="20"/>
        </w:rPr>
        <w:t>该加油站在安全管理、站址选择及总平面布置、加油工艺及设施、其它设施等方面符合有关法律、标准规范的要求。</w:t>
      </w:r>
    </w:p>
    <w:p w14:paraId="2E1108DB">
      <w:pPr>
        <w:pStyle w:val="2"/>
        <w:rPr>
          <w:rFonts w:hint="eastAsia" w:ascii="宋体"/>
          <w:kern w:val="0"/>
          <w:sz w:val="28"/>
          <w:szCs w:val="20"/>
        </w:rPr>
      </w:pPr>
    </w:p>
    <w:p w14:paraId="2C916B68">
      <w:pPr>
        <w:pStyle w:val="2"/>
        <w:rPr>
          <w:rFonts w:hint="eastAsia" w:ascii="宋体" w:eastAsiaTheme="minorEastAsia"/>
          <w:kern w:val="0"/>
          <w:sz w:val="28"/>
          <w:szCs w:val="20"/>
          <w:lang w:eastAsia="zh-CN"/>
        </w:rPr>
        <w:sectPr>
          <w:headerReference r:id="rId3" w:type="default"/>
          <w:pgSz w:w="11906" w:h="16838"/>
          <w:pgMar w:top="1418" w:right="1134" w:bottom="993" w:left="1588" w:header="850" w:footer="256" w:gutter="0"/>
          <w:cols w:space="720" w:num="1"/>
          <w:docGrid w:type="lines" w:linePitch="312" w:charSpace="0"/>
        </w:sectPr>
      </w:pPr>
      <w:bookmarkStart w:id="51" w:name="_GoBack"/>
      <w:r>
        <w:rPr>
          <w:rFonts w:hint="eastAsia" w:ascii="宋体" w:eastAsiaTheme="minorEastAsia"/>
          <w:kern w:val="0"/>
          <w:sz w:val="28"/>
          <w:szCs w:val="20"/>
          <w:lang w:eastAsia="zh-CN"/>
        </w:rPr>
        <w:drawing>
          <wp:inline distT="0" distB="0" distL="114300" distR="114300">
            <wp:extent cx="5823585" cy="4366260"/>
            <wp:effectExtent l="0" t="0" r="13335" b="7620"/>
            <wp:docPr id="13" name="图片 13" descr="f4ffa3aed0ed93a740122d9fc9c400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4ffa3aed0ed93a740122d9fc9c4003a"/>
                    <pic:cNvPicPr>
                      <a:picLocks noChangeAspect="1"/>
                    </pic:cNvPicPr>
                  </pic:nvPicPr>
                  <pic:blipFill>
                    <a:blip r:embed="rId5"/>
                    <a:stretch>
                      <a:fillRect/>
                    </a:stretch>
                  </pic:blipFill>
                  <pic:spPr>
                    <a:xfrm>
                      <a:off x="0" y="0"/>
                      <a:ext cx="5823585" cy="4366260"/>
                    </a:xfrm>
                    <a:prstGeom prst="rect">
                      <a:avLst/>
                    </a:prstGeom>
                  </pic:spPr>
                </pic:pic>
              </a:graphicData>
            </a:graphic>
          </wp:inline>
        </w:drawing>
      </w:r>
      <w:bookmarkEnd w:id="51"/>
      <w:r>
        <w:rPr>
          <w:rFonts w:hint="eastAsia" w:ascii="宋体" w:eastAsiaTheme="minorEastAsia"/>
          <w:kern w:val="0"/>
          <w:sz w:val="28"/>
          <w:szCs w:val="20"/>
          <w:lang w:eastAsia="zh-CN"/>
        </w:rPr>
        <w:drawing>
          <wp:inline distT="0" distB="0" distL="114300" distR="114300">
            <wp:extent cx="5823585" cy="4366260"/>
            <wp:effectExtent l="0" t="0" r="13335" b="7620"/>
            <wp:docPr id="14" name="图片 14" descr="d03c52f804cf5ad4c57e5fe01727d7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03c52f804cf5ad4c57e5fe01727d73c"/>
                    <pic:cNvPicPr>
                      <a:picLocks noChangeAspect="1"/>
                    </pic:cNvPicPr>
                  </pic:nvPicPr>
                  <pic:blipFill>
                    <a:blip r:embed="rId6"/>
                    <a:stretch>
                      <a:fillRect/>
                    </a:stretch>
                  </pic:blipFill>
                  <pic:spPr>
                    <a:xfrm>
                      <a:off x="0" y="0"/>
                      <a:ext cx="5823585" cy="4366260"/>
                    </a:xfrm>
                    <a:prstGeom prst="rect">
                      <a:avLst/>
                    </a:prstGeom>
                  </pic:spPr>
                </pic:pic>
              </a:graphicData>
            </a:graphic>
          </wp:inline>
        </w:drawing>
      </w:r>
    </w:p>
    <w:p w14:paraId="0C749936">
      <w:pPr>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4789805" cy="7270750"/>
            <wp:effectExtent l="0" t="0" r="10795" b="13970"/>
            <wp:docPr id="7" name="图片 7" descr="897e615700663c73c0519fdd7175f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97e615700663c73c0519fdd7175f839"/>
                    <pic:cNvPicPr>
                      <a:picLocks noChangeAspect="1"/>
                    </pic:cNvPicPr>
                  </pic:nvPicPr>
                  <pic:blipFill>
                    <a:blip r:embed="rId7"/>
                    <a:srcRect l="2490" t="10595" r="1702" b="7602"/>
                    <a:stretch>
                      <a:fillRect/>
                    </a:stretch>
                  </pic:blipFill>
                  <pic:spPr>
                    <a:xfrm>
                      <a:off x="0" y="0"/>
                      <a:ext cx="4789805" cy="727075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7376160"/>
            <wp:effectExtent l="0" t="0" r="3175" b="0"/>
            <wp:docPr id="8" name="图片 8" descr="18acb895c5b5499f051b5fbe9f1070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8acb895c5b5499f051b5fbe9f1070e4"/>
                    <pic:cNvPicPr>
                      <a:picLocks noChangeAspect="1"/>
                    </pic:cNvPicPr>
                  </pic:nvPicPr>
                  <pic:blipFill>
                    <a:blip r:embed="rId8"/>
                    <a:srcRect t="11398" b="5542"/>
                    <a:stretch>
                      <a:fillRect/>
                    </a:stretch>
                  </pic:blipFill>
                  <pic:spPr>
                    <a:xfrm>
                      <a:off x="0" y="0"/>
                      <a:ext cx="4995545" cy="737616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848860" cy="7237730"/>
            <wp:effectExtent l="0" t="0" r="12700" b="1270"/>
            <wp:docPr id="9" name="图片 9" descr="c3c61042e783cf22a3946ca8d49e23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3c61042e783cf22a3946ca8d49e23c1"/>
                    <pic:cNvPicPr>
                      <a:picLocks noChangeAspect="1"/>
                    </pic:cNvPicPr>
                  </pic:nvPicPr>
                  <pic:blipFill>
                    <a:blip r:embed="rId9"/>
                    <a:srcRect t="13221" r="2936" b="5277"/>
                    <a:stretch>
                      <a:fillRect/>
                    </a:stretch>
                  </pic:blipFill>
                  <pic:spPr>
                    <a:xfrm>
                      <a:off x="0" y="0"/>
                      <a:ext cx="4848860" cy="723773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9355" cy="7689850"/>
            <wp:effectExtent l="0" t="0" r="14605" b="6350"/>
            <wp:docPr id="10" name="图片 10" descr="86d1391e45628a8e6bd365aa9fe9f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6d1391e45628a8e6bd365aa9fe9f113"/>
                    <pic:cNvPicPr>
                      <a:picLocks noChangeAspect="1"/>
                    </pic:cNvPicPr>
                  </pic:nvPicPr>
                  <pic:blipFill>
                    <a:blip r:embed="rId10"/>
                    <a:srcRect t="11431" b="2050"/>
                    <a:stretch>
                      <a:fillRect/>
                    </a:stretch>
                  </pic:blipFill>
                  <pic:spPr>
                    <a:xfrm>
                      <a:off x="0" y="0"/>
                      <a:ext cx="4999355" cy="768985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866005" cy="7069455"/>
            <wp:effectExtent l="0" t="0" r="10795" b="1905"/>
            <wp:docPr id="11" name="图片 11" descr="548db0d38dee95daaa04d3dc34ec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48db0d38dee95daaa04d3dc34ec1198"/>
                    <pic:cNvPicPr>
                      <a:picLocks noChangeAspect="1"/>
                    </pic:cNvPicPr>
                  </pic:nvPicPr>
                  <pic:blipFill>
                    <a:blip r:embed="rId11"/>
                    <a:srcRect t="11934" r="2593" b="8459"/>
                    <a:stretch>
                      <a:fillRect/>
                    </a:stretch>
                  </pic:blipFill>
                  <pic:spPr>
                    <a:xfrm>
                      <a:off x="0" y="0"/>
                      <a:ext cx="4866005" cy="706945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4995545" cy="7268845"/>
            <wp:effectExtent l="0" t="0" r="3175" b="635"/>
            <wp:docPr id="12" name="图片 12" descr="79cf195ad64b33a1a7bdc3a722937b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9cf195ad64b33a1a7bdc3a722937b78"/>
                    <pic:cNvPicPr>
                      <a:picLocks noChangeAspect="1"/>
                    </pic:cNvPicPr>
                  </pic:nvPicPr>
                  <pic:blipFill>
                    <a:blip r:embed="rId12"/>
                    <a:srcRect t="12092" b="6056"/>
                    <a:stretch>
                      <a:fillRect/>
                    </a:stretch>
                  </pic:blipFill>
                  <pic:spPr>
                    <a:xfrm>
                      <a:off x="0" y="0"/>
                      <a:ext cx="4995545" cy="7268845"/>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B1DD5">
    <w:pPr>
      <w:pStyle w:val="7"/>
      <w:pBdr>
        <w:bottom w:val="single" w:color="auto" w:sz="6" w:space="0"/>
      </w:pBdr>
      <w:jc w:val="distribute"/>
      <w:rPr>
        <w:rFonts w:hint="eastAsia" w:ascii="宋体" w:hAnsi="宋体"/>
      </w:rPr>
    </w:pPr>
    <w:r>
      <w:rPr>
        <w:rFonts w:hint="eastAsia" w:ascii="宋体" w:hAnsi="宋体"/>
      </w:rPr>
      <w:t>京博新能源(肥城)有限公司第八十一加油站                          经营危险化学品安全评价报告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89D7F6D"/>
    <w:rsid w:val="09D5345C"/>
    <w:rsid w:val="0A1C5EDC"/>
    <w:rsid w:val="0A27015B"/>
    <w:rsid w:val="0A5D5908"/>
    <w:rsid w:val="0BD51C61"/>
    <w:rsid w:val="0EDC1223"/>
    <w:rsid w:val="12386C7D"/>
    <w:rsid w:val="13D12EE6"/>
    <w:rsid w:val="141A7924"/>
    <w:rsid w:val="153C4810"/>
    <w:rsid w:val="160D5A33"/>
    <w:rsid w:val="16BC1C2B"/>
    <w:rsid w:val="1C4A2E55"/>
    <w:rsid w:val="1DE92E23"/>
    <w:rsid w:val="1E1E483E"/>
    <w:rsid w:val="1F250DF2"/>
    <w:rsid w:val="1F5B398D"/>
    <w:rsid w:val="1FF73CD4"/>
    <w:rsid w:val="22CB7136"/>
    <w:rsid w:val="284F788D"/>
    <w:rsid w:val="2A9D36CA"/>
    <w:rsid w:val="2CBC252D"/>
    <w:rsid w:val="2E5E68CC"/>
    <w:rsid w:val="2EC41433"/>
    <w:rsid w:val="2F917EEC"/>
    <w:rsid w:val="31297B3A"/>
    <w:rsid w:val="355F439E"/>
    <w:rsid w:val="35CC29B8"/>
    <w:rsid w:val="361E3E5D"/>
    <w:rsid w:val="366F5943"/>
    <w:rsid w:val="37A6654A"/>
    <w:rsid w:val="386A7D3B"/>
    <w:rsid w:val="388E23D2"/>
    <w:rsid w:val="38B36882"/>
    <w:rsid w:val="3BB85D78"/>
    <w:rsid w:val="3C176B62"/>
    <w:rsid w:val="420C1409"/>
    <w:rsid w:val="43CB4C37"/>
    <w:rsid w:val="4706325F"/>
    <w:rsid w:val="47290367"/>
    <w:rsid w:val="48FE4AE5"/>
    <w:rsid w:val="4AF84103"/>
    <w:rsid w:val="4ECC7680"/>
    <w:rsid w:val="4F5D6EDB"/>
    <w:rsid w:val="537F016A"/>
    <w:rsid w:val="563D798B"/>
    <w:rsid w:val="567C6788"/>
    <w:rsid w:val="579A241E"/>
    <w:rsid w:val="57BD6D10"/>
    <w:rsid w:val="58840D76"/>
    <w:rsid w:val="5C8B1D2D"/>
    <w:rsid w:val="5D511379"/>
    <w:rsid w:val="60FB542C"/>
    <w:rsid w:val="61B336CF"/>
    <w:rsid w:val="636808F8"/>
    <w:rsid w:val="64FD4259"/>
    <w:rsid w:val="69194288"/>
    <w:rsid w:val="6A640607"/>
    <w:rsid w:val="6AD40467"/>
    <w:rsid w:val="6B3179BA"/>
    <w:rsid w:val="6BF95CAB"/>
    <w:rsid w:val="6C4D48B3"/>
    <w:rsid w:val="6D0669CA"/>
    <w:rsid w:val="6FDF53A7"/>
    <w:rsid w:val="717A11AE"/>
    <w:rsid w:val="71FA5E13"/>
    <w:rsid w:val="72FD2CFB"/>
    <w:rsid w:val="74AE7C8C"/>
    <w:rsid w:val="76511CAD"/>
    <w:rsid w:val="769C7074"/>
    <w:rsid w:val="7772596D"/>
    <w:rsid w:val="788E5851"/>
    <w:rsid w:val="7AB02F22"/>
    <w:rsid w:val="7B7179AA"/>
    <w:rsid w:val="7C9C2DAE"/>
    <w:rsid w:val="7DCC38D1"/>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5"/>
    <w:next w:val="1"/>
    <w:qFormat/>
    <w:uiPriority w:val="0"/>
    <w:pPr>
      <w:ind w:firstLine="420" w:firstLineChars="100"/>
    </w:pPr>
    <w:rPr>
      <w:b/>
      <w:u w:val="single"/>
    </w:rPr>
  </w:style>
  <w:style w:type="character" w:styleId="12">
    <w:name w:val="annotation reference"/>
    <w:qFormat/>
    <w:uiPriority w:val="99"/>
    <w:rPr>
      <w:sz w:val="21"/>
      <w:szCs w:val="21"/>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111"/>
    <w:basedOn w:val="15"/>
    <w:qFormat/>
    <w:uiPriority w:val="0"/>
    <w:pPr>
      <w:widowControl/>
      <w:spacing w:beforeAutospacing="0" w:afterAutospacing="0"/>
      <w:jc w:val="left"/>
    </w:pPr>
    <w:rPr>
      <w:rFonts w:ascii="宋体" w:hAnsi="宋体" w:eastAsia="宋体" w:cs="宋体"/>
      <w:kern w:val="0"/>
      <w:sz w:val="24"/>
      <w:szCs w:val="24"/>
    </w:rPr>
  </w:style>
  <w:style w:type="paragraph" w:customStyle="1" w:styleId="15">
    <w:name w:val="题目"/>
    <w:basedOn w:val="1"/>
    <w:qFormat/>
    <w:uiPriority w:val="0"/>
    <w:pPr>
      <w:jc w:val="center"/>
      <w:outlineLvl w:val="0"/>
    </w:pPr>
    <w:rPr>
      <w:rFonts w:ascii="黑体" w:hAnsi="黑体" w:eastAsia="黑体"/>
      <w:sz w:val="32"/>
      <w:szCs w:val="32"/>
    </w:r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9">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20">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1">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2">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3">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4">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5">
    <w:name w:val="5表格内容"/>
    <w:basedOn w:val="26"/>
    <w:qFormat/>
    <w:uiPriority w:val="0"/>
    <w:pPr>
      <w:spacing w:beforeLines="0" w:line="300" w:lineRule="exact"/>
    </w:pPr>
    <w:rPr>
      <w:rFonts w:eastAsia="宋体"/>
      <w:color w:val="auto"/>
      <w:sz w:val="21"/>
      <w:szCs w:val="21"/>
    </w:rPr>
  </w:style>
  <w:style w:type="paragraph" w:customStyle="1" w:styleId="26">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2731</Words>
  <Characters>3032</Characters>
  <Lines>0</Lines>
  <Paragraphs>0</Paragraphs>
  <TotalTime>0</TotalTime>
  <ScaleCrop>false</ScaleCrop>
  <LinksUpToDate>false</LinksUpToDate>
  <CharactersWithSpaces>3048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2026-01-17T03:16:42Z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158E41C4130D45F7BB2A42425FB8946B_11</vt:lpwstr>
  </property>
  <property fmtid="{D5CDD505-2E9C-101B-9397-08002B2CF9AE}" pid="4" name="KSOTemplateDocerSaveRecord">
    <vt:lpwstr>eyJoZGlkIjoiMDljOTcxNjNhZDBjMjhkNDI1NDUxNmZjNjcwNDIwYjMiLCJ1c2VySWQiOiI0NDUyNjk3NzEifQ==</vt:lpwstr>
  </property>
</Properties>
</file>