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4"/>
        <w:gridCol w:w="2214"/>
        <w:gridCol w:w="2378"/>
        <w:gridCol w:w="2953"/>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肥城石横交运通能源有限公司经营危险化学品现状评价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w:t>
            </w:r>
            <w:r>
              <w:rPr>
                <w:rFonts w:hint="eastAsia"/>
                <w:color w:val="auto"/>
              </w:rPr>
              <w:t>4台，均为25m</w:t>
            </w:r>
            <w:r>
              <w:rPr>
                <w:rFonts w:hint="eastAsia"/>
                <w:color w:val="auto"/>
                <w:vertAlign w:val="superscript"/>
              </w:rPr>
              <w:t>3</w:t>
            </w:r>
            <w:r>
              <w:rPr>
                <w:rFonts w:hint="eastAsia"/>
                <w:color w:val="auto"/>
              </w:rPr>
              <w:t>：2台92#汽油罐、1台95#汽油罐、1台柴油罐（停用），1台油气回收处理装置</w:t>
            </w:r>
            <w:r>
              <w:rPr>
                <w:rFonts w:hint="eastAsia"/>
                <w:color w:val="auto"/>
                <w:lang w:eastAsia="zh-CN"/>
              </w:rPr>
              <w:t>。</w:t>
            </w:r>
            <w:r>
              <w:rPr>
                <w:rFonts w:hint="eastAsia"/>
                <w:color w:val="auto"/>
                <w:lang w:val="en-US" w:eastAsia="zh-CN"/>
              </w:rPr>
              <w:t>加油站</w:t>
            </w:r>
            <w:r>
              <w:rPr>
                <w:color w:val="auto"/>
                <w:highlight w:val="none"/>
              </w:rPr>
              <w:t>设置罩棚一处，</w:t>
            </w:r>
            <w:r>
              <w:rPr>
                <w:rFonts w:hint="eastAsia"/>
                <w:color w:val="auto"/>
              </w:rPr>
              <w:t>罩棚下共设置2台双枪加油机</w:t>
            </w:r>
            <w:r>
              <w:rPr>
                <w:rFonts w:hint="eastAsia" w:ascii="宋体" w:hAnsi="宋体" w:cs="宋体"/>
                <w:bCs/>
                <w:color w:val="auto"/>
              </w:rPr>
              <w:t>：1台92#汽油/柴油加油机（柴油加油</w:t>
            </w:r>
            <w:r>
              <w:rPr>
                <w:rFonts w:hint="eastAsia" w:ascii="宋体" w:hAnsi="宋体" w:cs="宋体"/>
                <w:bCs/>
                <w:color w:val="auto"/>
                <w:lang w:val="en-US" w:eastAsia="zh-CN"/>
              </w:rPr>
              <w:t>枪</w:t>
            </w:r>
            <w:r>
              <w:rPr>
                <w:rFonts w:hint="eastAsia" w:ascii="宋体" w:hAnsi="宋体" w:cs="宋体"/>
                <w:bCs/>
                <w:color w:val="auto"/>
              </w:rPr>
              <w:t>停用），1台92#/95#汽油加油机</w:t>
            </w:r>
            <w:r>
              <w:rPr>
                <w:rFonts w:hint="eastAsia" w:ascii="宋体" w:hAnsi="宋体" w:cs="宋体"/>
                <w:bCs/>
                <w:color w:val="auto"/>
                <w:highlight w:val="none"/>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2026.3.2</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2026.3.7</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2026.3.10</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2026.3.11</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安全评价报告提交时间：2026.3.16</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08F29DD4">
      <w:pPr>
        <w:pStyle w:val="18"/>
        <w:widowControl w:val="0"/>
        <w:adjustRightInd w:val="0"/>
        <w:snapToGrid w:val="0"/>
        <w:spacing w:before="0" w:beforeLines="0" w:after="0" w:afterLines="0" w:line="360" w:lineRule="auto"/>
        <w:rPr>
          <w:color w:val="auto"/>
        </w:rPr>
      </w:pPr>
      <w:bookmarkStart w:id="0" w:name="_Toc15033742"/>
      <w:bookmarkStart w:id="1" w:name="_Toc102633895"/>
      <w:bookmarkStart w:id="2" w:name="_Toc102633969"/>
      <w:bookmarkStart w:id="3" w:name="_Toc102634226"/>
      <w:bookmarkStart w:id="4" w:name="_Toc19744"/>
      <w:r>
        <w:rPr>
          <w:color w:val="auto"/>
        </w:rPr>
        <w:t>第二章 加油站概况</w:t>
      </w:r>
      <w:bookmarkEnd w:id="0"/>
      <w:bookmarkEnd w:id="1"/>
      <w:bookmarkEnd w:id="2"/>
      <w:bookmarkEnd w:id="3"/>
      <w:bookmarkEnd w:id="4"/>
    </w:p>
    <w:p w14:paraId="5E9D7CC5">
      <w:pPr>
        <w:snapToGrid w:val="0"/>
        <w:spacing w:line="360" w:lineRule="auto"/>
        <w:jc w:val="center"/>
        <w:outlineLvl w:val="1"/>
        <w:rPr>
          <w:rFonts w:ascii="Calibri" w:hAnsi="Calibri" w:eastAsia="楷体_GB2312"/>
          <w:b/>
          <w:color w:val="auto"/>
          <w:kern w:val="0"/>
          <w:sz w:val="32"/>
          <w:szCs w:val="20"/>
        </w:rPr>
      </w:pPr>
      <w:bookmarkStart w:id="5" w:name="_Toc102633970"/>
      <w:bookmarkStart w:id="6" w:name="_Toc102633896"/>
      <w:bookmarkStart w:id="7" w:name="_Toc208733856"/>
      <w:bookmarkStart w:id="8" w:name="_Toc26504"/>
      <w:bookmarkStart w:id="9" w:name="_Toc102634227"/>
      <w:bookmarkStart w:id="10" w:name="_Toc30066"/>
      <w:bookmarkStart w:id="11" w:name="_Toc4524"/>
      <w:bookmarkStart w:id="12" w:name="_Toc272364524"/>
      <w:bookmarkStart w:id="13" w:name="_Toc15033743"/>
      <w:r>
        <w:rPr>
          <w:rFonts w:ascii="Calibri" w:hAnsi="Calibri" w:eastAsia="楷体_GB2312"/>
          <w:b/>
          <w:color w:val="auto"/>
          <w:kern w:val="0"/>
          <w:sz w:val="32"/>
          <w:szCs w:val="20"/>
        </w:rPr>
        <w:t>第一节 加油站基本情况</w:t>
      </w:r>
      <w:bookmarkEnd w:id="5"/>
      <w:bookmarkEnd w:id="6"/>
      <w:bookmarkEnd w:id="7"/>
      <w:bookmarkEnd w:id="8"/>
      <w:bookmarkEnd w:id="9"/>
      <w:bookmarkEnd w:id="10"/>
      <w:bookmarkEnd w:id="11"/>
      <w:bookmarkEnd w:id="12"/>
      <w:bookmarkEnd w:id="13"/>
    </w:p>
    <w:p w14:paraId="5AC87897">
      <w:pPr>
        <w:adjustRightInd w:val="0"/>
        <w:snapToGrid w:val="0"/>
        <w:spacing w:line="360" w:lineRule="auto"/>
        <w:ind w:firstLine="560" w:firstLineChars="200"/>
        <w:rPr>
          <w:rFonts w:ascii="宋体"/>
          <w:color w:val="auto"/>
          <w:kern w:val="0"/>
          <w:sz w:val="28"/>
          <w:szCs w:val="28"/>
        </w:rPr>
      </w:pPr>
      <w:r>
        <w:rPr>
          <w:rFonts w:hint="eastAsia" w:ascii="宋体" w:hAnsi="宋体"/>
          <w:color w:val="auto"/>
          <w:kern w:val="0"/>
          <w:sz w:val="28"/>
          <w:szCs w:val="28"/>
        </w:rPr>
        <w:t>肥城石横交运通能源有限公司</w:t>
      </w:r>
      <w:r>
        <w:rPr>
          <w:rFonts w:hint="eastAsia" w:ascii="宋体" w:hAnsi="宋体"/>
          <w:color w:val="auto"/>
          <w:sz w:val="28"/>
          <w:szCs w:val="28"/>
        </w:rPr>
        <w:t>（原名山东泰安交通运输集团有限公司肥城公司第三加油站）</w:t>
      </w:r>
      <w:r>
        <w:rPr>
          <w:rFonts w:hint="eastAsia" w:ascii="宋体" w:hAnsi="宋体"/>
          <w:color w:val="auto"/>
          <w:kern w:val="0"/>
          <w:sz w:val="28"/>
          <w:szCs w:val="28"/>
        </w:rPr>
        <w:t>位于山东省泰安市肥城市石横镇中高余村100米矿区路北侧</w:t>
      </w:r>
      <w:r>
        <w:rPr>
          <w:rFonts w:hint="eastAsia" w:ascii="宋体" w:hAnsi="宋体" w:cs="宋体"/>
          <w:color w:val="auto"/>
          <w:kern w:val="0"/>
          <w:sz w:val="28"/>
          <w:szCs w:val="28"/>
        </w:rPr>
        <w:t>。</w:t>
      </w:r>
      <w:r>
        <w:rPr>
          <w:rFonts w:hint="eastAsia" w:ascii="宋体" w:hAnsi="宋体" w:cs="宋体"/>
          <w:color w:val="auto"/>
          <w:sz w:val="28"/>
        </w:rPr>
        <w:t>加油站北侧是民房、架空电力线，西侧是</w:t>
      </w:r>
      <w:r>
        <w:rPr>
          <w:rFonts w:hint="eastAsia" w:ascii="宋体" w:hAnsi="宋体" w:cs="宋体"/>
          <w:color w:val="auto"/>
          <w:sz w:val="28"/>
          <w:lang w:val="en-US" w:eastAsia="zh-CN"/>
        </w:rPr>
        <w:t>民房</w:t>
      </w:r>
      <w:r>
        <w:rPr>
          <w:rFonts w:hint="eastAsia" w:ascii="宋体" w:hAnsi="宋体" w:cs="宋体"/>
          <w:color w:val="auto"/>
          <w:sz w:val="28"/>
        </w:rPr>
        <w:t>，</w:t>
      </w:r>
      <w:r>
        <w:rPr>
          <w:rFonts w:hint="eastAsia" w:ascii="宋体" w:hAnsi="宋体" w:cs="宋体"/>
          <w:color w:val="auto"/>
          <w:sz w:val="28"/>
          <w:lang w:val="en-US" w:eastAsia="zh-CN"/>
        </w:rPr>
        <w:t>西南侧是沿街楼，</w:t>
      </w:r>
      <w:r>
        <w:rPr>
          <w:rFonts w:hint="eastAsia" w:ascii="宋体" w:hAnsi="宋体" w:cs="宋体"/>
          <w:color w:val="auto"/>
          <w:sz w:val="28"/>
        </w:rPr>
        <w:t>东南侧是钢厂路、架空电力线、架空通信线，东北侧是沿街楼（饭店）</w:t>
      </w:r>
      <w:r>
        <w:rPr>
          <w:rFonts w:hint="eastAsia" w:ascii="宋体" w:hAnsi="宋体" w:cs="宋体"/>
          <w:color w:val="auto"/>
          <w:sz w:val="28"/>
          <w:szCs w:val="28"/>
        </w:rPr>
        <w:t>。</w:t>
      </w:r>
      <w:r>
        <w:rPr>
          <w:rFonts w:hint="eastAsia" w:ascii="宋体" w:hAnsi="宋体"/>
          <w:color w:val="auto"/>
          <w:kern w:val="0"/>
          <w:sz w:val="28"/>
          <w:szCs w:val="28"/>
        </w:rPr>
        <w:t>该站经营许可范围为汽油、柴油，现其主要经营储存汽油、柴油（暂未储存）</w:t>
      </w:r>
      <w:r>
        <w:rPr>
          <w:rFonts w:hint="eastAsia" w:ascii="宋体" w:hAnsi="宋体"/>
          <w:snapToGrid w:val="0"/>
          <w:color w:val="auto"/>
          <w:kern w:val="0"/>
          <w:sz w:val="28"/>
          <w:szCs w:val="28"/>
        </w:rPr>
        <w:t>。</w:t>
      </w:r>
      <w:r>
        <w:rPr>
          <w:rFonts w:hint="eastAsia" w:ascii="宋体" w:hAnsi="宋体"/>
          <w:color w:val="auto"/>
          <w:kern w:val="0"/>
          <w:sz w:val="28"/>
          <w:szCs w:val="28"/>
        </w:rPr>
        <w:t>此次现状评价报告与上次报告相比，周边环境、站内设备设施、主要建构筑物未发生变化。</w:t>
      </w:r>
    </w:p>
    <w:p w14:paraId="57C72FB1">
      <w:pPr>
        <w:pStyle w:val="17"/>
        <w:widowControl w:val="0"/>
        <w:adjustRightInd w:val="0"/>
        <w:snapToGrid w:val="0"/>
        <w:spacing w:line="360" w:lineRule="auto"/>
        <w:ind w:firstLine="560"/>
        <w:rPr>
          <w:rFonts w:ascii="宋体" w:hAnsi="宋体"/>
          <w:color w:val="auto"/>
          <w:szCs w:val="28"/>
        </w:rPr>
      </w:pPr>
      <w:r>
        <w:rPr>
          <w:rFonts w:hint="eastAsia" w:ascii="宋体" w:hAnsi="宋体"/>
          <w:color w:val="auto"/>
          <w:szCs w:val="28"/>
        </w:rPr>
        <w:t>该加油站主要建有站房、罩棚、油罐区、加油区等。</w:t>
      </w:r>
    </w:p>
    <w:p w14:paraId="0F7D764A">
      <w:pPr>
        <w:pStyle w:val="17"/>
        <w:widowControl w:val="0"/>
        <w:adjustRightInd w:val="0"/>
        <w:snapToGrid w:val="0"/>
        <w:spacing w:line="360" w:lineRule="auto"/>
        <w:ind w:firstLine="560"/>
        <w:rPr>
          <w:rFonts w:asciiTheme="minorEastAsia" w:hAnsiTheme="minorEastAsia" w:eastAsiaTheme="minorEastAsia" w:cstheme="minorEastAsia"/>
          <w:snapToGrid w:val="0"/>
          <w:color w:val="auto"/>
          <w:vertAlign w:val="superscript"/>
        </w:rPr>
      </w:pPr>
      <w:r>
        <w:rPr>
          <w:rFonts w:hint="eastAsia" w:asciiTheme="minorEastAsia" w:hAnsiTheme="minorEastAsia" w:eastAsiaTheme="minorEastAsia" w:cstheme="minorEastAsia"/>
          <w:snapToGrid w:val="0"/>
          <w:color w:val="auto"/>
          <w:szCs w:val="28"/>
        </w:rPr>
        <w:t>加油区位于站房西南侧，</w:t>
      </w:r>
      <w:r>
        <w:rPr>
          <w:rFonts w:hint="eastAsia" w:asciiTheme="minorEastAsia" w:hAnsiTheme="minorEastAsia" w:eastAsiaTheme="minorEastAsia" w:cstheme="minorEastAsia"/>
          <w:snapToGrid w:val="0"/>
          <w:color w:val="auto"/>
        </w:rPr>
        <w:t>现有2台双枪加油机</w:t>
      </w:r>
      <w:r>
        <w:rPr>
          <w:rFonts w:hint="eastAsia" w:asciiTheme="minorEastAsia" w:hAnsiTheme="minorEastAsia" w:eastAsiaTheme="minorEastAsia" w:cstheme="minorEastAsia"/>
          <w:bCs/>
          <w:snapToGrid w:val="0"/>
          <w:color w:val="auto"/>
        </w:rPr>
        <w:t>：</w:t>
      </w:r>
      <w:r>
        <w:rPr>
          <w:rFonts w:hint="eastAsia" w:ascii="宋体" w:hAnsi="宋体" w:cs="宋体"/>
          <w:bCs/>
          <w:color w:val="auto"/>
        </w:rPr>
        <w:t>1台92#汽油/柴油加油机（柴油加油</w:t>
      </w:r>
      <w:r>
        <w:rPr>
          <w:rFonts w:hint="eastAsia" w:ascii="宋体" w:hAnsi="宋体" w:cs="宋体"/>
          <w:bCs/>
          <w:color w:val="auto"/>
          <w:lang w:val="en-US" w:eastAsia="zh-CN"/>
        </w:rPr>
        <w:t>枪</w:t>
      </w:r>
      <w:r>
        <w:rPr>
          <w:rFonts w:hint="eastAsia" w:ascii="宋体" w:hAnsi="宋体" w:cs="宋体"/>
          <w:bCs/>
          <w:color w:val="auto"/>
        </w:rPr>
        <w:t>停用），1台92#/95#汽油加油机</w:t>
      </w:r>
      <w:r>
        <w:rPr>
          <w:rFonts w:hint="eastAsia" w:asciiTheme="minorEastAsia" w:hAnsiTheme="minorEastAsia" w:eastAsiaTheme="minorEastAsia" w:cstheme="minorEastAsia"/>
          <w:snapToGrid w:val="0"/>
          <w:color w:val="auto"/>
        </w:rPr>
        <w:t>；</w:t>
      </w:r>
      <w:r>
        <w:rPr>
          <w:rFonts w:hint="eastAsia" w:asciiTheme="minorEastAsia" w:hAnsiTheme="minorEastAsia" w:eastAsiaTheme="minorEastAsia" w:cstheme="minorEastAsia"/>
          <w:snapToGrid w:val="0"/>
          <w:color w:val="auto"/>
          <w:szCs w:val="28"/>
        </w:rPr>
        <w:t>油罐区位于站房西侧，设</w:t>
      </w:r>
      <w:r>
        <w:rPr>
          <w:rFonts w:hint="eastAsia" w:asciiTheme="minorEastAsia" w:hAnsiTheme="minorEastAsia" w:eastAsiaTheme="minorEastAsia" w:cstheme="minorEastAsia"/>
          <w:snapToGrid w:val="0"/>
          <w:color w:val="auto"/>
        </w:rPr>
        <w:t>25m</w:t>
      </w:r>
      <w:r>
        <w:rPr>
          <w:rFonts w:hint="eastAsia" w:asciiTheme="minorEastAsia" w:hAnsiTheme="minorEastAsia" w:eastAsiaTheme="minorEastAsia" w:cstheme="minorEastAsia"/>
          <w:snapToGrid w:val="0"/>
          <w:color w:val="auto"/>
          <w:vertAlign w:val="superscript"/>
        </w:rPr>
        <w:t>3</w:t>
      </w:r>
      <w:r>
        <w:rPr>
          <w:rFonts w:hint="eastAsia" w:asciiTheme="minorEastAsia" w:hAnsiTheme="minorEastAsia" w:eastAsiaTheme="minorEastAsia" w:cstheme="minorEastAsia"/>
          <w:snapToGrid w:val="0"/>
          <w:color w:val="auto"/>
        </w:rPr>
        <w:t>双层储罐4台：2台92#汽油罐、1台95#汽油罐、1台柴油罐（停用），卸油口位于油罐区东侧；</w:t>
      </w:r>
      <w:r>
        <w:rPr>
          <w:rFonts w:hint="eastAsia" w:asciiTheme="minorEastAsia" w:hAnsiTheme="minorEastAsia" w:eastAsiaTheme="minorEastAsia" w:cstheme="minorEastAsia"/>
          <w:snapToGrid w:val="0"/>
          <w:color w:val="auto"/>
          <w:szCs w:val="28"/>
        </w:rPr>
        <w:t>4台油罐均安装了液位仪、油罐检漏仪，</w:t>
      </w:r>
      <w:r>
        <w:rPr>
          <w:rFonts w:hint="eastAsia" w:asciiTheme="minorEastAsia" w:hAnsiTheme="minorEastAsia" w:eastAsiaTheme="minorEastAsia" w:cstheme="minorEastAsia"/>
          <w:snapToGrid w:val="0"/>
          <w:color w:val="auto"/>
        </w:rPr>
        <w:t>通气管4根位于油罐区内西侧（含油气回收处理装置1根）；油气回收处理装置位于通气管东侧；加油区西南侧设厕所，站房北侧设危废间；该站汽油设有卸油油气回收系统、加油油气回收系统及油气回收处理系统；按《汽车加油加气加氢站技术标准》GB50156-2021标准规定：V=25×3=75m</w:t>
      </w:r>
      <w:r>
        <w:rPr>
          <w:rFonts w:hint="eastAsia" w:asciiTheme="minorEastAsia" w:hAnsiTheme="minorEastAsia" w:eastAsiaTheme="minorEastAsia" w:cstheme="minorEastAsia"/>
          <w:snapToGrid w:val="0"/>
          <w:color w:val="auto"/>
          <w:sz w:val="28"/>
          <w:vertAlign w:val="superscript"/>
        </w:rPr>
        <w:t>3</w:t>
      </w:r>
      <w:r>
        <w:rPr>
          <w:rFonts w:hint="eastAsia" w:asciiTheme="minorEastAsia" w:hAnsiTheme="minorEastAsia" w:eastAsiaTheme="minorEastAsia" w:cstheme="minorEastAsia"/>
          <w:snapToGrid w:val="0"/>
          <w:color w:val="auto"/>
        </w:rPr>
        <w:t>，该站属三级加油站。</w:t>
      </w:r>
    </w:p>
    <w:p w14:paraId="5B2FB851">
      <w:pPr>
        <w:pStyle w:val="19"/>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3134"/>
        <w:gridCol w:w="3141"/>
      </w:tblGrid>
      <w:tr w14:paraId="2BF62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50BEE78C">
            <w:pPr>
              <w:pStyle w:val="20"/>
              <w:widowControl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46C5C3D2">
            <w:pPr>
              <w:pStyle w:val="20"/>
              <w:widowControl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67D84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1C4CF768">
            <w:pPr>
              <w:pStyle w:val="20"/>
              <w:widowControl w:val="0"/>
              <w:spacing w:line="360" w:lineRule="auto"/>
              <w:rPr>
                <w:rFonts w:ascii="宋体" w:hAnsi="宋体"/>
                <w:b/>
                <w:bCs/>
                <w:color w:val="auto"/>
              </w:rPr>
            </w:pPr>
          </w:p>
        </w:tc>
        <w:tc>
          <w:tcPr>
            <w:tcW w:w="1667" w:type="pct"/>
            <w:vAlign w:val="center"/>
          </w:tcPr>
          <w:p w14:paraId="4FBC0D3F">
            <w:pPr>
              <w:pStyle w:val="20"/>
              <w:widowControl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7C551A20">
            <w:pPr>
              <w:pStyle w:val="20"/>
              <w:widowControl w:val="0"/>
              <w:spacing w:line="360" w:lineRule="auto"/>
              <w:rPr>
                <w:rFonts w:ascii="宋体" w:hAnsi="宋体"/>
                <w:b/>
                <w:bCs/>
                <w:color w:val="auto"/>
              </w:rPr>
            </w:pPr>
            <w:r>
              <w:rPr>
                <w:rFonts w:ascii="宋体" w:hAnsi="宋体"/>
                <w:b/>
                <w:bCs/>
                <w:color w:val="auto"/>
              </w:rPr>
              <w:t>单罐容积</w:t>
            </w:r>
          </w:p>
        </w:tc>
      </w:tr>
      <w:tr w14:paraId="3BF57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E58794B">
            <w:pPr>
              <w:pStyle w:val="20"/>
              <w:widowControl w:val="0"/>
              <w:spacing w:line="360" w:lineRule="auto"/>
              <w:rPr>
                <w:rFonts w:ascii="宋体" w:hAnsi="宋体"/>
                <w:color w:val="auto"/>
              </w:rPr>
            </w:pPr>
            <w:r>
              <w:rPr>
                <w:rFonts w:ascii="宋体" w:hAnsi="宋体"/>
                <w:color w:val="auto"/>
              </w:rPr>
              <w:t>一级</w:t>
            </w:r>
          </w:p>
        </w:tc>
        <w:tc>
          <w:tcPr>
            <w:tcW w:w="1667" w:type="pct"/>
            <w:vAlign w:val="center"/>
          </w:tcPr>
          <w:p w14:paraId="53322ABB">
            <w:pPr>
              <w:pStyle w:val="20"/>
              <w:widowControl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469E24C5">
            <w:pPr>
              <w:pStyle w:val="20"/>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691D1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52A6CAF6">
            <w:pPr>
              <w:pStyle w:val="20"/>
              <w:widowControl w:val="0"/>
              <w:spacing w:line="360" w:lineRule="auto"/>
              <w:rPr>
                <w:rFonts w:ascii="宋体" w:hAnsi="宋体"/>
                <w:color w:val="auto"/>
              </w:rPr>
            </w:pPr>
            <w:r>
              <w:rPr>
                <w:rFonts w:ascii="宋体" w:hAnsi="宋体"/>
                <w:color w:val="auto"/>
              </w:rPr>
              <w:t>二级</w:t>
            </w:r>
          </w:p>
        </w:tc>
        <w:tc>
          <w:tcPr>
            <w:tcW w:w="1667" w:type="pct"/>
            <w:vAlign w:val="center"/>
          </w:tcPr>
          <w:p w14:paraId="63C51C93">
            <w:pPr>
              <w:pStyle w:val="20"/>
              <w:widowControl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1BE6321C">
            <w:pPr>
              <w:pStyle w:val="20"/>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05BC5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BD13AC3">
            <w:pPr>
              <w:pStyle w:val="20"/>
              <w:widowControl w:val="0"/>
              <w:spacing w:line="360" w:lineRule="auto"/>
              <w:rPr>
                <w:rFonts w:ascii="宋体" w:hAnsi="宋体"/>
                <w:color w:val="auto"/>
              </w:rPr>
            </w:pPr>
            <w:r>
              <w:rPr>
                <w:rFonts w:ascii="宋体" w:hAnsi="宋体"/>
                <w:color w:val="auto"/>
              </w:rPr>
              <w:t>三级</w:t>
            </w:r>
          </w:p>
        </w:tc>
        <w:tc>
          <w:tcPr>
            <w:tcW w:w="1667" w:type="pct"/>
            <w:vAlign w:val="center"/>
          </w:tcPr>
          <w:p w14:paraId="44C81192">
            <w:pPr>
              <w:pStyle w:val="20"/>
              <w:widowControl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4A56F9DC">
            <w:pPr>
              <w:pStyle w:val="20"/>
              <w:widowControl w:val="0"/>
              <w:spacing w:line="360" w:lineRule="auto"/>
              <w:rPr>
                <w:rFonts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2523FF4C">
      <w:pPr>
        <w:pStyle w:val="21"/>
        <w:widowControl w:val="0"/>
        <w:spacing w:line="360" w:lineRule="auto"/>
        <w:ind w:firstLine="436"/>
        <w:rPr>
          <w:color w:val="auto"/>
        </w:rPr>
      </w:pPr>
      <w:r>
        <w:rPr>
          <w:color w:val="auto"/>
        </w:rPr>
        <w:t>注：</w:t>
      </w:r>
      <w:r>
        <w:rPr>
          <w:rFonts w:hint="eastAsia"/>
          <w:color w:val="auto"/>
        </w:rPr>
        <w:t>V为油罐总容积。</w:t>
      </w:r>
      <w:r>
        <w:rPr>
          <w:color w:val="auto"/>
        </w:rPr>
        <w:t>柴油罐容积可折半计入油罐总容积。</w:t>
      </w:r>
    </w:p>
    <w:p w14:paraId="7105BBA8">
      <w:pPr>
        <w:pStyle w:val="17"/>
        <w:widowControl w:val="0"/>
        <w:adjustRightInd w:val="0"/>
        <w:snapToGrid w:val="0"/>
        <w:spacing w:line="360" w:lineRule="auto"/>
        <w:ind w:firstLine="560"/>
        <w:rPr>
          <w:rFonts w:ascii="宋体"/>
          <w:color w:val="auto"/>
        </w:rPr>
      </w:pPr>
      <w:r>
        <w:rPr>
          <w:rFonts w:ascii="宋体"/>
          <w:color w:val="auto"/>
        </w:rPr>
        <w:t>该站现有职工</w:t>
      </w:r>
      <w:r>
        <w:rPr>
          <w:rFonts w:hint="eastAsia" w:ascii="宋体"/>
          <w:color w:val="auto"/>
        </w:rPr>
        <w:t>4人</w:t>
      </w:r>
      <w:r>
        <w:rPr>
          <w:rFonts w:ascii="宋体"/>
          <w:color w:val="auto"/>
        </w:rPr>
        <w:t>，</w:t>
      </w:r>
      <w:r>
        <w:rPr>
          <w:rFonts w:hint="eastAsia" w:ascii="宋体"/>
          <w:color w:val="auto"/>
        </w:rPr>
        <w:t>其中主要</w:t>
      </w:r>
      <w:r>
        <w:rPr>
          <w:rFonts w:ascii="宋体"/>
          <w:color w:val="auto"/>
        </w:rPr>
        <w:t>负责人</w:t>
      </w:r>
      <w:r>
        <w:rPr>
          <w:rFonts w:hint="eastAsia" w:ascii="宋体"/>
          <w:color w:val="auto"/>
        </w:rPr>
        <w:t>1</w:t>
      </w:r>
      <w:r>
        <w:rPr>
          <w:rFonts w:ascii="宋体"/>
          <w:color w:val="auto"/>
        </w:rPr>
        <w:t>人，</w:t>
      </w:r>
      <w:r>
        <w:rPr>
          <w:rFonts w:hint="eastAsia" w:ascii="宋体"/>
          <w:color w:val="auto"/>
        </w:rPr>
        <w:t>安全生产管理</w:t>
      </w:r>
      <w:r>
        <w:rPr>
          <w:rFonts w:ascii="宋体"/>
          <w:color w:val="auto"/>
        </w:rPr>
        <w:t>员</w:t>
      </w:r>
      <w:r>
        <w:rPr>
          <w:rFonts w:hint="eastAsia" w:ascii="宋体"/>
          <w:color w:val="auto"/>
        </w:rPr>
        <w:t>1人。主要负责人和安全生产管理人员</w:t>
      </w:r>
      <w:r>
        <w:rPr>
          <w:rFonts w:ascii="宋体"/>
          <w:color w:val="auto"/>
        </w:rPr>
        <w:t>已</w:t>
      </w:r>
      <w:r>
        <w:rPr>
          <w:rFonts w:hint="eastAsia" w:ascii="宋体"/>
          <w:color w:val="auto"/>
        </w:rPr>
        <w:t>参加了</w:t>
      </w:r>
      <w:r>
        <w:rPr>
          <w:rFonts w:ascii="宋体"/>
          <w:color w:val="auto"/>
        </w:rPr>
        <w:t>危险化学品安全管理培训，</w:t>
      </w:r>
      <w:r>
        <w:rPr>
          <w:rFonts w:hint="eastAsia" w:ascii="宋体"/>
          <w:color w:val="auto"/>
        </w:rPr>
        <w:t>并取得考核合格证，</w:t>
      </w:r>
      <w:r>
        <w:rPr>
          <w:rFonts w:ascii="宋体"/>
          <w:color w:val="auto"/>
        </w:rPr>
        <w:t>详见附件。</w:t>
      </w:r>
    </w:p>
    <w:p w14:paraId="03FD0CF4">
      <w:pPr>
        <w:pStyle w:val="17"/>
        <w:widowControl w:val="0"/>
        <w:adjustRightInd w:val="0"/>
        <w:snapToGrid w:val="0"/>
        <w:spacing w:line="360" w:lineRule="auto"/>
        <w:ind w:firstLine="560"/>
        <w:rPr>
          <w:rFonts w:ascii="宋体" w:hAnsi="宋体"/>
          <w:color w:val="auto"/>
        </w:rPr>
      </w:pPr>
      <w:r>
        <w:rPr>
          <w:rFonts w:hint="eastAsia" w:ascii="宋体" w:hAnsi="宋体"/>
          <w:color w:val="auto"/>
        </w:rPr>
        <w:t>肥城市石横镇供销合作社于2020年11月23日与肥城市石横镇中东居股份经济合作社签定</w:t>
      </w:r>
      <w:r>
        <w:rPr>
          <w:rFonts w:hint="eastAsia" w:ascii="宋体"/>
          <w:color w:val="auto"/>
        </w:rPr>
        <w:t>《</w:t>
      </w:r>
      <w:r>
        <w:rPr>
          <w:rFonts w:hint="eastAsia" w:ascii="宋体" w:hAnsi="宋体"/>
          <w:color w:val="auto"/>
        </w:rPr>
        <w:t>土地租赁合同</w:t>
      </w:r>
      <w:r>
        <w:rPr>
          <w:rFonts w:hint="eastAsia" w:ascii="宋体"/>
          <w:color w:val="auto"/>
        </w:rPr>
        <w:t>》，租赁期限十年，自2021年1月1日至2030年12月31日止。山东泰安交通运输集团有限公司第三加油站产权归属</w:t>
      </w:r>
      <w:r>
        <w:rPr>
          <w:rFonts w:hint="eastAsia" w:ascii="宋体" w:hAnsi="宋体"/>
          <w:color w:val="auto"/>
        </w:rPr>
        <w:t>肥城市石横镇供销合作社所有，由</w:t>
      </w:r>
      <w:r>
        <w:rPr>
          <w:rFonts w:hint="eastAsia" w:ascii="宋体"/>
          <w:color w:val="auto"/>
        </w:rPr>
        <w:t>山东泰安交通运输集团有限公司肥城公司租赁经营。2025年9月10日山东泰安交通运输集团有限公司肥城公司第三加油站在原经营场所将企业名称变更为</w:t>
      </w:r>
      <w:r>
        <w:rPr>
          <w:rFonts w:hint="eastAsia" w:ascii="宋体" w:hAnsi="宋体"/>
          <w:color w:val="auto"/>
        </w:rPr>
        <w:t>肥城石横交运通能源有限公司，详见附件。</w:t>
      </w:r>
    </w:p>
    <w:p w14:paraId="1DE695EE">
      <w:pPr>
        <w:pStyle w:val="17"/>
        <w:widowControl w:val="0"/>
        <w:adjustRightInd w:val="0"/>
        <w:snapToGrid w:val="0"/>
        <w:spacing w:line="360" w:lineRule="auto"/>
        <w:ind w:firstLine="560"/>
        <w:rPr>
          <w:rFonts w:ascii="宋体"/>
          <w:color w:val="auto"/>
        </w:rPr>
      </w:pPr>
      <w:r>
        <w:rPr>
          <w:rFonts w:hint="eastAsia" w:ascii="宋体" w:hAnsi="宋体"/>
          <w:color w:val="auto"/>
          <w:szCs w:val="28"/>
        </w:rPr>
        <w:t>该加油站（原名</w:t>
      </w:r>
      <w:r>
        <w:rPr>
          <w:rFonts w:hint="eastAsia" w:ascii="宋体"/>
          <w:color w:val="auto"/>
        </w:rPr>
        <w:t>山东泰安交通运输集团有限公司肥城公司第三加油站</w:t>
      </w:r>
      <w:r>
        <w:rPr>
          <w:rFonts w:hint="eastAsia" w:ascii="宋体" w:hAnsi="宋体"/>
          <w:color w:val="auto"/>
          <w:szCs w:val="28"/>
        </w:rPr>
        <w:t>）</w:t>
      </w:r>
      <w:r>
        <w:rPr>
          <w:rFonts w:hint="eastAsia" w:ascii="宋体" w:hAnsi="宋体"/>
          <w:color w:val="auto"/>
        </w:rPr>
        <w:t>于2020年4月26日取得肥城市住房和城乡建设局出具的</w:t>
      </w:r>
      <w:r>
        <w:rPr>
          <w:rFonts w:hint="eastAsia" w:ascii="宋体"/>
          <w:color w:val="auto"/>
        </w:rPr>
        <w:t>《</w:t>
      </w:r>
      <w:r>
        <w:rPr>
          <w:rFonts w:hint="eastAsia" w:ascii="宋体" w:hAnsi="宋体"/>
          <w:color w:val="auto"/>
        </w:rPr>
        <w:t>建设工程消防验收意见书</w:t>
      </w:r>
      <w:r>
        <w:rPr>
          <w:rFonts w:hint="eastAsia" w:ascii="宋体"/>
          <w:color w:val="auto"/>
        </w:rPr>
        <w:t>》，意见书编号：肥住建验字[2020]第008号，意见书结论：综合评定该建设工程消防验收合格，</w:t>
      </w:r>
      <w:r>
        <w:rPr>
          <w:rFonts w:hint="eastAsia" w:ascii="宋体" w:hAnsi="宋体"/>
          <w:color w:val="auto"/>
        </w:rPr>
        <w:t>详见附件。</w:t>
      </w:r>
    </w:p>
    <w:p w14:paraId="32128229">
      <w:pPr>
        <w:pStyle w:val="17"/>
        <w:widowControl w:val="0"/>
        <w:adjustRightInd w:val="0"/>
        <w:snapToGrid w:val="0"/>
        <w:spacing w:line="360" w:lineRule="auto"/>
        <w:ind w:firstLine="560"/>
        <w:rPr>
          <w:rFonts w:asciiTheme="minorEastAsia" w:hAnsiTheme="minorEastAsia" w:eastAsiaTheme="minorEastAsia" w:cstheme="minorEastAsia"/>
          <w:color w:val="auto"/>
        </w:rPr>
      </w:pPr>
      <w:bookmarkStart w:id="14" w:name="_Hlk508440011"/>
      <w:r>
        <w:rPr>
          <w:rFonts w:hint="eastAsia" w:asciiTheme="minorEastAsia" w:hAnsiTheme="minorEastAsia" w:eastAsiaTheme="minorEastAsia" w:cstheme="minorEastAsia"/>
          <w:color w:val="auto"/>
        </w:rPr>
        <w:t>加油站于2024年2月28日变更了《危险化学品经营许可证》，证书编号：鲁泰肥危化经[2024]040070号，证书有效期：2023年5月22日至2026年5月21日，证书见附件。</w:t>
      </w:r>
    </w:p>
    <w:bookmarkEnd w:id="14"/>
    <w:p w14:paraId="0B18294D">
      <w:pPr>
        <w:pStyle w:val="17"/>
        <w:widowControl w:val="0"/>
        <w:adjustRightInd w:val="0"/>
        <w:snapToGrid w:val="0"/>
        <w:spacing w:line="360" w:lineRule="auto"/>
        <w:ind w:firstLine="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加油站于2025年09月02日换发了《成品油零售经营批准证书》，证书编号：鲁油零售证书第3709063042号，证书有效期：2025年09月02日至2030年09月02日，详见附件。</w:t>
      </w:r>
    </w:p>
    <w:p w14:paraId="38F5309C">
      <w:pPr>
        <w:pStyle w:val="17"/>
        <w:widowControl w:val="0"/>
        <w:adjustRightInd w:val="0"/>
        <w:snapToGrid w:val="0"/>
        <w:spacing w:line="360" w:lineRule="auto"/>
        <w:ind w:firstLine="560"/>
        <w:rPr>
          <w:rFonts w:ascii="宋体"/>
          <w:color w:val="auto"/>
        </w:rPr>
      </w:pPr>
      <w:r>
        <w:rPr>
          <w:rFonts w:hint="eastAsia" w:ascii="宋体"/>
          <w:color w:val="auto"/>
        </w:rPr>
        <w:t>该站编制了生产安全事故应急预案，于2024年10月30日在肥城市应急管理局进行了备案，备案编号为：370983-2024-W076，详见附件。</w:t>
      </w:r>
    </w:p>
    <w:p w14:paraId="3156AF02">
      <w:pPr>
        <w:pStyle w:val="17"/>
        <w:widowControl w:val="0"/>
        <w:adjustRightInd w:val="0"/>
        <w:snapToGrid w:val="0"/>
        <w:spacing w:line="360" w:lineRule="auto"/>
        <w:ind w:firstLine="560"/>
        <w:rPr>
          <w:rFonts w:ascii="宋体"/>
          <w:color w:val="auto"/>
        </w:rPr>
      </w:pPr>
      <w:r>
        <w:rPr>
          <w:rFonts w:hint="eastAsia" w:ascii="宋体"/>
          <w:color w:val="auto"/>
        </w:rPr>
        <w:t>山东天科防雷工程有限公司对该站进行了相关防雷设施的检测，出具了合格的《雷电防护装置定期检测报告》，报告编号：（1122016001）[2025]D-TA0385号，防雷类别：二类，结论为“合格：加油站雷电防护装置符合现行国家防雷规范标准要求”，有效期至2026年03月22日，检测报告见附件。</w:t>
      </w:r>
    </w:p>
    <w:p w14:paraId="6584AD80">
      <w:pPr>
        <w:pStyle w:val="17"/>
        <w:widowControl w:val="0"/>
        <w:adjustRightInd w:val="0"/>
        <w:snapToGrid w:val="0"/>
        <w:spacing w:line="360" w:lineRule="auto"/>
        <w:ind w:firstLine="560"/>
        <w:rPr>
          <w:rFonts w:ascii="宋体"/>
          <w:color w:val="auto"/>
        </w:rPr>
      </w:pPr>
      <w:r>
        <w:rPr>
          <w:rFonts w:hint="eastAsia" w:ascii="宋体"/>
          <w:color w:val="auto"/>
        </w:rPr>
        <w:t>该站在中国太平财产保险有限公司山东分公司投保安全生产责任保险，保险期限自2025年12月17日至2026年12月16日止，详见附件。</w:t>
      </w:r>
    </w:p>
    <w:p w14:paraId="2E00F62C">
      <w:pPr>
        <w:pStyle w:val="17"/>
        <w:widowControl w:val="0"/>
        <w:adjustRightInd w:val="0"/>
        <w:snapToGrid w:val="0"/>
        <w:spacing w:line="360" w:lineRule="auto"/>
        <w:ind w:firstLine="560"/>
        <w:rPr>
          <w:rFonts w:ascii="宋体"/>
          <w:color w:val="auto"/>
        </w:rPr>
      </w:pPr>
      <w:r>
        <w:rPr>
          <w:rFonts w:hint="eastAsia" w:ascii="宋体" w:hAnsi="宋体" w:cs="宋体"/>
          <w:color w:val="auto"/>
        </w:rPr>
        <w:t>该站的2套可燃气体检测报警器于2025年05月06日取得了泰安市质量技术检验检测研究院（泰安市特种设备检验研究院）出具的可燃气体检测报警器《检定证书》，检定结论：合格，检定有效期至202</w:t>
      </w:r>
      <w:r>
        <w:rPr>
          <w:rFonts w:hint="eastAsia" w:ascii="宋体" w:hAnsi="宋体" w:cs="宋体"/>
          <w:color w:val="auto"/>
          <w:lang w:val="en-US" w:eastAsia="zh-CN"/>
        </w:rPr>
        <w:t>6</w:t>
      </w:r>
      <w:r>
        <w:rPr>
          <w:rFonts w:hint="eastAsia" w:ascii="宋体" w:hAnsi="宋体" w:cs="宋体"/>
          <w:color w:val="auto"/>
        </w:rPr>
        <w:t>年05月05日。检定证书详见附件。</w:t>
      </w:r>
    </w:p>
    <w:p w14:paraId="75F0B452">
      <w:pPr>
        <w:pStyle w:val="17"/>
        <w:widowControl w:val="0"/>
        <w:adjustRightInd w:val="0"/>
        <w:snapToGrid w:val="0"/>
        <w:spacing w:line="360" w:lineRule="auto"/>
        <w:ind w:firstLine="560"/>
        <w:rPr>
          <w:rFonts w:ascii="宋体"/>
          <w:color w:val="auto"/>
        </w:rPr>
      </w:pPr>
      <w:r>
        <w:rPr>
          <w:rFonts w:hint="eastAsia" w:ascii="宋体"/>
          <w:color w:val="auto"/>
        </w:rPr>
        <w:t>该站建立健全了安全生产责任制、安全生产规章制度和安全操作规程，执行情况较好。</w:t>
      </w:r>
    </w:p>
    <w:p w14:paraId="2E42B2CA">
      <w:pPr>
        <w:pStyle w:val="17"/>
        <w:widowControl w:val="0"/>
        <w:adjustRightInd w:val="0"/>
        <w:snapToGrid w:val="0"/>
        <w:spacing w:line="360" w:lineRule="auto"/>
        <w:ind w:firstLine="560"/>
        <w:rPr>
          <w:rFonts w:ascii="宋体"/>
          <w:color w:val="auto"/>
        </w:rPr>
      </w:pPr>
      <w:r>
        <w:rPr>
          <w:rFonts w:hint="eastAsia" w:ascii="宋体"/>
          <w:color w:val="auto"/>
        </w:rPr>
        <w:t>该站各项安全管理制度基本健全，有生产经营单位生产事故应急预案，并定期进行应急救援演练。该加油站消防器材配备齐全，加油站配备了35kg推车式干粉灭火器2具，5kg手提式干粉灭火器8具，CO</w:t>
      </w:r>
      <w:r>
        <w:rPr>
          <w:rFonts w:hint="eastAsia" w:ascii="宋体"/>
          <w:color w:val="auto"/>
          <w:vertAlign w:val="subscript"/>
        </w:rPr>
        <w:t>2</w:t>
      </w:r>
      <w:r>
        <w:rPr>
          <w:rFonts w:hint="eastAsia" w:ascii="宋体"/>
          <w:color w:val="auto"/>
        </w:rPr>
        <w:t>灭火器2具，灭火毯4块，消防锨3把，消防桶3个，消防沙池2m</w:t>
      </w:r>
      <w:r>
        <w:rPr>
          <w:rFonts w:hint="eastAsia" w:ascii="宋体"/>
          <w:color w:val="auto"/>
          <w:vertAlign w:val="superscript"/>
        </w:rPr>
        <w:t>3</w:t>
      </w:r>
      <w:r>
        <w:rPr>
          <w:rFonts w:hint="eastAsia" w:ascii="宋体"/>
          <w:color w:val="auto"/>
        </w:rPr>
        <w:t>。</w:t>
      </w:r>
    </w:p>
    <w:p w14:paraId="1033DE9C">
      <w:pPr>
        <w:pStyle w:val="18"/>
        <w:spacing w:before="312" w:after="312"/>
        <w:rPr>
          <w:color w:val="auto"/>
        </w:rPr>
      </w:pPr>
      <w:r>
        <w:rPr>
          <w:rFonts w:hint="eastAsia"/>
          <w:color w:val="auto"/>
        </w:rPr>
        <w:t>第四章 评价单元划分与评价方法选择</w:t>
      </w:r>
    </w:p>
    <w:p w14:paraId="30EFAFE2">
      <w:pPr>
        <w:pStyle w:val="2"/>
        <w:spacing w:before="312" w:beforeLines="100" w:after="312" w:afterLines="100" w:line="360" w:lineRule="auto"/>
        <w:ind w:firstLine="0"/>
        <w:rPr>
          <w:color w:val="auto"/>
        </w:rPr>
      </w:pPr>
      <w:bookmarkStart w:id="15" w:name="_Toc7829"/>
      <w:bookmarkStart w:id="16" w:name="_Toc198026273"/>
      <w:bookmarkStart w:id="17" w:name="_Toc192907201"/>
      <w:bookmarkStart w:id="18" w:name="_Toc102633981"/>
      <w:bookmarkStart w:id="19" w:name="_Toc23543"/>
      <w:bookmarkStart w:id="20" w:name="_Toc102634256"/>
      <w:bookmarkStart w:id="21" w:name="_Toc12643"/>
      <w:bookmarkStart w:id="22" w:name="_Toc15033754"/>
      <w:bookmarkStart w:id="23" w:name="_Toc102634407"/>
      <w:bookmarkStart w:id="24" w:name="_Toc238007574"/>
      <w:bookmarkStart w:id="25" w:name="_Toc102633907"/>
      <w:bookmarkStart w:id="26" w:name="_Toc272364536"/>
      <w:r>
        <w:rPr>
          <w:rFonts w:hint="eastAsia"/>
          <w:color w:val="auto"/>
        </w:rPr>
        <w:t>第一节 评价单元的划分</w:t>
      </w:r>
      <w:bookmarkEnd w:id="15"/>
      <w:bookmarkEnd w:id="16"/>
      <w:bookmarkEnd w:id="17"/>
      <w:bookmarkEnd w:id="18"/>
      <w:bookmarkEnd w:id="19"/>
      <w:bookmarkEnd w:id="20"/>
      <w:bookmarkEnd w:id="21"/>
      <w:bookmarkEnd w:id="22"/>
      <w:bookmarkEnd w:id="23"/>
      <w:bookmarkEnd w:id="24"/>
      <w:bookmarkEnd w:id="25"/>
      <w:bookmarkEnd w:id="26"/>
    </w:p>
    <w:p w14:paraId="763B4731">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2"/>
        <w:widowControl w:val="0"/>
        <w:adjustRightInd w:val="0"/>
        <w:snapToGrid w:val="0"/>
        <w:spacing w:line="360" w:lineRule="auto"/>
        <w:ind w:firstLine="560"/>
        <w:jc w:val="both"/>
        <w:rPr>
          <w:color w:val="auto"/>
        </w:rPr>
      </w:pPr>
      <w:bookmarkStart w:id="27" w:name="_Toc102634257"/>
      <w:r>
        <w:rPr>
          <w:rFonts w:hint="eastAsia"/>
          <w:color w:val="auto"/>
        </w:rPr>
        <w:t>一</w:t>
      </w:r>
      <w:r>
        <w:rPr>
          <w:color w:val="auto"/>
        </w:rPr>
        <w:t>、以危险有害因素的类别为主划分评价单元</w:t>
      </w:r>
      <w:bookmarkEnd w:id="27"/>
    </w:p>
    <w:p w14:paraId="05C4A291">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2"/>
        <w:widowControl w:val="0"/>
        <w:adjustRightInd w:val="0"/>
        <w:snapToGrid w:val="0"/>
        <w:spacing w:line="360" w:lineRule="auto"/>
        <w:ind w:firstLine="560"/>
        <w:jc w:val="both"/>
        <w:rPr>
          <w:color w:val="auto"/>
        </w:rPr>
      </w:pPr>
      <w:bookmarkStart w:id="28" w:name="_Toc102634258"/>
      <w:r>
        <w:rPr>
          <w:rFonts w:hint="eastAsia"/>
          <w:color w:val="auto"/>
        </w:rPr>
        <w:t>二</w:t>
      </w:r>
      <w:r>
        <w:rPr>
          <w:color w:val="auto"/>
        </w:rPr>
        <w:t>、以物质特征划分评价单元</w:t>
      </w:r>
      <w:bookmarkEnd w:id="28"/>
    </w:p>
    <w:p w14:paraId="5A1E40CB">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7"/>
        <w:widowControl w:val="0"/>
        <w:adjustRightInd w:val="0"/>
        <w:snapToGrid w:val="0"/>
        <w:spacing w:line="360" w:lineRule="auto"/>
        <w:ind w:firstLine="560"/>
        <w:rPr>
          <w:rFonts w:ascii="宋体"/>
          <w:color w:val="auto"/>
        </w:rPr>
      </w:pPr>
      <w:r>
        <w:rPr>
          <w:rFonts w:ascii="宋体"/>
          <w:color w:val="auto"/>
        </w:rPr>
        <w:t>1、安全管理；</w:t>
      </w:r>
    </w:p>
    <w:p w14:paraId="32BE1495">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7"/>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7"/>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2"/>
        <w:spacing w:before="312" w:beforeLines="100" w:after="312" w:afterLines="100" w:line="360" w:lineRule="auto"/>
        <w:ind w:firstLine="0"/>
        <w:rPr>
          <w:rFonts w:hint="eastAsia"/>
          <w:color w:val="auto"/>
        </w:rPr>
      </w:pPr>
      <w:bookmarkStart w:id="29" w:name="_Toc102633982"/>
      <w:bookmarkStart w:id="30" w:name="_Toc102634408"/>
      <w:bookmarkStart w:id="31" w:name="_Toc102634259"/>
      <w:bookmarkStart w:id="32" w:name="_Toc102633908"/>
      <w:bookmarkStart w:id="33" w:name="_Toc22810"/>
    </w:p>
    <w:p w14:paraId="178D2E97">
      <w:pPr>
        <w:pStyle w:val="2"/>
        <w:spacing w:before="312" w:beforeLines="100" w:after="312" w:afterLines="100" w:line="360" w:lineRule="auto"/>
        <w:ind w:firstLine="0"/>
        <w:rPr>
          <w:color w:val="auto"/>
        </w:rPr>
      </w:pPr>
      <w:r>
        <w:rPr>
          <w:rFonts w:hint="eastAsia"/>
          <w:color w:val="auto"/>
        </w:rPr>
        <w:t>第二节 评价方法的选择</w:t>
      </w:r>
      <w:bookmarkEnd w:id="29"/>
      <w:bookmarkEnd w:id="30"/>
      <w:bookmarkEnd w:id="31"/>
      <w:bookmarkEnd w:id="32"/>
      <w:bookmarkEnd w:id="33"/>
    </w:p>
    <w:p w14:paraId="1E411B7E">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19"/>
        <w:widowControl w:val="0"/>
        <w:adjustRightInd w:val="0"/>
        <w:snapToGrid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5"/>
        <w:gridCol w:w="2416"/>
        <w:gridCol w:w="2249"/>
        <w:gridCol w:w="2200"/>
        <w:gridCol w:w="1830"/>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0"/>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0"/>
              <w:widowControl w:val="0"/>
              <w:adjustRightInd w:val="0"/>
              <w:snapToGrid w:val="0"/>
              <w:spacing w:line="360" w:lineRule="auto"/>
              <w:rPr>
                <w:rFonts w:ascii="宋体"/>
                <w:b/>
                <w:color w:val="auto"/>
              </w:rPr>
            </w:pPr>
          </w:p>
        </w:tc>
        <w:tc>
          <w:tcPr>
            <w:tcW w:w="1196" w:type="pct"/>
            <w:vAlign w:val="center"/>
          </w:tcPr>
          <w:p w14:paraId="17BCE365">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0"/>
              <w:widowControl w:val="0"/>
              <w:adjustRightInd w:val="0"/>
              <w:snapToGrid w:val="0"/>
              <w:spacing w:line="360" w:lineRule="auto"/>
              <w:rPr>
                <w:rFonts w:ascii="宋体"/>
                <w:color w:val="auto"/>
              </w:rPr>
            </w:pPr>
          </w:p>
        </w:tc>
        <w:tc>
          <w:tcPr>
            <w:tcW w:w="972" w:type="pct"/>
            <w:vAlign w:val="center"/>
          </w:tcPr>
          <w:p w14:paraId="00C1DAAC">
            <w:pPr>
              <w:pStyle w:val="20"/>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0"/>
              <w:widowControl w:val="0"/>
              <w:adjustRightInd w:val="0"/>
              <w:snapToGrid w:val="0"/>
              <w:spacing w:line="360" w:lineRule="auto"/>
              <w:rPr>
                <w:rFonts w:ascii="宋体"/>
                <w:color w:val="auto"/>
              </w:rPr>
            </w:pPr>
          </w:p>
        </w:tc>
        <w:tc>
          <w:tcPr>
            <w:tcW w:w="972" w:type="pct"/>
            <w:vAlign w:val="center"/>
          </w:tcPr>
          <w:p w14:paraId="757A7995">
            <w:pPr>
              <w:pStyle w:val="20"/>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0"/>
              <w:widowControl w:val="0"/>
              <w:adjustRightInd w:val="0"/>
              <w:snapToGrid w:val="0"/>
              <w:spacing w:line="360" w:lineRule="auto"/>
              <w:rPr>
                <w:rFonts w:ascii="宋体"/>
                <w:color w:val="auto"/>
              </w:rPr>
            </w:pPr>
          </w:p>
        </w:tc>
        <w:tc>
          <w:tcPr>
            <w:tcW w:w="972" w:type="pct"/>
            <w:vAlign w:val="center"/>
          </w:tcPr>
          <w:p w14:paraId="4ADFB55C">
            <w:pPr>
              <w:pStyle w:val="20"/>
              <w:widowControl w:val="0"/>
              <w:adjustRightInd w:val="0"/>
              <w:snapToGrid w:val="0"/>
              <w:spacing w:line="360" w:lineRule="auto"/>
              <w:rPr>
                <w:rFonts w:ascii="宋体"/>
                <w:color w:val="auto"/>
              </w:rPr>
            </w:pPr>
          </w:p>
        </w:tc>
      </w:tr>
    </w:tbl>
    <w:p w14:paraId="63FFFE3C">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1"/>
        <w:widowControl w:val="0"/>
        <w:snapToGrid w:val="0"/>
        <w:spacing w:line="360" w:lineRule="auto"/>
        <w:ind w:firstLine="872" w:firstLineChars="400"/>
        <w:rPr>
          <w:color w:val="auto"/>
        </w:rPr>
      </w:pPr>
    </w:p>
    <w:p w14:paraId="59A48C17">
      <w:pPr>
        <w:pStyle w:val="18"/>
        <w:widowControl w:val="0"/>
        <w:adjustRightInd w:val="0"/>
        <w:snapToGrid w:val="0"/>
        <w:spacing w:before="468" w:beforeLines="150" w:after="156" w:afterLines="50" w:line="360" w:lineRule="auto"/>
        <w:rPr>
          <w:color w:val="auto"/>
        </w:rPr>
      </w:pPr>
      <w:bookmarkStart w:id="34" w:name="_Toc102634276"/>
      <w:bookmarkStart w:id="35" w:name="_Toc102633988"/>
      <w:bookmarkStart w:id="36" w:name="_Toc15033761"/>
      <w:bookmarkStart w:id="37" w:name="_Toc102633914"/>
      <w:bookmarkStart w:id="38" w:name="_Toc16504"/>
      <w:bookmarkStart w:id="39" w:name="_Toc9894"/>
      <w:r>
        <w:rPr>
          <w:color w:val="auto"/>
        </w:rPr>
        <w:t>第六章  安全对策措施及建议</w:t>
      </w:r>
      <w:bookmarkEnd w:id="34"/>
      <w:bookmarkEnd w:id="35"/>
      <w:bookmarkEnd w:id="36"/>
      <w:bookmarkEnd w:id="37"/>
      <w:bookmarkEnd w:id="38"/>
      <w:bookmarkEnd w:id="39"/>
    </w:p>
    <w:p w14:paraId="189F46B1">
      <w:pPr>
        <w:snapToGrid w:val="0"/>
        <w:spacing w:before="120" w:after="120" w:line="560" w:lineRule="exact"/>
        <w:jc w:val="center"/>
        <w:outlineLvl w:val="1"/>
        <w:rPr>
          <w:rFonts w:ascii="Calibri" w:hAnsi="Calibri" w:eastAsia="楷体_GB2312"/>
          <w:b/>
          <w:color w:val="auto"/>
          <w:kern w:val="0"/>
          <w:sz w:val="32"/>
          <w:szCs w:val="20"/>
        </w:rPr>
      </w:pPr>
      <w:bookmarkStart w:id="40" w:name="_Toc225046264"/>
      <w:bookmarkStart w:id="41" w:name="_Toc339456079"/>
      <w:bookmarkStart w:id="42" w:name="_Toc15033762"/>
      <w:bookmarkStart w:id="43" w:name="_Toc102633989"/>
      <w:bookmarkStart w:id="44" w:name="_Toc17772"/>
      <w:bookmarkStart w:id="45" w:name="_Toc102634277"/>
      <w:bookmarkStart w:id="46" w:name="_Toc102633915"/>
      <w:bookmarkStart w:id="47" w:name="_Toc242065302"/>
      <w:bookmarkStart w:id="48" w:name="_Toc348877039"/>
      <w:bookmarkStart w:id="49" w:name="_Toc4961"/>
      <w:r>
        <w:rPr>
          <w:rFonts w:ascii="Calibri" w:hAnsi="Calibri" w:eastAsia="楷体_GB2312"/>
          <w:b/>
          <w:color w:val="auto"/>
          <w:kern w:val="0"/>
          <w:sz w:val="32"/>
          <w:szCs w:val="20"/>
        </w:rPr>
        <w:t xml:space="preserve">第一节 </w:t>
      </w:r>
      <w:bookmarkEnd w:id="40"/>
      <w:bookmarkEnd w:id="41"/>
      <w:r>
        <w:rPr>
          <w:rFonts w:ascii="Calibri" w:hAnsi="Calibri" w:eastAsia="楷体_GB2312"/>
          <w:b/>
          <w:color w:val="auto"/>
          <w:kern w:val="0"/>
          <w:sz w:val="32"/>
          <w:szCs w:val="20"/>
        </w:rPr>
        <w:t>存在的问题及整改建议</w:t>
      </w:r>
      <w:bookmarkEnd w:id="42"/>
      <w:bookmarkEnd w:id="43"/>
      <w:bookmarkEnd w:id="44"/>
      <w:bookmarkEnd w:id="45"/>
      <w:bookmarkEnd w:id="46"/>
      <w:bookmarkEnd w:id="47"/>
      <w:bookmarkEnd w:id="48"/>
      <w:bookmarkEnd w:id="49"/>
    </w:p>
    <w:p w14:paraId="3167C334">
      <w:pPr>
        <w:adjustRightInd w:val="0"/>
        <w:snapToGrid w:val="0"/>
        <w:spacing w:line="360" w:lineRule="auto"/>
        <w:ind w:firstLine="560" w:firstLineChars="200"/>
        <w:rPr>
          <w:rFonts w:ascii="宋体"/>
          <w:color w:val="auto"/>
          <w:kern w:val="0"/>
          <w:sz w:val="28"/>
          <w:szCs w:val="20"/>
        </w:rPr>
      </w:pPr>
      <w:bookmarkStart w:id="50" w:name="_Toc49590281"/>
      <w:bookmarkStart w:id="51" w:name="_Toc15033763"/>
      <w:r>
        <w:rPr>
          <w:rFonts w:ascii="宋体"/>
          <w:color w:val="auto"/>
          <w:kern w:val="0"/>
          <w:sz w:val="28"/>
          <w:szCs w:val="20"/>
        </w:rPr>
        <w:t>通过现场检查和审查有关资料</w:t>
      </w:r>
      <w:r>
        <w:rPr>
          <w:rFonts w:hint="eastAsia" w:ascii="宋体"/>
          <w:color w:val="auto"/>
          <w:kern w:val="0"/>
          <w:sz w:val="28"/>
          <w:szCs w:val="20"/>
        </w:rPr>
        <w:t>可以看出，该加油站存在问题如下：</w:t>
      </w:r>
    </w:p>
    <w:bookmarkEnd w:id="50"/>
    <w:bookmarkEnd w:id="51"/>
    <w:p w14:paraId="74B85FA1">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157"/>
        <w:gridCol w:w="4428"/>
      </w:tblGrid>
      <w:tr w14:paraId="3A447D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817" w:type="dxa"/>
            <w:vAlign w:val="center"/>
          </w:tcPr>
          <w:p w14:paraId="6039971A">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4157" w:type="dxa"/>
            <w:vAlign w:val="center"/>
          </w:tcPr>
          <w:p w14:paraId="1C66A4C7">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428" w:type="dxa"/>
            <w:vAlign w:val="center"/>
          </w:tcPr>
          <w:p w14:paraId="28CC2216">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727C5E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817" w:type="dxa"/>
            <w:vAlign w:val="center"/>
          </w:tcPr>
          <w:p w14:paraId="709E2369">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u w:color="000000"/>
              </w:rPr>
            </w:pPr>
            <w:r>
              <w:rPr>
                <w:rFonts w:hint="eastAsia" w:ascii="宋体" w:hAnsi="宋体"/>
                <w:bCs/>
                <w:color w:val="auto"/>
                <w:kern w:val="0"/>
                <w:position w:val="2"/>
                <w:u w:color="000000"/>
              </w:rPr>
              <w:t>1</w:t>
            </w:r>
          </w:p>
        </w:tc>
        <w:tc>
          <w:tcPr>
            <w:tcW w:w="4157" w:type="dxa"/>
            <w:vAlign w:val="center"/>
          </w:tcPr>
          <w:p w14:paraId="7DC16AF4">
            <w:pPr>
              <w:adjustRightInd w:val="0"/>
              <w:snapToGrid w:val="0"/>
              <w:jc w:val="center"/>
              <w:rPr>
                <w:rFonts w:ascii="宋体" w:hAnsi="宋体" w:cs="宋体"/>
                <w:bCs/>
                <w:color w:val="auto"/>
              </w:rPr>
            </w:pPr>
            <w:r>
              <w:rPr>
                <w:rFonts w:hint="eastAsia" w:ascii="宋体" w:hAnsi="宋体" w:cs="宋体"/>
                <w:bCs/>
                <w:color w:val="auto"/>
              </w:rPr>
              <w:t>油罐</w:t>
            </w:r>
            <w:r>
              <w:rPr>
                <w:rFonts w:hint="eastAsia" w:ascii="宋体" w:hAnsi="宋体"/>
                <w:color w:val="auto"/>
                <w:spacing w:val="10"/>
              </w:rPr>
              <w:t>操作井内介质流向标识不全；</w:t>
            </w:r>
          </w:p>
        </w:tc>
        <w:tc>
          <w:tcPr>
            <w:tcW w:w="4428" w:type="dxa"/>
            <w:vAlign w:val="center"/>
          </w:tcPr>
          <w:p w14:paraId="0030FD91">
            <w:pPr>
              <w:adjustRightInd w:val="0"/>
              <w:snapToGrid w:val="0"/>
              <w:jc w:val="center"/>
              <w:rPr>
                <w:rFonts w:ascii="宋体" w:hAnsi="宋体" w:cs="宋体"/>
                <w:bCs/>
                <w:color w:val="auto"/>
              </w:rPr>
            </w:pPr>
            <w:r>
              <w:rPr>
                <w:rFonts w:hint="eastAsia" w:ascii="宋体" w:hAnsi="宋体" w:cs="宋体"/>
                <w:bCs/>
                <w:color w:val="auto"/>
              </w:rPr>
              <w:t>油罐</w:t>
            </w:r>
            <w:r>
              <w:rPr>
                <w:rFonts w:hint="eastAsia" w:ascii="宋体" w:hAnsi="宋体"/>
                <w:color w:val="auto"/>
                <w:spacing w:val="10"/>
              </w:rPr>
              <w:t>操作井内管道应设介质流向标识；</w:t>
            </w:r>
          </w:p>
        </w:tc>
      </w:tr>
      <w:tr w14:paraId="256F0F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817" w:type="dxa"/>
            <w:vAlign w:val="center"/>
          </w:tcPr>
          <w:p w14:paraId="28533765">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u w:color="000000"/>
              </w:rPr>
            </w:pPr>
            <w:r>
              <w:rPr>
                <w:rFonts w:hint="eastAsia" w:ascii="宋体" w:hAnsi="宋体"/>
                <w:bCs/>
                <w:color w:val="auto"/>
                <w:kern w:val="0"/>
                <w:position w:val="2"/>
                <w:u w:color="000000"/>
              </w:rPr>
              <w:t>2</w:t>
            </w:r>
          </w:p>
        </w:tc>
        <w:tc>
          <w:tcPr>
            <w:tcW w:w="4157" w:type="dxa"/>
            <w:vAlign w:val="center"/>
          </w:tcPr>
          <w:p w14:paraId="1B80D883">
            <w:pPr>
              <w:spacing w:line="360" w:lineRule="auto"/>
              <w:jc w:val="center"/>
              <w:rPr>
                <w:rFonts w:ascii="宋体" w:hAnsi="宋体" w:cs="宋体"/>
                <w:bCs/>
                <w:color w:val="auto"/>
              </w:rPr>
            </w:pPr>
            <w:r>
              <w:rPr>
                <w:rFonts w:hint="eastAsia" w:ascii="宋体" w:hAnsi="宋体" w:cs="宋体"/>
                <w:bCs/>
                <w:color w:val="auto"/>
              </w:rPr>
              <w:t>急停按钮无标识。</w:t>
            </w:r>
          </w:p>
        </w:tc>
        <w:tc>
          <w:tcPr>
            <w:tcW w:w="4428" w:type="dxa"/>
            <w:vAlign w:val="center"/>
          </w:tcPr>
          <w:p w14:paraId="38FEE39F">
            <w:pPr>
              <w:spacing w:line="360" w:lineRule="auto"/>
              <w:jc w:val="center"/>
              <w:rPr>
                <w:rFonts w:ascii="宋体" w:hAnsi="宋体" w:cs="宋体"/>
                <w:bCs/>
                <w:color w:val="auto"/>
              </w:rPr>
            </w:pPr>
            <w:r>
              <w:rPr>
                <w:rFonts w:hint="eastAsia" w:ascii="宋体" w:hAnsi="宋体" w:cs="宋体"/>
                <w:bCs/>
                <w:color w:val="auto"/>
              </w:rPr>
              <w:t>急停按钮应设标识。</w:t>
            </w:r>
          </w:p>
        </w:tc>
      </w:tr>
    </w:tbl>
    <w:p w14:paraId="30C29D50">
      <w:pPr>
        <w:tabs>
          <w:tab w:val="left" w:pos="698"/>
        </w:tabs>
        <w:ind w:firstLine="560" w:firstLineChars="200"/>
        <w:jc w:val="left"/>
        <w:rPr>
          <w:rFonts w:hint="eastAsia" w:eastAsiaTheme="minorEastAsia"/>
          <w:color w:val="auto"/>
          <w:kern w:val="0"/>
          <w:sz w:val="28"/>
          <w:szCs w:val="20"/>
          <w:lang w:eastAsia="zh-CN"/>
        </w:rPr>
        <w:sectPr>
          <w:pgSz w:w="11906" w:h="16838"/>
          <w:pgMar w:top="1418" w:right="1134" w:bottom="993" w:left="1588" w:header="850" w:footer="256" w:gutter="0"/>
          <w:cols w:space="720" w:num="1"/>
          <w:docGrid w:type="lines" w:linePitch="312" w:charSpace="0"/>
        </w:sectPr>
      </w:pPr>
      <w:r>
        <w:rPr>
          <w:rFonts w:hint="eastAsia" w:ascii="宋体"/>
          <w:color w:val="auto"/>
          <w:kern w:val="0"/>
          <w:sz w:val="28"/>
          <w:szCs w:val="20"/>
        </w:rPr>
        <w:t>该加油站在安全管理、站址选择及总平面布置、加油工艺及设施、其它设施等方面符合有关法律、标准规范的要求。</w:t>
      </w:r>
      <w:r>
        <w:rPr>
          <w:rFonts w:hint="eastAsia" w:ascii="宋体"/>
          <w:color w:val="auto"/>
          <w:kern w:val="0"/>
          <w:sz w:val="28"/>
          <w:szCs w:val="20"/>
        </w:rPr>
        <w:drawing>
          <wp:inline distT="0" distB="0" distL="114300" distR="114300">
            <wp:extent cx="5826125" cy="4369435"/>
            <wp:effectExtent l="0" t="0" r="10795" b="4445"/>
            <wp:docPr id="1" name="图片 1" descr="IMG_20260310_10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60310_102248"/>
                    <pic:cNvPicPr>
                      <a:picLocks noChangeAspect="1"/>
                    </pic:cNvPicPr>
                  </pic:nvPicPr>
                  <pic:blipFill>
                    <a:blip r:embed="rId4"/>
                    <a:stretch>
                      <a:fillRect/>
                    </a:stretch>
                  </pic:blipFill>
                  <pic:spPr>
                    <a:xfrm>
                      <a:off x="0" y="0"/>
                      <a:ext cx="5826125" cy="4369435"/>
                    </a:xfrm>
                    <a:prstGeom prst="rect">
                      <a:avLst/>
                    </a:prstGeom>
                  </pic:spPr>
                </pic:pic>
              </a:graphicData>
            </a:graphic>
          </wp:inline>
        </w:drawing>
      </w:r>
      <w:r>
        <w:rPr>
          <w:rFonts w:hint="eastAsia" w:ascii="宋体"/>
          <w:color w:val="auto"/>
          <w:kern w:val="0"/>
          <w:sz w:val="28"/>
          <w:szCs w:val="20"/>
        </w:rPr>
        <w:drawing>
          <wp:inline distT="0" distB="0" distL="114300" distR="114300">
            <wp:extent cx="5826125" cy="4369435"/>
            <wp:effectExtent l="0" t="0" r="10795" b="4445"/>
            <wp:docPr id="2" name="图片 2" descr="IMG_20260310_10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60310_102322"/>
                    <pic:cNvPicPr>
                      <a:picLocks noChangeAspect="1"/>
                    </pic:cNvPicPr>
                  </pic:nvPicPr>
                  <pic:blipFill>
                    <a:blip r:embed="rId5"/>
                    <a:stretch>
                      <a:fillRect/>
                    </a:stretch>
                  </pic:blipFill>
                  <pic:spPr>
                    <a:xfrm>
                      <a:off x="0" y="0"/>
                      <a:ext cx="5826125" cy="4369435"/>
                    </a:xfrm>
                    <a:prstGeom prst="rect">
                      <a:avLst/>
                    </a:prstGeom>
                  </pic:spPr>
                </pic:pic>
              </a:graphicData>
            </a:graphic>
          </wp:inline>
        </w:drawing>
      </w:r>
      <w:r>
        <w:rPr>
          <w:rFonts w:hint="eastAsia" w:eastAsiaTheme="minorEastAsia"/>
          <w:color w:val="auto"/>
          <w:kern w:val="0"/>
          <w:sz w:val="28"/>
          <w:szCs w:val="20"/>
          <w:lang w:eastAsia="zh-CN"/>
        </w:rPr>
        <w:drawing>
          <wp:inline distT="0" distB="0" distL="114300" distR="114300">
            <wp:extent cx="5151755" cy="9158605"/>
            <wp:effectExtent l="0" t="0" r="14605" b="635"/>
            <wp:docPr id="3" name="图片 3" descr="446ea93e63d05a501029b819cbf96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46ea93e63d05a501029b819cbf96c47"/>
                    <pic:cNvPicPr>
                      <a:picLocks noChangeAspect="1"/>
                    </pic:cNvPicPr>
                  </pic:nvPicPr>
                  <pic:blipFill>
                    <a:blip r:embed="rId6"/>
                    <a:stretch>
                      <a:fillRect/>
                    </a:stretch>
                  </pic:blipFill>
                  <pic:spPr>
                    <a:xfrm>
                      <a:off x="0" y="0"/>
                      <a:ext cx="5151755" cy="9158605"/>
                    </a:xfrm>
                    <a:prstGeom prst="rect">
                      <a:avLst/>
                    </a:prstGeom>
                  </pic:spPr>
                </pic:pic>
              </a:graphicData>
            </a:graphic>
          </wp:inline>
        </w:drawing>
      </w:r>
      <w:r>
        <w:rPr>
          <w:rFonts w:hint="eastAsia" w:eastAsiaTheme="minorEastAsia"/>
          <w:color w:val="auto"/>
          <w:kern w:val="0"/>
          <w:sz w:val="28"/>
          <w:szCs w:val="20"/>
          <w:lang w:eastAsia="zh-CN"/>
        </w:rPr>
        <w:drawing>
          <wp:inline distT="0" distB="0" distL="114300" distR="114300">
            <wp:extent cx="5151755" cy="9158605"/>
            <wp:effectExtent l="0" t="0" r="14605" b="635"/>
            <wp:docPr id="4" name="图片 4" descr="446ea93e63d05a501029b819cbf96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46ea93e63d05a501029b819cbf96c47"/>
                    <pic:cNvPicPr>
                      <a:picLocks noChangeAspect="1"/>
                    </pic:cNvPicPr>
                  </pic:nvPicPr>
                  <pic:blipFill>
                    <a:blip r:embed="rId7"/>
                    <a:stretch>
                      <a:fillRect/>
                    </a:stretch>
                  </pic:blipFill>
                  <pic:spPr>
                    <a:xfrm>
                      <a:off x="0" y="0"/>
                      <a:ext cx="5151755" cy="9158605"/>
                    </a:xfrm>
                    <a:prstGeom prst="rect">
                      <a:avLst/>
                    </a:prstGeom>
                  </pic:spPr>
                </pic:pic>
              </a:graphicData>
            </a:graphic>
          </wp:inline>
        </w:drawing>
      </w:r>
      <w:r>
        <w:rPr>
          <w:rFonts w:hint="eastAsia" w:eastAsiaTheme="minorEastAsia"/>
          <w:color w:val="auto"/>
          <w:kern w:val="0"/>
          <w:sz w:val="28"/>
          <w:szCs w:val="20"/>
          <w:lang w:eastAsia="zh-CN"/>
        </w:rPr>
        <w:drawing>
          <wp:inline distT="0" distB="0" distL="114300" distR="114300">
            <wp:extent cx="5151755" cy="9158605"/>
            <wp:effectExtent l="0" t="0" r="14605" b="635"/>
            <wp:docPr id="5" name="图片 5" descr="1ac0574c606ec72c93252f6ea836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ac0574c606ec72c93252f6ea8367343"/>
                    <pic:cNvPicPr>
                      <a:picLocks noChangeAspect="1"/>
                    </pic:cNvPicPr>
                  </pic:nvPicPr>
                  <pic:blipFill>
                    <a:blip r:embed="rId8"/>
                    <a:stretch>
                      <a:fillRect/>
                    </a:stretch>
                  </pic:blipFill>
                  <pic:spPr>
                    <a:xfrm>
                      <a:off x="0" y="0"/>
                      <a:ext cx="5151755" cy="9158605"/>
                    </a:xfrm>
                    <a:prstGeom prst="rect">
                      <a:avLst/>
                    </a:prstGeom>
                  </pic:spPr>
                </pic:pic>
              </a:graphicData>
            </a:graphic>
          </wp:inline>
        </w:drawing>
      </w:r>
      <w:r>
        <w:rPr>
          <w:rFonts w:hint="eastAsia" w:eastAsiaTheme="minorEastAsia"/>
          <w:color w:val="auto"/>
          <w:kern w:val="0"/>
          <w:sz w:val="28"/>
          <w:szCs w:val="20"/>
          <w:lang w:eastAsia="zh-CN"/>
        </w:rPr>
        <w:drawing>
          <wp:inline distT="0" distB="0" distL="114300" distR="114300">
            <wp:extent cx="5151755" cy="9158605"/>
            <wp:effectExtent l="0" t="0" r="14605" b="635"/>
            <wp:docPr id="6" name="图片 6" descr="2fb34ac6a72dea9bdd50c1ad6da38c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fb34ac6a72dea9bdd50c1ad6da38cd3"/>
                    <pic:cNvPicPr>
                      <a:picLocks noChangeAspect="1"/>
                    </pic:cNvPicPr>
                  </pic:nvPicPr>
                  <pic:blipFill>
                    <a:blip r:embed="rId9"/>
                    <a:stretch>
                      <a:fillRect/>
                    </a:stretch>
                  </pic:blipFill>
                  <pic:spPr>
                    <a:xfrm>
                      <a:off x="0" y="0"/>
                      <a:ext cx="5151755" cy="9158605"/>
                    </a:xfrm>
                    <a:prstGeom prst="rect">
                      <a:avLst/>
                    </a:prstGeom>
                  </pic:spPr>
                </pic:pic>
              </a:graphicData>
            </a:graphic>
          </wp:inline>
        </w:drawing>
      </w:r>
      <w:r>
        <w:rPr>
          <w:rFonts w:hint="eastAsia" w:eastAsiaTheme="minorEastAsia"/>
          <w:color w:val="auto"/>
          <w:kern w:val="0"/>
          <w:sz w:val="28"/>
          <w:szCs w:val="20"/>
          <w:lang w:eastAsia="zh-CN"/>
        </w:rPr>
        <w:drawing>
          <wp:inline distT="0" distB="0" distL="114300" distR="114300">
            <wp:extent cx="5151755" cy="9158605"/>
            <wp:effectExtent l="0" t="0" r="14605" b="635"/>
            <wp:docPr id="7" name="图片 7" descr="a50e7b59d14755f1ea6661c9c702d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50e7b59d14755f1ea6661c9c702dbe2"/>
                    <pic:cNvPicPr>
                      <a:picLocks noChangeAspect="1"/>
                    </pic:cNvPicPr>
                  </pic:nvPicPr>
                  <pic:blipFill>
                    <a:blip r:embed="rId10"/>
                    <a:stretch>
                      <a:fillRect/>
                    </a:stretch>
                  </pic:blipFill>
                  <pic:spPr>
                    <a:xfrm>
                      <a:off x="0" y="0"/>
                      <a:ext cx="5151755" cy="9158605"/>
                    </a:xfrm>
                    <a:prstGeom prst="rect">
                      <a:avLst/>
                    </a:prstGeom>
                  </pic:spPr>
                </pic:pic>
              </a:graphicData>
            </a:graphic>
          </wp:inline>
        </w:drawing>
      </w:r>
      <w:r>
        <w:rPr>
          <w:rFonts w:hint="eastAsia" w:eastAsiaTheme="minorEastAsia"/>
          <w:color w:val="auto"/>
          <w:kern w:val="0"/>
          <w:sz w:val="28"/>
          <w:szCs w:val="20"/>
          <w:lang w:eastAsia="zh-CN"/>
        </w:rPr>
        <w:drawing>
          <wp:inline distT="0" distB="0" distL="114300" distR="114300">
            <wp:extent cx="5147310" cy="9151620"/>
            <wp:effectExtent l="0" t="0" r="3810" b="7620"/>
            <wp:docPr id="8" name="图片 8" descr="fda6830da250100619086750962bb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da6830da250100619086750962bb414"/>
                    <pic:cNvPicPr>
                      <a:picLocks noChangeAspect="1"/>
                    </pic:cNvPicPr>
                  </pic:nvPicPr>
                  <pic:blipFill>
                    <a:blip r:embed="rId11"/>
                    <a:stretch>
                      <a:fillRect/>
                    </a:stretch>
                  </pic:blipFill>
                  <pic:spPr>
                    <a:xfrm>
                      <a:off x="0" y="0"/>
                      <a:ext cx="5147310" cy="9151620"/>
                    </a:xfrm>
                    <a:prstGeom prst="rect">
                      <a:avLst/>
                    </a:prstGeom>
                  </pic:spPr>
                </pic:pic>
              </a:graphicData>
            </a:graphic>
          </wp:inline>
        </w:drawing>
      </w:r>
      <w:bookmarkStart w:id="52" w:name="_GoBack"/>
      <w:bookmarkEnd w:id="52"/>
    </w:p>
    <w:p w14:paraId="1C7EA132">
      <w:pPr>
        <w:rPr>
          <w:rFonts w:hint="default" w:ascii="宋体"/>
          <w:color w:val="auto"/>
          <w:kern w:val="0"/>
          <w:sz w:val="28"/>
          <w:szCs w:val="20"/>
          <w:lang w:val="en-US" w:eastAsia="zh-CN"/>
        </w:rPr>
      </w:pP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9D7F6D"/>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250DF2"/>
    <w:rsid w:val="1F5B398D"/>
    <w:rsid w:val="1FF73CD4"/>
    <w:rsid w:val="22CB7136"/>
    <w:rsid w:val="284F788D"/>
    <w:rsid w:val="2A9D36CA"/>
    <w:rsid w:val="2CBC252D"/>
    <w:rsid w:val="2E5E68CC"/>
    <w:rsid w:val="2EC41433"/>
    <w:rsid w:val="2F917EEC"/>
    <w:rsid w:val="31297B3A"/>
    <w:rsid w:val="355F439E"/>
    <w:rsid w:val="35CC29B8"/>
    <w:rsid w:val="35E819B0"/>
    <w:rsid w:val="361E3E5D"/>
    <w:rsid w:val="37A6654A"/>
    <w:rsid w:val="386A7D3B"/>
    <w:rsid w:val="388E23D2"/>
    <w:rsid w:val="38B36882"/>
    <w:rsid w:val="3BB85D78"/>
    <w:rsid w:val="3C176B62"/>
    <w:rsid w:val="420C1409"/>
    <w:rsid w:val="43CB4C37"/>
    <w:rsid w:val="4706325F"/>
    <w:rsid w:val="47290367"/>
    <w:rsid w:val="48FE4AE5"/>
    <w:rsid w:val="4ECC7680"/>
    <w:rsid w:val="4F5D6EDB"/>
    <w:rsid w:val="52AE4350"/>
    <w:rsid w:val="537F016A"/>
    <w:rsid w:val="563D798B"/>
    <w:rsid w:val="567C6788"/>
    <w:rsid w:val="579A241E"/>
    <w:rsid w:val="57BD6D10"/>
    <w:rsid w:val="58840D76"/>
    <w:rsid w:val="5C8B1D2D"/>
    <w:rsid w:val="5D511379"/>
    <w:rsid w:val="60FB542C"/>
    <w:rsid w:val="61B336CF"/>
    <w:rsid w:val="636808F8"/>
    <w:rsid w:val="64FD4259"/>
    <w:rsid w:val="650E2A5B"/>
    <w:rsid w:val="69194288"/>
    <w:rsid w:val="6A640607"/>
    <w:rsid w:val="6AD40467"/>
    <w:rsid w:val="6B3179BA"/>
    <w:rsid w:val="6BF95CAB"/>
    <w:rsid w:val="6C4D48B3"/>
    <w:rsid w:val="6D0669CA"/>
    <w:rsid w:val="6D406D3D"/>
    <w:rsid w:val="6FDF53A7"/>
    <w:rsid w:val="717A11AE"/>
    <w:rsid w:val="71FA5E13"/>
    <w:rsid w:val="72FD2CFB"/>
    <w:rsid w:val="74AE7C8C"/>
    <w:rsid w:val="76511CAD"/>
    <w:rsid w:val="769C7074"/>
    <w:rsid w:val="7772596D"/>
    <w:rsid w:val="788E5851"/>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2983</Words>
  <Characters>3248</Characters>
  <Lines>0</Lines>
  <Paragraphs>0</Paragraphs>
  <TotalTime>3</TotalTime>
  <ScaleCrop>false</ScaleCrop>
  <LinksUpToDate>false</LinksUpToDate>
  <CharactersWithSpaces>3264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2026-03-27T07:36:43Z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158E41C4130D45F7BB2A42425FB8946B_11</vt:lpwstr>
  </property>
  <property fmtid="{D5CDD505-2E9C-101B-9397-08002B2CF9AE}" pid="4" name="KSOTemplateDocerSaveRecord">
    <vt:lpwstr>eyJoZGlkIjoiMDljOTcxNjNhZDBjMjhkNDI1NDUxNmZjNjcwNDIwYjMiLCJ1c2VySWQiOiI0NDUyNjk3NzEifQ==</vt:lpwstr>
  </property>
</Properties>
</file>