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75E4E5">
      <w:pPr>
        <w:jc w:val="both"/>
        <w:rPr>
          <w:rFonts w:hint="eastAsia" w:ascii="Times New Roman" w:hAnsi="Times New Roman"/>
          <w:kern w:val="0"/>
          <w:sz w:val="28"/>
          <w:szCs w:val="28"/>
          <w:shd w:val="clear" w:color="auto" w:fill="FFFFFF"/>
        </w:rPr>
      </w:pPr>
    </w:p>
    <w:p w14:paraId="59618447">
      <w:pPr>
        <w:jc w:val="center"/>
        <w:rPr>
          <w:rFonts w:ascii="Times New Roman" w:hAnsi="Times New Roman"/>
          <w:sz w:val="28"/>
          <w:szCs w:val="28"/>
        </w:rPr>
      </w:pPr>
      <w:r>
        <w:rPr>
          <w:rFonts w:hint="eastAsia" w:ascii="Times New Roman" w:hAnsi="Times New Roman"/>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Style w:val="22"/>
        <w:tblW w:w="9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1074"/>
        <w:gridCol w:w="1237"/>
        <w:gridCol w:w="4803"/>
        <w:gridCol w:w="2115"/>
      </w:tblGrid>
      <w:tr w14:paraId="373C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68DE56CE">
            <w:pPr>
              <w:widowControl/>
              <w:spacing w:after="150"/>
              <w:jc w:val="center"/>
              <w:rPr>
                <w:rFonts w:ascii="宋体" w:hAnsi="宋体" w:cs="宋体"/>
                <w:sz w:val="24"/>
              </w:rPr>
            </w:pPr>
            <w:r>
              <w:rPr>
                <w:rFonts w:hint="eastAsia" w:ascii="宋体" w:hAnsi="宋体" w:cs="宋体"/>
                <w:kern w:val="0"/>
                <w:sz w:val="24"/>
                <w:shd w:val="clear" w:color="auto" w:fill="FFFFFF"/>
              </w:rPr>
              <w:t>项目名称</w:t>
            </w:r>
          </w:p>
        </w:tc>
        <w:tc>
          <w:tcPr>
            <w:tcW w:w="8155" w:type="dxa"/>
            <w:gridSpan w:val="3"/>
            <w:tcBorders>
              <w:tl2br w:val="nil"/>
              <w:tr2bl w:val="nil"/>
            </w:tcBorders>
            <w:shd w:val="clear" w:color="auto" w:fill="FFFFFF"/>
            <w:vAlign w:val="center"/>
          </w:tcPr>
          <w:p w14:paraId="20B9C570">
            <w:pPr>
              <w:widowControl/>
              <w:spacing w:after="150"/>
              <w:jc w:val="center"/>
              <w:rPr>
                <w:rFonts w:hint="eastAsia" w:ascii="宋体" w:hAnsi="宋体" w:eastAsia="宋体" w:cs="宋体"/>
                <w:sz w:val="24"/>
                <w:lang w:eastAsia="zh-CN"/>
              </w:rPr>
            </w:pPr>
            <w:r>
              <w:rPr>
                <w:rFonts w:hint="eastAsia" w:ascii="宋体" w:hAnsi="宋体"/>
                <w:sz w:val="24"/>
                <w:szCs w:val="22"/>
                <w:lang w:eastAsia="zh-CN"/>
              </w:rPr>
              <w:t>上饶市龙海石油有限公司朝阳加油站安全现状评价报告</w:t>
            </w:r>
          </w:p>
        </w:tc>
      </w:tr>
      <w:tr w14:paraId="7C1C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AE2E23C">
            <w:pPr>
              <w:widowControl/>
              <w:spacing w:after="150"/>
              <w:jc w:val="center"/>
              <w:rPr>
                <w:rFonts w:ascii="宋体" w:hAnsi="宋体" w:cs="宋体"/>
                <w:sz w:val="24"/>
              </w:rPr>
            </w:pPr>
            <w:r>
              <w:rPr>
                <w:rFonts w:hint="eastAsia" w:ascii="宋体" w:hAnsi="宋体" w:cs="宋体"/>
                <w:kern w:val="0"/>
                <w:sz w:val="24"/>
                <w:shd w:val="clear" w:color="auto" w:fill="FFFFFF"/>
              </w:rPr>
              <w:t>完成时间</w:t>
            </w:r>
          </w:p>
        </w:tc>
        <w:tc>
          <w:tcPr>
            <w:tcW w:w="8155" w:type="dxa"/>
            <w:gridSpan w:val="3"/>
            <w:tcBorders>
              <w:tl2br w:val="nil"/>
              <w:tr2bl w:val="nil"/>
            </w:tcBorders>
            <w:shd w:val="clear" w:color="auto" w:fill="FFFFFF"/>
            <w:vAlign w:val="center"/>
          </w:tcPr>
          <w:p w14:paraId="5D51C70B">
            <w:pPr>
              <w:widowControl/>
              <w:spacing w:after="150"/>
              <w:jc w:val="center"/>
              <w:rPr>
                <w:rFonts w:ascii="宋体" w:hAnsi="宋体" w:cs="宋体"/>
                <w:sz w:val="24"/>
              </w:rPr>
            </w:pPr>
            <w:r>
              <w:rPr>
                <w:rFonts w:hint="eastAsia" w:ascii="宋体" w:hAnsi="宋体" w:cs="宋体"/>
                <w:sz w:val="24"/>
              </w:rPr>
              <w:t>202</w:t>
            </w:r>
            <w:r>
              <w:rPr>
                <w:rFonts w:hint="eastAsia" w:ascii="宋体" w:hAnsi="宋体" w:cs="宋体"/>
                <w:sz w:val="24"/>
                <w:lang w:val="en-US" w:eastAsia="zh-CN"/>
              </w:rPr>
              <w:t>6</w:t>
            </w:r>
            <w:r>
              <w:rPr>
                <w:rFonts w:hint="eastAsia" w:ascii="宋体" w:hAnsi="宋体" w:cs="宋体"/>
                <w:sz w:val="24"/>
              </w:rPr>
              <w:t>年</w:t>
            </w:r>
            <w:r>
              <w:rPr>
                <w:rFonts w:hint="eastAsia" w:ascii="宋体" w:hAnsi="宋体" w:cs="宋体"/>
                <w:sz w:val="24"/>
                <w:lang w:val="en-US" w:eastAsia="zh-CN"/>
              </w:rPr>
              <w:t>3</w:t>
            </w:r>
            <w:r>
              <w:rPr>
                <w:rFonts w:hint="eastAsia" w:ascii="宋体" w:hAnsi="宋体" w:cs="宋体"/>
                <w:sz w:val="24"/>
              </w:rPr>
              <w:t>月</w:t>
            </w:r>
          </w:p>
        </w:tc>
      </w:tr>
      <w:tr w14:paraId="0A60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229" w:type="dxa"/>
            <w:gridSpan w:val="4"/>
            <w:tcBorders>
              <w:tl2br w:val="nil"/>
              <w:tr2bl w:val="nil"/>
            </w:tcBorders>
            <w:shd w:val="clear" w:color="auto" w:fill="FFFFFF"/>
            <w:vAlign w:val="center"/>
          </w:tcPr>
          <w:p w14:paraId="1A712124">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评价人员</w:t>
            </w:r>
          </w:p>
        </w:tc>
      </w:tr>
      <w:tr w14:paraId="108E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5378F62E">
            <w:pPr>
              <w:jc w:val="center"/>
              <w:rPr>
                <w:rFonts w:ascii="宋体" w:hAnsi="宋体" w:cs="宋体"/>
                <w:sz w:val="24"/>
              </w:rPr>
            </w:pPr>
          </w:p>
        </w:tc>
        <w:tc>
          <w:tcPr>
            <w:tcW w:w="1237" w:type="dxa"/>
            <w:tcBorders>
              <w:tl2br w:val="nil"/>
              <w:tr2bl w:val="nil"/>
            </w:tcBorders>
            <w:shd w:val="clear" w:color="auto" w:fill="FFFFFF"/>
            <w:vAlign w:val="center"/>
          </w:tcPr>
          <w:p w14:paraId="7DF4D41E">
            <w:pPr>
              <w:widowControl/>
              <w:spacing w:after="150"/>
              <w:jc w:val="center"/>
              <w:rPr>
                <w:rFonts w:ascii="宋体" w:hAnsi="宋体" w:cs="宋体"/>
                <w:sz w:val="24"/>
              </w:rPr>
            </w:pPr>
            <w:r>
              <w:rPr>
                <w:rFonts w:hint="eastAsia" w:ascii="宋体" w:hAnsi="宋体" w:cs="宋体"/>
                <w:kern w:val="0"/>
                <w:sz w:val="24"/>
                <w:shd w:val="clear" w:color="auto" w:fill="FFFFFF"/>
              </w:rPr>
              <w:t>姓名</w:t>
            </w:r>
          </w:p>
        </w:tc>
        <w:tc>
          <w:tcPr>
            <w:tcW w:w="4803" w:type="dxa"/>
            <w:tcBorders>
              <w:tl2br w:val="nil"/>
              <w:tr2bl w:val="nil"/>
            </w:tcBorders>
            <w:shd w:val="clear" w:color="auto" w:fill="FFFFFF"/>
            <w:vAlign w:val="center"/>
          </w:tcPr>
          <w:p w14:paraId="0B76ABB8">
            <w:pPr>
              <w:widowControl/>
              <w:spacing w:after="150"/>
              <w:jc w:val="center"/>
              <w:rPr>
                <w:rFonts w:ascii="宋体" w:hAnsi="宋体" w:cs="宋体"/>
                <w:sz w:val="24"/>
              </w:rPr>
            </w:pPr>
            <w:r>
              <w:rPr>
                <w:rFonts w:hint="eastAsia" w:ascii="宋体" w:hAnsi="宋体" w:cs="宋体"/>
                <w:kern w:val="0"/>
                <w:sz w:val="24"/>
                <w:shd w:val="clear" w:color="auto" w:fill="FFFFFF"/>
              </w:rPr>
              <w:t>资格证书号</w:t>
            </w:r>
          </w:p>
        </w:tc>
        <w:tc>
          <w:tcPr>
            <w:tcW w:w="2115" w:type="dxa"/>
            <w:tcBorders>
              <w:tl2br w:val="nil"/>
              <w:tr2bl w:val="nil"/>
            </w:tcBorders>
            <w:shd w:val="clear" w:color="auto" w:fill="FFFFFF"/>
            <w:vAlign w:val="center"/>
          </w:tcPr>
          <w:p w14:paraId="271448A8">
            <w:pPr>
              <w:widowControl/>
              <w:spacing w:after="150"/>
              <w:jc w:val="center"/>
              <w:rPr>
                <w:rFonts w:ascii="宋体" w:hAnsi="宋体" w:cs="宋体"/>
                <w:sz w:val="24"/>
              </w:rPr>
            </w:pPr>
            <w:r>
              <w:rPr>
                <w:rFonts w:hint="eastAsia" w:ascii="宋体" w:hAnsi="宋体" w:cs="宋体"/>
                <w:kern w:val="0"/>
                <w:sz w:val="24"/>
                <w:shd w:val="clear" w:color="auto" w:fill="FFFFFF"/>
              </w:rPr>
              <w:t>从业号</w:t>
            </w:r>
          </w:p>
        </w:tc>
      </w:tr>
      <w:tr w14:paraId="39DC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074" w:type="dxa"/>
            <w:tcBorders>
              <w:tl2br w:val="nil"/>
              <w:tr2bl w:val="nil"/>
            </w:tcBorders>
            <w:shd w:val="clear" w:color="auto" w:fill="FFFFFF"/>
            <w:vAlign w:val="center"/>
          </w:tcPr>
          <w:p w14:paraId="2A157C85">
            <w:pPr>
              <w:jc w:val="center"/>
              <w:rPr>
                <w:rFonts w:ascii="宋体" w:hAnsi="宋体" w:cs="宋体"/>
                <w:sz w:val="24"/>
              </w:rPr>
            </w:pPr>
            <w:r>
              <w:rPr>
                <w:rFonts w:hint="eastAsia" w:ascii="宋体" w:hAnsi="宋体" w:cs="宋体"/>
                <w:sz w:val="24"/>
              </w:rPr>
              <w:t>项目负责人</w:t>
            </w:r>
          </w:p>
        </w:tc>
        <w:tc>
          <w:tcPr>
            <w:tcW w:w="1237" w:type="dxa"/>
            <w:tcBorders>
              <w:tl2br w:val="nil"/>
              <w:tr2bl w:val="nil"/>
            </w:tcBorders>
            <w:shd w:val="clear" w:color="auto" w:fill="FFFFFF"/>
            <w:vAlign w:val="center"/>
          </w:tcPr>
          <w:p w14:paraId="2AD910A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徐顺星</w:t>
            </w:r>
          </w:p>
        </w:tc>
        <w:tc>
          <w:tcPr>
            <w:tcW w:w="4803" w:type="dxa"/>
            <w:tcBorders>
              <w:tl2br w:val="nil"/>
              <w:tr2bl w:val="nil"/>
            </w:tcBorders>
            <w:shd w:val="clear" w:color="auto" w:fill="FFFFFF"/>
            <w:vAlign w:val="center"/>
          </w:tcPr>
          <w:p w14:paraId="27669D5A">
            <w:pPr>
              <w:spacing w:before="190" w:beforeLines="50" w:after="190" w:afterLines="50" w:line="240" w:lineRule="auto"/>
              <w:ind w:left="0" w:leftChars="0" w:firstLine="0" w:firstLineChar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S011041000110192</w:t>
            </w:r>
          </w:p>
          <w:p w14:paraId="550FA55F">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002229</w:t>
            </w:r>
          </w:p>
        </w:tc>
        <w:tc>
          <w:tcPr>
            <w:tcW w:w="2115" w:type="dxa"/>
            <w:tcBorders>
              <w:tl2br w:val="nil"/>
              <w:tr2bl w:val="nil"/>
            </w:tcBorders>
            <w:shd w:val="clear" w:color="auto" w:fill="FFFFFF"/>
            <w:vAlign w:val="center"/>
          </w:tcPr>
          <w:p w14:paraId="5954E4E9">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018803</w:t>
            </w:r>
          </w:p>
        </w:tc>
      </w:tr>
      <w:tr w14:paraId="5AC0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9" w:hRule="atLeast"/>
          <w:jc w:val="center"/>
        </w:trPr>
        <w:tc>
          <w:tcPr>
            <w:tcW w:w="1074" w:type="dxa"/>
            <w:vMerge w:val="restart"/>
            <w:tcBorders>
              <w:tl2br w:val="nil"/>
              <w:tr2bl w:val="nil"/>
            </w:tcBorders>
            <w:shd w:val="clear" w:color="auto" w:fill="FFFFFF"/>
            <w:vAlign w:val="center"/>
          </w:tcPr>
          <w:p w14:paraId="58DF1A50">
            <w:pPr>
              <w:jc w:val="center"/>
              <w:rPr>
                <w:rFonts w:ascii="宋体" w:hAnsi="宋体" w:cs="宋体"/>
                <w:sz w:val="24"/>
              </w:rPr>
            </w:pPr>
            <w:r>
              <w:rPr>
                <w:rFonts w:hint="eastAsia" w:ascii="宋体" w:hAnsi="宋体" w:cs="宋体"/>
                <w:sz w:val="24"/>
              </w:rPr>
              <w:t>项目组成员</w:t>
            </w:r>
          </w:p>
        </w:tc>
        <w:tc>
          <w:tcPr>
            <w:tcW w:w="1237" w:type="dxa"/>
            <w:tcBorders>
              <w:tl2br w:val="nil"/>
              <w:tr2bl w:val="nil"/>
            </w:tcBorders>
            <w:shd w:val="clear" w:color="auto" w:fill="FFFFFF"/>
            <w:vAlign w:val="center"/>
          </w:tcPr>
          <w:p w14:paraId="7C70241C">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于志勇</w:t>
            </w:r>
          </w:p>
        </w:tc>
        <w:tc>
          <w:tcPr>
            <w:tcW w:w="4803" w:type="dxa"/>
            <w:tcBorders>
              <w:tl2br w:val="nil"/>
              <w:tr2bl w:val="nil"/>
            </w:tcBorders>
            <w:shd w:val="clear" w:color="auto" w:fill="FFFFFF"/>
            <w:vAlign w:val="center"/>
          </w:tcPr>
          <w:p w14:paraId="404CC542">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2014033230330000003310230030</w:t>
            </w:r>
          </w:p>
        </w:tc>
        <w:tc>
          <w:tcPr>
            <w:tcW w:w="2115" w:type="dxa"/>
            <w:tcBorders>
              <w:tl2br w:val="nil"/>
              <w:tr2bl w:val="nil"/>
            </w:tcBorders>
            <w:shd w:val="clear" w:color="auto" w:fill="FFFFFF"/>
            <w:vAlign w:val="center"/>
          </w:tcPr>
          <w:p w14:paraId="782951DB">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51190209624</w:t>
            </w:r>
          </w:p>
        </w:tc>
      </w:tr>
      <w:tr w14:paraId="66394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0887BEAF">
            <w:pPr>
              <w:jc w:val="center"/>
              <w:rPr>
                <w:rFonts w:ascii="宋体" w:hAnsi="宋体" w:cs="宋体"/>
                <w:sz w:val="24"/>
              </w:rPr>
            </w:pPr>
          </w:p>
        </w:tc>
        <w:tc>
          <w:tcPr>
            <w:tcW w:w="1237" w:type="dxa"/>
            <w:tcBorders>
              <w:tl2br w:val="nil"/>
              <w:tr2bl w:val="nil"/>
            </w:tcBorders>
            <w:shd w:val="clear" w:color="auto" w:fill="FFFFFF"/>
            <w:vAlign w:val="center"/>
          </w:tcPr>
          <w:p w14:paraId="3AECF60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张晋慧</w:t>
            </w:r>
          </w:p>
        </w:tc>
        <w:tc>
          <w:tcPr>
            <w:tcW w:w="4803" w:type="dxa"/>
            <w:tcBorders>
              <w:tl2br w:val="nil"/>
              <w:tr2bl w:val="nil"/>
            </w:tcBorders>
            <w:shd w:val="clear" w:color="auto" w:fill="FFFFFF"/>
            <w:vAlign w:val="center"/>
          </w:tcPr>
          <w:p w14:paraId="3F218D8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1100000000302946</w:t>
            </w:r>
          </w:p>
        </w:tc>
        <w:tc>
          <w:tcPr>
            <w:tcW w:w="2115" w:type="dxa"/>
            <w:tcBorders>
              <w:tl2br w:val="nil"/>
              <w:tr2bl w:val="nil"/>
            </w:tcBorders>
            <w:shd w:val="clear" w:color="auto" w:fill="FFFFFF"/>
            <w:vAlign w:val="center"/>
          </w:tcPr>
          <w:p w14:paraId="0F0D8BA0">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020045</w:t>
            </w:r>
          </w:p>
        </w:tc>
      </w:tr>
      <w:tr w14:paraId="1D69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2BC1C2A7">
            <w:pPr>
              <w:jc w:val="center"/>
              <w:rPr>
                <w:rFonts w:ascii="宋体" w:hAnsi="宋体" w:cs="宋体"/>
                <w:sz w:val="24"/>
              </w:rPr>
            </w:pPr>
          </w:p>
        </w:tc>
        <w:tc>
          <w:tcPr>
            <w:tcW w:w="1237" w:type="dxa"/>
            <w:tcBorders>
              <w:tl2br w:val="nil"/>
              <w:tr2bl w:val="nil"/>
            </w:tcBorders>
            <w:shd w:val="clear" w:color="auto" w:fill="FFFFFF"/>
            <w:vAlign w:val="center"/>
          </w:tcPr>
          <w:p w14:paraId="49EA8F9A">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周巧云</w:t>
            </w:r>
          </w:p>
        </w:tc>
        <w:tc>
          <w:tcPr>
            <w:tcW w:w="4803" w:type="dxa"/>
            <w:tcBorders>
              <w:tl2br w:val="nil"/>
              <w:tr2bl w:val="nil"/>
            </w:tcBorders>
            <w:shd w:val="clear" w:color="auto" w:fill="FFFFFF"/>
            <w:vAlign w:val="center"/>
          </w:tcPr>
          <w:p w14:paraId="3AFA1E3D">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20231004632000007942</w:t>
            </w:r>
          </w:p>
        </w:tc>
        <w:tc>
          <w:tcPr>
            <w:tcW w:w="2115" w:type="dxa"/>
            <w:tcBorders>
              <w:tl2br w:val="nil"/>
              <w:tr2bl w:val="nil"/>
            </w:tcBorders>
            <w:shd w:val="clear" w:color="auto" w:fill="FFFFFF"/>
            <w:vAlign w:val="center"/>
          </w:tcPr>
          <w:p w14:paraId="40BC3936">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32240386462</w:t>
            </w:r>
          </w:p>
        </w:tc>
      </w:tr>
      <w:tr w14:paraId="160E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1074" w:type="dxa"/>
            <w:vMerge w:val="continue"/>
            <w:tcBorders>
              <w:tl2br w:val="nil"/>
              <w:tr2bl w:val="nil"/>
            </w:tcBorders>
            <w:shd w:val="clear" w:color="auto" w:fill="FFFFFF"/>
            <w:vAlign w:val="center"/>
          </w:tcPr>
          <w:p w14:paraId="6906CDEE">
            <w:pPr>
              <w:jc w:val="center"/>
              <w:rPr>
                <w:rFonts w:ascii="宋体" w:hAnsi="宋体" w:cs="宋体"/>
                <w:sz w:val="24"/>
              </w:rPr>
            </w:pPr>
          </w:p>
        </w:tc>
        <w:tc>
          <w:tcPr>
            <w:tcW w:w="1237" w:type="dxa"/>
            <w:tcBorders>
              <w:tl2br w:val="nil"/>
              <w:tr2bl w:val="nil"/>
            </w:tcBorders>
            <w:shd w:val="clear" w:color="auto" w:fill="FFFFFF"/>
            <w:vAlign w:val="center"/>
          </w:tcPr>
          <w:p w14:paraId="71F8DBD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lang w:val="en-US" w:eastAsia="zh-CN"/>
              </w:rPr>
              <w:t>乔贯德</w:t>
            </w:r>
          </w:p>
        </w:tc>
        <w:tc>
          <w:tcPr>
            <w:tcW w:w="4803" w:type="dxa"/>
            <w:tcBorders>
              <w:tl2br w:val="nil"/>
              <w:tr2bl w:val="nil"/>
            </w:tcBorders>
            <w:shd w:val="clear" w:color="auto" w:fill="FFFFFF"/>
            <w:vAlign w:val="center"/>
          </w:tcPr>
          <w:p w14:paraId="331FAC55">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1700000000300087</w:t>
            </w:r>
          </w:p>
        </w:tc>
        <w:tc>
          <w:tcPr>
            <w:tcW w:w="2115" w:type="dxa"/>
            <w:tcBorders>
              <w:tl2br w:val="nil"/>
              <w:tr2bl w:val="nil"/>
            </w:tcBorders>
            <w:shd w:val="clear" w:color="auto" w:fill="FFFFFF"/>
            <w:vAlign w:val="center"/>
          </w:tcPr>
          <w:p w14:paraId="23566468">
            <w:pPr>
              <w:spacing w:before="190" w:beforeLines="50" w:after="190" w:afterLines="50" w:line="240" w:lineRule="auto"/>
              <w:ind w:left="0" w:leftChars="0" w:firstLine="0" w:firstLineChars="0"/>
              <w:jc w:val="center"/>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szCs w:val="24"/>
              </w:rPr>
              <w:t>030797</w:t>
            </w:r>
          </w:p>
        </w:tc>
      </w:tr>
      <w:tr w14:paraId="543F5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74" w:type="dxa"/>
            <w:tcBorders>
              <w:tl2br w:val="nil"/>
              <w:tr2bl w:val="nil"/>
            </w:tcBorders>
            <w:shd w:val="clear" w:color="auto" w:fill="FFFFFF"/>
            <w:vAlign w:val="center"/>
          </w:tcPr>
          <w:p w14:paraId="19B802E8">
            <w:pPr>
              <w:widowControl/>
              <w:spacing w:after="150"/>
              <w:jc w:val="center"/>
              <w:rPr>
                <w:rFonts w:ascii="宋体" w:hAnsi="宋体" w:cs="宋体"/>
                <w:sz w:val="24"/>
              </w:rPr>
            </w:pPr>
            <w:r>
              <w:rPr>
                <w:rFonts w:hint="eastAsia" w:ascii="宋体" w:hAnsi="宋体" w:cs="宋体"/>
                <w:kern w:val="0"/>
                <w:sz w:val="24"/>
                <w:shd w:val="clear" w:color="auto" w:fill="FFFFFF"/>
              </w:rPr>
              <w:t>技术专家</w:t>
            </w:r>
          </w:p>
        </w:tc>
        <w:tc>
          <w:tcPr>
            <w:tcW w:w="8155" w:type="dxa"/>
            <w:gridSpan w:val="3"/>
            <w:tcBorders>
              <w:tl2br w:val="nil"/>
              <w:tr2bl w:val="nil"/>
            </w:tcBorders>
            <w:shd w:val="clear" w:color="auto" w:fill="FFFFFF"/>
            <w:vAlign w:val="center"/>
          </w:tcPr>
          <w:p w14:paraId="0A57008B">
            <w:pPr>
              <w:jc w:val="center"/>
              <w:rPr>
                <w:rFonts w:ascii="宋体" w:hAnsi="宋体" w:cs="宋体"/>
                <w:sz w:val="24"/>
              </w:rPr>
            </w:pPr>
            <w:r>
              <w:rPr>
                <w:rFonts w:hint="eastAsia" w:ascii="宋体" w:hAnsi="宋体" w:cs="宋体"/>
                <w:sz w:val="24"/>
              </w:rPr>
              <w:t>/</w:t>
            </w:r>
          </w:p>
        </w:tc>
      </w:tr>
      <w:tr w14:paraId="4686A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0" w:hRule="atLeast"/>
          <w:jc w:val="center"/>
        </w:trPr>
        <w:tc>
          <w:tcPr>
            <w:tcW w:w="1074" w:type="dxa"/>
            <w:tcBorders>
              <w:tl2br w:val="nil"/>
              <w:tr2bl w:val="nil"/>
            </w:tcBorders>
            <w:shd w:val="clear" w:color="auto" w:fill="FFFFFF"/>
            <w:vAlign w:val="center"/>
          </w:tcPr>
          <w:p w14:paraId="041177EC">
            <w:pPr>
              <w:widowControl/>
              <w:spacing w:after="150"/>
              <w:jc w:val="center"/>
              <w:rPr>
                <w:rFonts w:ascii="宋体" w:hAnsi="宋体" w:cs="宋体"/>
                <w:sz w:val="24"/>
              </w:rPr>
            </w:pPr>
            <w:r>
              <w:rPr>
                <w:rFonts w:hint="eastAsia" w:ascii="宋体" w:hAnsi="宋体" w:cs="宋体"/>
                <w:kern w:val="0"/>
                <w:sz w:val="24"/>
                <w:shd w:val="clear" w:color="auto" w:fill="FFFFFF"/>
              </w:rPr>
              <w:t>现场勘察人员及时间</w:t>
            </w:r>
          </w:p>
        </w:tc>
        <w:tc>
          <w:tcPr>
            <w:tcW w:w="8155" w:type="dxa"/>
            <w:gridSpan w:val="3"/>
            <w:tcBorders>
              <w:tl2br w:val="nil"/>
              <w:tr2bl w:val="nil"/>
            </w:tcBorders>
            <w:shd w:val="clear" w:color="auto" w:fill="FFFFFF"/>
            <w:vAlign w:val="center"/>
          </w:tcPr>
          <w:p w14:paraId="1D05DF95">
            <w:pPr>
              <w:widowControl/>
              <w:spacing w:after="150"/>
              <w:jc w:val="center"/>
              <w:rPr>
                <w:rFonts w:hint="default" w:ascii="Times New Roman" w:hAnsi="Times New Roman" w:eastAsia="宋体"/>
                <w:sz w:val="24"/>
                <w:lang w:val="en-US" w:eastAsia="zh-CN"/>
              </w:rPr>
            </w:pPr>
            <w:r>
              <w:rPr>
                <w:rFonts w:hint="eastAsia" w:ascii="宋体" w:hAnsi="宋体" w:eastAsia="宋体" w:cs="宋体"/>
                <w:color w:val="000000"/>
                <w:sz w:val="24"/>
                <w:szCs w:val="24"/>
              </w:rPr>
              <w:t>徐顺星</w:t>
            </w:r>
            <w:r>
              <w:rPr>
                <w:rFonts w:hint="eastAsia" w:ascii="宋体" w:hAnsi="宋体" w:cs="宋体"/>
                <w:color w:val="000000"/>
                <w:sz w:val="24"/>
                <w:szCs w:val="24"/>
                <w:lang w:eastAsia="zh-CN"/>
              </w:rPr>
              <w:t>、</w:t>
            </w:r>
            <w:r>
              <w:rPr>
                <w:rFonts w:hint="eastAsia" w:ascii="宋体" w:hAnsi="宋体" w:eastAsia="宋体" w:cs="宋体"/>
                <w:color w:val="000000"/>
                <w:sz w:val="24"/>
                <w:szCs w:val="24"/>
                <w:lang w:val="en-US" w:eastAsia="zh-CN"/>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3</w:t>
            </w:r>
            <w:r>
              <w:rPr>
                <w:rFonts w:hint="eastAsia"/>
                <w:sz w:val="24"/>
              </w:rPr>
              <w:t>.</w:t>
            </w:r>
            <w:r>
              <w:rPr>
                <w:rFonts w:hint="eastAsia"/>
                <w:sz w:val="24"/>
                <w:lang w:val="en-US" w:eastAsia="zh-CN"/>
              </w:rPr>
              <w:t>4</w:t>
            </w:r>
          </w:p>
        </w:tc>
      </w:tr>
      <w:tr w14:paraId="3F193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074" w:type="dxa"/>
            <w:tcBorders>
              <w:tl2br w:val="nil"/>
              <w:tr2bl w:val="nil"/>
            </w:tcBorders>
            <w:shd w:val="clear" w:color="auto" w:fill="FFFFFF"/>
            <w:vAlign w:val="center"/>
          </w:tcPr>
          <w:p w14:paraId="73143C70">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现场核查的人员和时间</w:t>
            </w:r>
          </w:p>
        </w:tc>
        <w:tc>
          <w:tcPr>
            <w:tcW w:w="8155" w:type="dxa"/>
            <w:gridSpan w:val="3"/>
            <w:tcBorders>
              <w:tl2br w:val="nil"/>
              <w:tr2bl w:val="nil"/>
            </w:tcBorders>
            <w:shd w:val="clear" w:color="auto" w:fill="FFFFFF"/>
            <w:vAlign w:val="center"/>
          </w:tcPr>
          <w:p w14:paraId="25FE7179">
            <w:pPr>
              <w:widowControl/>
              <w:spacing w:after="150"/>
              <w:jc w:val="center"/>
              <w:rPr>
                <w:rFonts w:hint="default" w:ascii="Times New Roman" w:hAnsi="Times New Roman" w:eastAsia="宋体"/>
                <w:color w:val="FF0000"/>
                <w:sz w:val="24"/>
                <w:lang w:val="en-US" w:eastAsia="zh-CN"/>
              </w:rPr>
            </w:pPr>
            <w:r>
              <w:rPr>
                <w:rFonts w:hint="eastAsia" w:ascii="宋体" w:hAnsi="宋体" w:eastAsia="宋体" w:cs="宋体"/>
                <w:color w:val="000000"/>
                <w:sz w:val="24"/>
                <w:szCs w:val="24"/>
              </w:rPr>
              <w:t>徐顺星</w:t>
            </w:r>
            <w:r>
              <w:rPr>
                <w:rFonts w:hint="eastAsia" w:ascii="宋体" w:hAnsi="宋体" w:cs="宋体"/>
                <w:color w:val="000000"/>
                <w:sz w:val="24"/>
                <w:szCs w:val="24"/>
                <w:lang w:eastAsia="zh-CN"/>
              </w:rPr>
              <w:t>、</w:t>
            </w:r>
            <w:r>
              <w:rPr>
                <w:rFonts w:hint="eastAsia" w:ascii="宋体" w:hAnsi="宋体" w:eastAsia="宋体" w:cs="宋体"/>
                <w:color w:val="000000"/>
                <w:sz w:val="24"/>
                <w:szCs w:val="24"/>
                <w:lang w:val="en-US" w:eastAsia="zh-CN"/>
              </w:rPr>
              <w:t>乔贯德</w:t>
            </w:r>
            <w:r>
              <w:rPr>
                <w:rFonts w:hint="eastAsia"/>
                <w:sz w:val="24"/>
              </w:rPr>
              <w:t>202</w:t>
            </w:r>
            <w:r>
              <w:rPr>
                <w:rFonts w:hint="eastAsia"/>
                <w:sz w:val="24"/>
                <w:lang w:val="en-US" w:eastAsia="zh-CN"/>
              </w:rPr>
              <w:t>6</w:t>
            </w:r>
            <w:r>
              <w:rPr>
                <w:rFonts w:hint="eastAsia"/>
                <w:sz w:val="24"/>
              </w:rPr>
              <w:t>.</w:t>
            </w:r>
            <w:r>
              <w:rPr>
                <w:rFonts w:hint="eastAsia"/>
                <w:sz w:val="24"/>
                <w:lang w:val="en-US" w:eastAsia="zh-CN"/>
              </w:rPr>
              <w:t>3</w:t>
            </w:r>
            <w:r>
              <w:rPr>
                <w:rFonts w:hint="eastAsia"/>
                <w:sz w:val="24"/>
              </w:rPr>
              <w:t>.</w:t>
            </w:r>
            <w:r>
              <w:rPr>
                <w:rFonts w:hint="eastAsia"/>
                <w:sz w:val="24"/>
                <w:lang w:val="en-US" w:eastAsia="zh-CN"/>
              </w:rPr>
              <w:t>8</w:t>
            </w:r>
          </w:p>
        </w:tc>
      </w:tr>
      <w:tr w14:paraId="6799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2373A96">
            <w:pPr>
              <w:widowControl/>
              <w:spacing w:after="150"/>
              <w:jc w:val="center"/>
              <w:rPr>
                <w:rFonts w:ascii="宋体" w:hAnsi="宋体" w:cs="宋体"/>
                <w:sz w:val="24"/>
              </w:rPr>
            </w:pPr>
            <w:r>
              <w:rPr>
                <w:rFonts w:hint="eastAsia" w:ascii="宋体" w:hAnsi="宋体" w:cs="宋体"/>
                <w:kern w:val="0"/>
                <w:sz w:val="24"/>
                <w:shd w:val="clear" w:color="auto" w:fill="FFFFFF"/>
              </w:rPr>
              <w:t>项目简介</w:t>
            </w:r>
          </w:p>
        </w:tc>
        <w:tc>
          <w:tcPr>
            <w:tcW w:w="8155" w:type="dxa"/>
            <w:gridSpan w:val="3"/>
            <w:tcBorders>
              <w:tl2br w:val="nil"/>
              <w:tr2bl w:val="nil"/>
            </w:tcBorders>
            <w:shd w:val="clear" w:color="auto" w:fill="FFFFFF"/>
          </w:tcPr>
          <w:p w14:paraId="4F588948">
            <w:pPr>
              <w:rPr>
                <w:rFonts w:hint="eastAsia"/>
              </w:rPr>
            </w:pPr>
            <w:r>
              <w:rPr>
                <w:rFonts w:hint="eastAsia"/>
              </w:rPr>
              <w:t>上饶市龙海石油有限公司朝阳加油站（简称“该加油站”）于2020年6月注册成立。主营产品是汽油和柴油。</w:t>
            </w:r>
          </w:p>
          <w:p w14:paraId="25AEB726">
            <w:pPr>
              <w:rPr>
                <w:rFonts w:hint="eastAsia"/>
              </w:rPr>
            </w:pPr>
            <w:r>
              <w:rPr>
                <w:rFonts w:hint="eastAsia"/>
              </w:rPr>
              <w:t>该加油站位于江西省上饶市信州区朝阳乡下潭村上广公路北侧老屋山底066号。上饶市市场监督管理局办理营业执照（统一社会信用代码：91361100MA3989JG0L），并已取得上饶市商务局颁发的成品油零售经营批准证书（油零售证书第上饶0601号）及上饶市应急管理局颁发的危险化学品经营许可证（赣饶应经许字〔2023〕0324050号）。</w:t>
            </w:r>
          </w:p>
          <w:p w14:paraId="55E7B7CB">
            <w:pPr>
              <w:rPr>
                <w:rFonts w:hint="eastAsia"/>
              </w:rPr>
            </w:pPr>
            <w:r>
              <w:rPr>
                <w:rFonts w:hint="eastAsia"/>
              </w:rPr>
              <w:t>该加油站有5台加油机，有4个油罐，容量分别是1台50m³的92#汽油储罐、1台50m³的95#汽油储罐、2台50m³0#柴油储罐，油品储量折算为150m³（柴油折半计算）。站内职工人员11人。按照《汽车加油加气加氢站技术标准》（GB50156-2021）中对加油站等级的划分，该加油站为二级加油站。</w:t>
            </w:r>
          </w:p>
        </w:tc>
      </w:tr>
      <w:tr w14:paraId="7BB0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0C26B5DC">
            <w:pPr>
              <w:widowControl/>
              <w:spacing w:after="150"/>
              <w:jc w:val="center"/>
            </w:pPr>
            <w:r>
              <w:rPr>
                <w:rFonts w:hint="eastAsia"/>
                <w:sz w:val="24"/>
              </w:rPr>
              <w:t>工艺流程</w:t>
            </w:r>
          </w:p>
        </w:tc>
        <w:tc>
          <w:tcPr>
            <w:tcW w:w="8155" w:type="dxa"/>
            <w:gridSpan w:val="3"/>
            <w:tcBorders>
              <w:tl2br w:val="nil"/>
              <w:tr2bl w:val="nil"/>
            </w:tcBorders>
            <w:shd w:val="clear" w:color="auto" w:fill="FFFFFF"/>
          </w:tcPr>
          <w:p w14:paraId="10E11DA8">
            <w:pPr>
              <w:rPr>
                <w:rFonts w:hint="eastAsia"/>
              </w:rPr>
            </w:pPr>
            <w:r>
              <w:rPr>
                <w:rFonts w:hint="eastAsia"/>
              </w:rPr>
              <w:t>1、卸油工艺、卸油油气回收工艺</w:t>
            </w:r>
          </w:p>
          <w:p w14:paraId="6412FA7E">
            <w:pPr>
              <w:rPr>
                <w:rFonts w:hint="eastAsia"/>
              </w:rPr>
            </w:pPr>
            <w:r>
              <w:rPr>
                <w:rFonts w:hint="eastAsia"/>
              </w:rPr>
              <w:t>该站采用密闭自流卸油方式。先检查静电接地装置是否完好，当油品用油罐车拉到加油站后，在卸油口附近停稳熄火，先用加油站的静电接地导线与油罐车的静电导出接点跨接在一起，静置十五分钟后导除静电。然后用快速接头将油罐车的卸油软管与储油罐的快速密闭卸油口连接在一起，开始卸油。油品卸完后，先关闭油罐车的阀门，再拆除连通软管及静电接地装置。检查没有溢油、漏油后，人工封闭好卸油口，静置5分钟以后发动油品罐车缓慢离开油罐区。卸油中注意观察管线、阀门等相关设备的运行情况。卸油结束时，检查并确认没有溢油、漏油后，关好阀门，断开卸油快速接头，盖好口盖，清理现场。</w:t>
            </w:r>
          </w:p>
          <w:p w14:paraId="4D3B0528">
            <w:pPr>
              <w:rPr>
                <w:rFonts w:hint="eastAsia"/>
              </w:rPr>
            </w:pPr>
            <w:r>
              <w:rPr>
                <w:rFonts w:hint="eastAsia"/>
              </w:rPr>
              <w:t>卸油油气回收系统:在油罐车卸油过程中，储油车内压力减小，地下储罐内压力增加，地下储罐与油罐车内的压力差，使卸油过程中挥发的油气通过管线回到油罐车内，达到油气收集的目的。</w:t>
            </w:r>
          </w:p>
          <w:p w14:paraId="5B0171B7">
            <w:pPr>
              <w:rPr>
                <w:rFonts w:hint="eastAsia"/>
              </w:rPr>
            </w:pPr>
            <w:r>
              <w:rPr>
                <w:rFonts w:hint="eastAsia"/>
              </w:rPr>
              <w:t>2）加油工艺、加油油气回收工艺</w:t>
            </w:r>
          </w:p>
          <w:p w14:paraId="4E42329A">
            <w:pPr>
              <w:rPr>
                <w:rFonts w:hint="eastAsia"/>
              </w:rPr>
            </w:pPr>
            <w:r>
              <w:rPr>
                <w:rFonts w:hint="eastAsia"/>
              </w:rPr>
              <w:t>加油工艺：计量后通过潜油泵进行加油，油品自油罐内通过底阀、工艺管道至加油机处，用加油枪加油于受油容器。加油枪具有自封闭功能，以保证加油的安全性。加油过程采用“分散式”加油油气回收系统，及时将受油容器内的油气回收至油罐。加油完毕后尽快将加油枪放回托架内。</w:t>
            </w:r>
          </w:p>
          <w:p w14:paraId="72A57728">
            <w:pPr>
              <w:rPr>
                <w:rFonts w:ascii="宋体" w:hAnsi="宋体" w:cs="宋体"/>
                <w:snapToGrid w:val="0"/>
                <w:kern w:val="0"/>
                <w:szCs w:val="21"/>
              </w:rPr>
            </w:pPr>
            <w:r>
              <w:rPr>
                <w:rFonts w:hint="eastAsia"/>
              </w:rPr>
              <w:t>加油油气回收系统：在加油站为汽车加油过程中，通过真空泵产生一定真空度，经过加油枪、油气回收管、真空泵等油气回收设备，按照气液比控制在1.0至1.2之间的要求，将加油过程中挥发的油气回收到油罐内。</w:t>
            </w:r>
          </w:p>
        </w:tc>
      </w:tr>
      <w:tr w14:paraId="00BC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1074" w:type="dxa"/>
            <w:tcBorders>
              <w:tl2br w:val="nil"/>
              <w:tr2bl w:val="nil"/>
            </w:tcBorders>
            <w:shd w:val="clear" w:color="auto" w:fill="FFFFFF"/>
            <w:vAlign w:val="center"/>
          </w:tcPr>
          <w:p w14:paraId="1C049D42">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14:paraId="4B514EAD">
            <w:pPr>
              <w:widowControl/>
              <w:spacing w:after="150"/>
              <w:jc w:val="center"/>
              <w:rPr>
                <w:rFonts w:ascii="宋体" w:hAnsi="宋体" w:cs="宋体"/>
                <w:kern w:val="0"/>
                <w:sz w:val="24"/>
                <w:shd w:val="clear" w:color="auto" w:fill="FFFFFF"/>
              </w:rPr>
            </w:pPr>
            <w:r>
              <w:rPr>
                <w:rFonts w:hint="eastAsia" w:ascii="宋体" w:hAnsi="宋体" w:cs="宋体"/>
                <w:kern w:val="0"/>
                <w:sz w:val="24"/>
                <w:shd w:val="clear" w:color="auto" w:fill="FFFFFF"/>
              </w:rPr>
              <w:t>满意</w:t>
            </w:r>
          </w:p>
        </w:tc>
      </w:tr>
    </w:tbl>
    <w:p w14:paraId="37F63244">
      <w:r>
        <w:rPr>
          <w:rFonts w:hint="eastAsia"/>
        </w:rPr>
        <w:br w:type="page"/>
      </w:r>
    </w:p>
    <w:p w14:paraId="5E07ABB9">
      <w:pPr>
        <w:rPr>
          <w:rFonts w:hint="eastAsia" w:eastAsia="宋体"/>
          <w:lang w:eastAsia="zh-CN"/>
        </w:rPr>
      </w:pPr>
    </w:p>
    <w:p w14:paraId="0E5298BF"/>
    <w:p w14:paraId="4223652F"/>
    <w:p w14:paraId="2A512B2C"/>
    <w:p w14:paraId="550F72D5">
      <w:pPr>
        <w:rPr>
          <w:rFonts w:hint="eastAsia" w:eastAsia="宋体"/>
          <w:lang w:eastAsia="zh-CN"/>
        </w:rPr>
      </w:pPr>
      <w:r>
        <w:rPr>
          <w:rFonts w:hint="eastAsia" w:eastAsia="宋体"/>
          <w:lang w:eastAsia="zh-CN"/>
        </w:rPr>
        <w:drawing>
          <wp:inline distT="0" distB="0" distL="114300" distR="114300">
            <wp:extent cx="5222875" cy="3917315"/>
            <wp:effectExtent l="0" t="0" r="15875" b="698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4"/>
                    <a:stretch>
                      <a:fillRect/>
                    </a:stretch>
                  </pic:blipFill>
                  <pic:spPr>
                    <a:xfrm>
                      <a:off x="0" y="0"/>
                      <a:ext cx="5222875" cy="3917315"/>
                    </a:xfrm>
                    <a:prstGeom prst="rect">
                      <a:avLst/>
                    </a:prstGeom>
                  </pic:spPr>
                </pic:pic>
              </a:graphicData>
            </a:graphic>
          </wp:inline>
        </w:drawing>
      </w:r>
      <w:bookmarkStart w:id="0" w:name="_GoBack"/>
      <w:bookmarkEnd w:id="0"/>
    </w:p>
    <w:p w14:paraId="44D6F4B2">
      <w:r>
        <w:rPr>
          <w:rFonts w:hint="eastAsia" w:eastAsia="宋体"/>
          <w:lang w:eastAsia="zh-CN"/>
        </w:rPr>
        <w:drawing>
          <wp:anchor distT="0" distB="0" distL="114300" distR="114300" simplePos="0" relativeHeight="251659264" behindDoc="0" locked="0" layoutInCell="1" allowOverlap="1">
            <wp:simplePos x="0" y="0"/>
            <wp:positionH relativeFrom="column">
              <wp:posOffset>-2540</wp:posOffset>
            </wp:positionH>
            <wp:positionV relativeFrom="paragraph">
              <wp:posOffset>8890</wp:posOffset>
            </wp:positionV>
            <wp:extent cx="5222875" cy="3917315"/>
            <wp:effectExtent l="0" t="0" r="15875" b="6985"/>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22875" cy="3917315"/>
                    </a:xfrm>
                    <a:prstGeom prst="rect">
                      <a:avLst/>
                    </a:prstGeom>
                  </pic:spPr>
                </pic:pic>
              </a:graphicData>
            </a:graphic>
          </wp:anchor>
        </w:drawing>
      </w:r>
    </w:p>
    <w:p w14:paraId="7D6C13BF">
      <w:r>
        <w:rPr>
          <w:rFonts w:hint="eastAsia" w:eastAsia="宋体"/>
          <w:lang w:eastAsia="zh-CN"/>
        </w:rPr>
        <w:drawing>
          <wp:inline distT="0" distB="0" distL="114300" distR="114300">
            <wp:extent cx="5259070" cy="7443470"/>
            <wp:effectExtent l="0" t="0" r="17780" b="5080"/>
            <wp:docPr id="11" name="图片 11" descr="PDF合并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DF合并_01"/>
                    <pic:cNvPicPr>
                      <a:picLocks noChangeAspect="1"/>
                    </pic:cNvPicPr>
                  </pic:nvPicPr>
                  <pic:blipFill>
                    <a:blip r:embed="rId6"/>
                    <a:stretch>
                      <a:fillRect/>
                    </a:stretch>
                  </pic:blipFill>
                  <pic:spPr>
                    <a:xfrm>
                      <a:off x="0" y="0"/>
                      <a:ext cx="5259070" cy="7443470"/>
                    </a:xfrm>
                    <a:prstGeom prst="rect">
                      <a:avLst/>
                    </a:prstGeom>
                  </pic:spPr>
                </pic:pic>
              </a:graphicData>
            </a:graphic>
          </wp:inline>
        </w:drawing>
      </w:r>
    </w:p>
    <w:p w14:paraId="22AF1EED"/>
    <w:p w14:paraId="3601A34F">
      <w:pPr>
        <w:rPr>
          <w:rFonts w:hint="eastAsia" w:eastAsia="宋体"/>
          <w:lang w:eastAsia="zh-CN"/>
        </w:rPr>
      </w:pPr>
    </w:p>
    <w:p w14:paraId="795F8353"/>
    <w:p w14:paraId="6004ECD9"/>
    <w:p w14:paraId="4521D7C1"/>
    <w:p w14:paraId="1FF13339">
      <w:pPr>
        <w:jc w:val="both"/>
      </w:pPr>
    </w:p>
    <w:p w14:paraId="32057267">
      <w:pPr>
        <w:jc w:val="both"/>
        <w:rPr>
          <w:rFonts w:hint="eastAsia" w:eastAsia="宋体"/>
          <w:lang w:eastAsia="zh-CN"/>
        </w:rPr>
      </w:pPr>
    </w:p>
    <w:p w14:paraId="71131254">
      <w:pPr>
        <w:jc w:val="both"/>
      </w:pPr>
    </w:p>
    <w:p w14:paraId="50678230">
      <w:pPr>
        <w:jc w:val="both"/>
      </w:pPr>
    </w:p>
    <w:p w14:paraId="00CEC2E3">
      <w:pPr>
        <w:jc w:val="both"/>
        <w:rPr>
          <w:rFonts w:hint="eastAsia" w:eastAsia="宋体"/>
          <w:lang w:eastAsia="zh-CN"/>
        </w:rPr>
      </w:pPr>
      <w:r>
        <w:rPr>
          <w:rFonts w:hint="eastAsia" w:eastAsia="宋体"/>
          <w:lang w:eastAsia="zh-CN"/>
        </w:rPr>
        <w:drawing>
          <wp:inline distT="0" distB="0" distL="114300" distR="114300">
            <wp:extent cx="5259070" cy="7443470"/>
            <wp:effectExtent l="0" t="0" r="17780" b="5080"/>
            <wp:docPr id="9" name="图片 9" descr="PDF合并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DF合并_03"/>
                    <pic:cNvPicPr>
                      <a:picLocks noChangeAspect="1"/>
                    </pic:cNvPicPr>
                  </pic:nvPicPr>
                  <pic:blipFill>
                    <a:blip r:embed="rId7"/>
                    <a:stretch>
                      <a:fillRect/>
                    </a:stretch>
                  </pic:blipFill>
                  <pic:spPr>
                    <a:xfrm>
                      <a:off x="0" y="0"/>
                      <a:ext cx="5259070" cy="7443470"/>
                    </a:xfrm>
                    <a:prstGeom prst="rect">
                      <a:avLst/>
                    </a:prstGeom>
                  </pic:spPr>
                </pic:pic>
              </a:graphicData>
            </a:graphic>
          </wp:inline>
        </w:drawing>
      </w:r>
      <w:r>
        <w:rPr>
          <w:rFonts w:hint="eastAsia" w:eastAsia="宋体"/>
          <w:lang w:eastAsia="zh-CN"/>
        </w:rPr>
        <w:drawing>
          <wp:inline distT="0" distB="0" distL="114300" distR="114300">
            <wp:extent cx="5259070" cy="7443470"/>
            <wp:effectExtent l="0" t="0" r="17780" b="5080"/>
            <wp:docPr id="10" name="图片 10" descr="PDF合并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DF合并_02"/>
                    <pic:cNvPicPr>
                      <a:picLocks noChangeAspect="1"/>
                    </pic:cNvPicPr>
                  </pic:nvPicPr>
                  <pic:blipFill>
                    <a:blip r:embed="rId8"/>
                    <a:stretch>
                      <a:fillRect/>
                    </a:stretch>
                  </pic:blipFill>
                  <pic:spPr>
                    <a:xfrm>
                      <a:off x="0" y="0"/>
                      <a:ext cx="5259070" cy="7443470"/>
                    </a:xfrm>
                    <a:prstGeom prst="rect">
                      <a:avLst/>
                    </a:prstGeom>
                  </pic:spPr>
                </pic:pic>
              </a:graphicData>
            </a:graphic>
          </wp:inline>
        </w:drawing>
      </w:r>
    </w:p>
    <w:p w14:paraId="1DD3FCE3">
      <w:pPr>
        <w:jc w:val="both"/>
      </w:pPr>
    </w:p>
    <w:p w14:paraId="2B59A32B">
      <w:pPr>
        <w:jc w:val="both"/>
      </w:pPr>
    </w:p>
    <w:p w14:paraId="256DE4E7">
      <w:pPr>
        <w:jc w:val="both"/>
      </w:pPr>
    </w:p>
    <w:p w14:paraId="5A2C25E3">
      <w:pPr>
        <w:jc w:val="both"/>
      </w:pPr>
    </w:p>
    <w:p w14:paraId="533D82FB">
      <w:pPr>
        <w:jc w:val="both"/>
      </w:pPr>
    </w:p>
    <w:p w14:paraId="44535C2E">
      <w:pPr>
        <w:jc w:val="both"/>
        <w:rPr>
          <w:rFonts w:hint="eastAsia" w:eastAsia="宋体"/>
          <w:lang w:eastAsia="zh-CN"/>
        </w:rPr>
      </w:pPr>
    </w:p>
    <w:p w14:paraId="519CA0EC">
      <w:pPr>
        <w:rPr>
          <w:rFonts w:hint="eastAsia"/>
          <w:lang w:eastAsia="zh-CN"/>
        </w:rPr>
      </w:pPr>
      <w:r>
        <w:rPr>
          <w:rFonts w:hint="eastAsia"/>
          <w:lang w:eastAsia="zh-CN"/>
        </w:rPr>
        <w:drawing>
          <wp:inline distT="0" distB="0" distL="114300" distR="114300">
            <wp:extent cx="5263515" cy="7443470"/>
            <wp:effectExtent l="0" t="0" r="13335" b="5080"/>
            <wp:docPr id="13" name="图片 13" descr="上饶市龙海石油有限公司朝阳加油站安全现状评价合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上饶市龙海石油有限公司朝阳加油站安全现状评价合同_01"/>
                    <pic:cNvPicPr>
                      <a:picLocks noChangeAspect="1"/>
                    </pic:cNvPicPr>
                  </pic:nvPicPr>
                  <pic:blipFill>
                    <a:blip r:embed="rId9"/>
                    <a:stretch>
                      <a:fillRect/>
                    </a:stretch>
                  </pic:blipFill>
                  <pic:spPr>
                    <a:xfrm>
                      <a:off x="0" y="0"/>
                      <a:ext cx="5263515" cy="7443470"/>
                    </a:xfrm>
                    <a:prstGeom prst="rect">
                      <a:avLst/>
                    </a:prstGeom>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8"/>
    <w:family w:val="script"/>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0679C0"/>
    <w:multiLevelType w:val="singleLevel"/>
    <w:tmpl w:val="850679C0"/>
    <w:lvl w:ilvl="0" w:tentative="0">
      <w:start w:val="1"/>
      <w:numFmt w:val="decimal"/>
      <w:pStyle w:val="47"/>
      <w:suff w:val="nothing"/>
      <w:lvlText w:val="%1）"/>
      <w:lvlJc w:val="left"/>
      <w:pPr>
        <w:tabs>
          <w:tab w:val="left" w:pos="312"/>
        </w:tabs>
      </w:pPr>
      <w:rPr>
        <w:rFonts w:hint="default" w:ascii="Times New Roman" w:hAnsi="Times New Roman" w:eastAsia="宋体" w:cs="Times New Roman"/>
        <w:sz w:val="24"/>
        <w:szCs w:val="24"/>
      </w:rPr>
    </w:lvl>
  </w:abstractNum>
  <w:abstractNum w:abstractNumId="1">
    <w:nsid w:val="5183855F"/>
    <w:multiLevelType w:val="singleLevel"/>
    <w:tmpl w:val="5183855F"/>
    <w:lvl w:ilvl="0" w:tentative="0">
      <w:start w:val="1"/>
      <w:numFmt w:val="chineseCounting"/>
      <w:pStyle w:val="42"/>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340C8"/>
    <w:rsid w:val="00443349"/>
    <w:rsid w:val="004D1AF7"/>
    <w:rsid w:val="005858BE"/>
    <w:rsid w:val="00727066"/>
    <w:rsid w:val="00756850"/>
    <w:rsid w:val="00787BD2"/>
    <w:rsid w:val="007A2261"/>
    <w:rsid w:val="007C3A9A"/>
    <w:rsid w:val="00802085"/>
    <w:rsid w:val="008F01AE"/>
    <w:rsid w:val="009570B9"/>
    <w:rsid w:val="009A19ED"/>
    <w:rsid w:val="00C341C7"/>
    <w:rsid w:val="00C65B3D"/>
    <w:rsid w:val="00C75118"/>
    <w:rsid w:val="00C82162"/>
    <w:rsid w:val="00D40559"/>
    <w:rsid w:val="00D93BC0"/>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54F4E8B"/>
    <w:rsid w:val="06007F0A"/>
    <w:rsid w:val="062E2CC9"/>
    <w:rsid w:val="06567547"/>
    <w:rsid w:val="06BF33AE"/>
    <w:rsid w:val="06EF6353"/>
    <w:rsid w:val="07D32EB9"/>
    <w:rsid w:val="07E46E00"/>
    <w:rsid w:val="0814540D"/>
    <w:rsid w:val="08300409"/>
    <w:rsid w:val="08302FF8"/>
    <w:rsid w:val="0845254C"/>
    <w:rsid w:val="08E81855"/>
    <w:rsid w:val="08ED0200"/>
    <w:rsid w:val="08FD6983"/>
    <w:rsid w:val="0946657C"/>
    <w:rsid w:val="096769A3"/>
    <w:rsid w:val="096F1B10"/>
    <w:rsid w:val="09806C85"/>
    <w:rsid w:val="09A37E9F"/>
    <w:rsid w:val="0A0E1339"/>
    <w:rsid w:val="0A173A74"/>
    <w:rsid w:val="0A4F7A65"/>
    <w:rsid w:val="0BC750FD"/>
    <w:rsid w:val="0C370800"/>
    <w:rsid w:val="0C524B76"/>
    <w:rsid w:val="0D0227BA"/>
    <w:rsid w:val="0D073DB5"/>
    <w:rsid w:val="0D081033"/>
    <w:rsid w:val="0D1C170F"/>
    <w:rsid w:val="0D4252AC"/>
    <w:rsid w:val="0E564C35"/>
    <w:rsid w:val="0EC817E1"/>
    <w:rsid w:val="0F1C6141"/>
    <w:rsid w:val="0F423341"/>
    <w:rsid w:val="0FD536AF"/>
    <w:rsid w:val="0FE07C54"/>
    <w:rsid w:val="0FFD1618"/>
    <w:rsid w:val="10806817"/>
    <w:rsid w:val="10A546BD"/>
    <w:rsid w:val="10AD0B5D"/>
    <w:rsid w:val="10AE1BD9"/>
    <w:rsid w:val="10D96D50"/>
    <w:rsid w:val="117D68B3"/>
    <w:rsid w:val="11BA5E99"/>
    <w:rsid w:val="13337B71"/>
    <w:rsid w:val="13FA1B12"/>
    <w:rsid w:val="141C622E"/>
    <w:rsid w:val="14732EA1"/>
    <w:rsid w:val="147F5532"/>
    <w:rsid w:val="14D001B2"/>
    <w:rsid w:val="156C314D"/>
    <w:rsid w:val="15CB68F5"/>
    <w:rsid w:val="15FA4976"/>
    <w:rsid w:val="16B10157"/>
    <w:rsid w:val="172B1294"/>
    <w:rsid w:val="17505468"/>
    <w:rsid w:val="1752433D"/>
    <w:rsid w:val="17550DB0"/>
    <w:rsid w:val="17583261"/>
    <w:rsid w:val="17810296"/>
    <w:rsid w:val="17C601C4"/>
    <w:rsid w:val="182061EA"/>
    <w:rsid w:val="18301429"/>
    <w:rsid w:val="18351C95"/>
    <w:rsid w:val="188D103C"/>
    <w:rsid w:val="190E35A0"/>
    <w:rsid w:val="191A70DD"/>
    <w:rsid w:val="19992B53"/>
    <w:rsid w:val="19CE23A1"/>
    <w:rsid w:val="19D014C8"/>
    <w:rsid w:val="19F45335"/>
    <w:rsid w:val="1A330456"/>
    <w:rsid w:val="1A4E76A5"/>
    <w:rsid w:val="1ADA1B6B"/>
    <w:rsid w:val="1B63147C"/>
    <w:rsid w:val="1BC209AC"/>
    <w:rsid w:val="1C3244B8"/>
    <w:rsid w:val="1C461987"/>
    <w:rsid w:val="1C4B6410"/>
    <w:rsid w:val="1C67088B"/>
    <w:rsid w:val="1C6E6E31"/>
    <w:rsid w:val="1C970306"/>
    <w:rsid w:val="1CD13F56"/>
    <w:rsid w:val="1CD14F1F"/>
    <w:rsid w:val="1CEA3399"/>
    <w:rsid w:val="1DA60EEB"/>
    <w:rsid w:val="1F0F5E71"/>
    <w:rsid w:val="1F142A61"/>
    <w:rsid w:val="1F373426"/>
    <w:rsid w:val="1F642D26"/>
    <w:rsid w:val="1FAC2BD1"/>
    <w:rsid w:val="1FF45CE7"/>
    <w:rsid w:val="20176124"/>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317C88"/>
    <w:rsid w:val="25FB3FD9"/>
    <w:rsid w:val="260B2287"/>
    <w:rsid w:val="26134134"/>
    <w:rsid w:val="271635D9"/>
    <w:rsid w:val="27280E94"/>
    <w:rsid w:val="27F61196"/>
    <w:rsid w:val="28814447"/>
    <w:rsid w:val="29283150"/>
    <w:rsid w:val="297A3C20"/>
    <w:rsid w:val="298C1931"/>
    <w:rsid w:val="29925FE1"/>
    <w:rsid w:val="29C5213A"/>
    <w:rsid w:val="29C972C6"/>
    <w:rsid w:val="2B944ACD"/>
    <w:rsid w:val="2BD9110B"/>
    <w:rsid w:val="2C9D3BC7"/>
    <w:rsid w:val="2CED3F48"/>
    <w:rsid w:val="2CF2686E"/>
    <w:rsid w:val="2E9E272A"/>
    <w:rsid w:val="2EAE6403"/>
    <w:rsid w:val="2F5C124E"/>
    <w:rsid w:val="2FDB7AF0"/>
    <w:rsid w:val="31055C5A"/>
    <w:rsid w:val="3256187C"/>
    <w:rsid w:val="3259568C"/>
    <w:rsid w:val="32A31CA7"/>
    <w:rsid w:val="32A66941"/>
    <w:rsid w:val="334B2415"/>
    <w:rsid w:val="339918AA"/>
    <w:rsid w:val="33BD2F62"/>
    <w:rsid w:val="33C148CD"/>
    <w:rsid w:val="33E01751"/>
    <w:rsid w:val="341F407D"/>
    <w:rsid w:val="34BD4A82"/>
    <w:rsid w:val="351530F3"/>
    <w:rsid w:val="35211925"/>
    <w:rsid w:val="35524794"/>
    <w:rsid w:val="36577381"/>
    <w:rsid w:val="366115C7"/>
    <w:rsid w:val="368F242B"/>
    <w:rsid w:val="36E75766"/>
    <w:rsid w:val="37285AB1"/>
    <w:rsid w:val="375C6F30"/>
    <w:rsid w:val="3781684D"/>
    <w:rsid w:val="38213B8C"/>
    <w:rsid w:val="3823766B"/>
    <w:rsid w:val="396748BA"/>
    <w:rsid w:val="39AC13AD"/>
    <w:rsid w:val="3A3146AF"/>
    <w:rsid w:val="3A751F6D"/>
    <w:rsid w:val="3AB6680E"/>
    <w:rsid w:val="3AD61658"/>
    <w:rsid w:val="3ADD7367"/>
    <w:rsid w:val="3AF50232"/>
    <w:rsid w:val="3B251FB8"/>
    <w:rsid w:val="3B3712DA"/>
    <w:rsid w:val="3B516ED3"/>
    <w:rsid w:val="3B622014"/>
    <w:rsid w:val="3BB54D17"/>
    <w:rsid w:val="3BFC6477"/>
    <w:rsid w:val="3C7D28D5"/>
    <w:rsid w:val="3C9506A5"/>
    <w:rsid w:val="3CE43836"/>
    <w:rsid w:val="3D027FC2"/>
    <w:rsid w:val="3D3D4FC4"/>
    <w:rsid w:val="3D4729D1"/>
    <w:rsid w:val="3D6C58AA"/>
    <w:rsid w:val="3DEB4A20"/>
    <w:rsid w:val="3E2D53F7"/>
    <w:rsid w:val="3EB62D94"/>
    <w:rsid w:val="3EEC7F81"/>
    <w:rsid w:val="3F0E1560"/>
    <w:rsid w:val="3FA71C20"/>
    <w:rsid w:val="3FDA2F9E"/>
    <w:rsid w:val="40606FB3"/>
    <w:rsid w:val="408A0869"/>
    <w:rsid w:val="40995D81"/>
    <w:rsid w:val="40DC28F6"/>
    <w:rsid w:val="416C231C"/>
    <w:rsid w:val="41B906C9"/>
    <w:rsid w:val="41C01725"/>
    <w:rsid w:val="41C84509"/>
    <w:rsid w:val="421E5E45"/>
    <w:rsid w:val="42305ED2"/>
    <w:rsid w:val="42355182"/>
    <w:rsid w:val="43120BD6"/>
    <w:rsid w:val="433755FF"/>
    <w:rsid w:val="43B14016"/>
    <w:rsid w:val="43F50190"/>
    <w:rsid w:val="4432163F"/>
    <w:rsid w:val="44476729"/>
    <w:rsid w:val="44915BF6"/>
    <w:rsid w:val="4546743F"/>
    <w:rsid w:val="45A13141"/>
    <w:rsid w:val="46966FC2"/>
    <w:rsid w:val="46F56910"/>
    <w:rsid w:val="47EE36B2"/>
    <w:rsid w:val="485E76F8"/>
    <w:rsid w:val="487A531F"/>
    <w:rsid w:val="48AF6D87"/>
    <w:rsid w:val="49CE6C17"/>
    <w:rsid w:val="4A437992"/>
    <w:rsid w:val="4A4831FA"/>
    <w:rsid w:val="4A657908"/>
    <w:rsid w:val="4ACC5BD9"/>
    <w:rsid w:val="4BE40D01"/>
    <w:rsid w:val="4CDE060B"/>
    <w:rsid w:val="4E08517B"/>
    <w:rsid w:val="4E2E60EA"/>
    <w:rsid w:val="4E3D5914"/>
    <w:rsid w:val="4E461B89"/>
    <w:rsid w:val="4E834801"/>
    <w:rsid w:val="4E915170"/>
    <w:rsid w:val="4F4C1097"/>
    <w:rsid w:val="4F844CD5"/>
    <w:rsid w:val="4FB01626"/>
    <w:rsid w:val="4FF32FA8"/>
    <w:rsid w:val="50EA0B03"/>
    <w:rsid w:val="512A57AB"/>
    <w:rsid w:val="515A3854"/>
    <w:rsid w:val="5276471A"/>
    <w:rsid w:val="52B20F97"/>
    <w:rsid w:val="52CC47C0"/>
    <w:rsid w:val="52E07D49"/>
    <w:rsid w:val="5374510A"/>
    <w:rsid w:val="53F5005F"/>
    <w:rsid w:val="550C37A2"/>
    <w:rsid w:val="55990DAE"/>
    <w:rsid w:val="563D2137"/>
    <w:rsid w:val="565D015E"/>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096502"/>
    <w:rsid w:val="5AA52A54"/>
    <w:rsid w:val="5B070568"/>
    <w:rsid w:val="5B856EE5"/>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12DAE"/>
    <w:rsid w:val="6098413C"/>
    <w:rsid w:val="60B44CEE"/>
    <w:rsid w:val="60B460AF"/>
    <w:rsid w:val="60CF38D6"/>
    <w:rsid w:val="619747AF"/>
    <w:rsid w:val="621C336D"/>
    <w:rsid w:val="629E5C56"/>
    <w:rsid w:val="62A05F08"/>
    <w:rsid w:val="62EA5BC6"/>
    <w:rsid w:val="630737FB"/>
    <w:rsid w:val="63C25DAA"/>
    <w:rsid w:val="64126CC6"/>
    <w:rsid w:val="64721148"/>
    <w:rsid w:val="648F0582"/>
    <w:rsid w:val="64F540D9"/>
    <w:rsid w:val="6559245A"/>
    <w:rsid w:val="65622F6B"/>
    <w:rsid w:val="658C415A"/>
    <w:rsid w:val="65BD6D5B"/>
    <w:rsid w:val="66C53C4A"/>
    <w:rsid w:val="673B297E"/>
    <w:rsid w:val="678F323C"/>
    <w:rsid w:val="67F105D6"/>
    <w:rsid w:val="67FD6F7B"/>
    <w:rsid w:val="68233EA0"/>
    <w:rsid w:val="68A30209"/>
    <w:rsid w:val="68C86C57"/>
    <w:rsid w:val="69C2222A"/>
    <w:rsid w:val="6AA57F27"/>
    <w:rsid w:val="6B3B1735"/>
    <w:rsid w:val="6CC37EB5"/>
    <w:rsid w:val="6D1139EB"/>
    <w:rsid w:val="6D3457FF"/>
    <w:rsid w:val="6E0E1EE1"/>
    <w:rsid w:val="6E2A4841"/>
    <w:rsid w:val="6EEF19E2"/>
    <w:rsid w:val="6F3D1DEF"/>
    <w:rsid w:val="6F963F3C"/>
    <w:rsid w:val="6FB940CF"/>
    <w:rsid w:val="6FE54B28"/>
    <w:rsid w:val="71276AD1"/>
    <w:rsid w:val="7160445C"/>
    <w:rsid w:val="71697143"/>
    <w:rsid w:val="716C6A50"/>
    <w:rsid w:val="717476DC"/>
    <w:rsid w:val="717958C4"/>
    <w:rsid w:val="71BE777B"/>
    <w:rsid w:val="72072EE6"/>
    <w:rsid w:val="7207397B"/>
    <w:rsid w:val="72600B3B"/>
    <w:rsid w:val="729E3A33"/>
    <w:rsid w:val="72C43B37"/>
    <w:rsid w:val="73670AB5"/>
    <w:rsid w:val="737D1DEA"/>
    <w:rsid w:val="748B2EA1"/>
    <w:rsid w:val="74A470FC"/>
    <w:rsid w:val="74AE0F56"/>
    <w:rsid w:val="755328D0"/>
    <w:rsid w:val="76391AC6"/>
    <w:rsid w:val="7672193D"/>
    <w:rsid w:val="770403EE"/>
    <w:rsid w:val="771C50B0"/>
    <w:rsid w:val="771E190D"/>
    <w:rsid w:val="77832F9B"/>
    <w:rsid w:val="77C519A6"/>
    <w:rsid w:val="78063C29"/>
    <w:rsid w:val="784004D1"/>
    <w:rsid w:val="784D1858"/>
    <w:rsid w:val="78725E9B"/>
    <w:rsid w:val="78760DAF"/>
    <w:rsid w:val="7877129B"/>
    <w:rsid w:val="787B0173"/>
    <w:rsid w:val="79302291"/>
    <w:rsid w:val="797D7F1B"/>
    <w:rsid w:val="79F44E86"/>
    <w:rsid w:val="79FE7AE0"/>
    <w:rsid w:val="7A083C89"/>
    <w:rsid w:val="7AA15E8B"/>
    <w:rsid w:val="7B1A51D8"/>
    <w:rsid w:val="7B424553"/>
    <w:rsid w:val="7BB96559"/>
    <w:rsid w:val="7BF25D18"/>
    <w:rsid w:val="7C304A31"/>
    <w:rsid w:val="7C6520EB"/>
    <w:rsid w:val="7C85225C"/>
    <w:rsid w:val="7CE56503"/>
    <w:rsid w:val="7D1943FF"/>
    <w:rsid w:val="7D7347EF"/>
    <w:rsid w:val="7D9B14E2"/>
    <w:rsid w:val="7DB761A8"/>
    <w:rsid w:val="7DD52B5A"/>
    <w:rsid w:val="7E522673"/>
    <w:rsid w:val="7E81400A"/>
    <w:rsid w:val="7FA866D5"/>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unhideWhenUsed/>
    <w:qFormat/>
    <w:uiPriority w:val="0"/>
    <w:pPr>
      <w:keepNext/>
      <w:keepLines/>
      <w:outlineLvl w:val="3"/>
    </w:pPr>
    <w:rPr>
      <w:b/>
    </w:rPr>
  </w:style>
  <w:style w:type="character" w:default="1" w:styleId="23">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Body Text"/>
    <w:basedOn w:val="1"/>
    <w:next w:val="1"/>
    <w:qFormat/>
    <w:uiPriority w:val="99"/>
    <w:rPr>
      <w:sz w:val="28"/>
      <w:szCs w:val="28"/>
    </w:rPr>
  </w:style>
  <w:style w:type="paragraph" w:styleId="8">
    <w:name w:val="Body Text Indent"/>
    <w:basedOn w:val="1"/>
    <w:next w:val="9"/>
    <w:unhideWhenUsed/>
    <w:qFormat/>
    <w:uiPriority w:val="99"/>
    <w:pPr>
      <w:spacing w:after="120"/>
      <w:ind w:left="420" w:leftChars="200"/>
    </w:pPr>
  </w:style>
  <w:style w:type="paragraph" w:styleId="9">
    <w:name w:val="Body Text First Indent 2"/>
    <w:basedOn w:val="8"/>
    <w:next w:val="7"/>
    <w:unhideWhenUsed/>
    <w:qFormat/>
    <w:uiPriority w:val="99"/>
    <w:pPr>
      <w:ind w:firstLine="420" w:firstLineChars="200"/>
    </w:pPr>
  </w:style>
  <w:style w:type="paragraph" w:styleId="10">
    <w:name w:val="toc 5"/>
    <w:basedOn w:val="1"/>
    <w:next w:val="1"/>
    <w:semiHidden/>
    <w:qFormat/>
    <w:uiPriority w:val="0"/>
    <w:pPr>
      <w:ind w:left="1120"/>
      <w:jc w:val="left"/>
    </w:pPr>
    <w:rPr>
      <w:sz w:val="18"/>
      <w:szCs w:val="18"/>
    </w:rPr>
  </w:style>
  <w:style w:type="paragraph" w:styleId="11">
    <w:name w:val="Plain Text"/>
    <w:basedOn w:val="1"/>
    <w:qFormat/>
    <w:uiPriority w:val="0"/>
    <w:rPr>
      <w:rFonts w:ascii="宋体" w:hAnsi="Courier New" w:cs="Courier New"/>
      <w:szCs w:val="21"/>
    </w:rPr>
  </w:style>
  <w:style w:type="paragraph" w:styleId="12">
    <w:name w:val="Date"/>
    <w:basedOn w:val="1"/>
    <w:next w:val="1"/>
    <w:link w:val="46"/>
    <w:qFormat/>
    <w:uiPriority w:val="0"/>
    <w:pPr>
      <w:ind w:left="100" w:leftChars="2500"/>
    </w:pPr>
    <w:rPr>
      <w:rFonts w:ascii="Times New Roman" w:hAnsi="Times New Roman"/>
      <w:b/>
      <w:bCs/>
      <w:sz w:val="28"/>
    </w:rPr>
  </w:style>
  <w:style w:type="paragraph" w:styleId="13">
    <w:name w:val="Body Text Indent 2"/>
    <w:basedOn w:val="1"/>
    <w:qFormat/>
    <w:uiPriority w:val="0"/>
    <w:pPr>
      <w:ind w:firstLine="538" w:firstLineChars="192"/>
    </w:pPr>
    <w:rPr>
      <w:rFonts w:ascii="宋体" w:hAnsi="宋体"/>
      <w:sz w:val="28"/>
    </w:rPr>
  </w:style>
  <w:style w:type="paragraph" w:styleId="14">
    <w:name w:val="Balloon Text"/>
    <w:basedOn w:val="1"/>
    <w:link w:val="32"/>
    <w:qFormat/>
    <w:uiPriority w:val="0"/>
    <w:rPr>
      <w:sz w:val="18"/>
      <w:szCs w:val="18"/>
    </w:rPr>
  </w:style>
  <w:style w:type="paragraph" w:styleId="15">
    <w:name w:val="footer"/>
    <w:basedOn w:val="1"/>
    <w:next w:val="16"/>
    <w:qFormat/>
    <w:uiPriority w:val="0"/>
    <w:pPr>
      <w:tabs>
        <w:tab w:val="center" w:pos="4153"/>
        <w:tab w:val="right" w:pos="8306"/>
      </w:tabs>
      <w:snapToGrid w:val="0"/>
    </w:pPr>
    <w:rPr>
      <w:sz w:val="18"/>
      <w:szCs w:val="18"/>
    </w:rPr>
  </w:style>
  <w:style w:type="paragraph" w:styleId="16">
    <w:name w:val="Normal (Web)"/>
    <w:basedOn w:val="1"/>
    <w:next w:val="17"/>
    <w:qFormat/>
    <w:uiPriority w:val="0"/>
    <w:pPr>
      <w:spacing w:before="100" w:beforeAutospacing="1" w:after="100" w:afterAutospacing="1"/>
      <w:jc w:val="left"/>
    </w:pPr>
    <w:rPr>
      <w:kern w:val="0"/>
      <w:sz w:val="24"/>
    </w:rPr>
  </w:style>
  <w:style w:type="paragraph" w:customStyle="1" w:styleId="17">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jc w:val="left"/>
    </w:pPr>
    <w:rPr>
      <w:rFonts w:ascii="宋体"/>
      <w:b/>
      <w:bCs/>
      <w:caps/>
      <w:sz w:val="20"/>
      <w:szCs w:val="20"/>
    </w:rPr>
  </w:style>
  <w:style w:type="paragraph" w:styleId="20">
    <w:name w:val="Body Text Indent 3"/>
    <w:basedOn w:val="1"/>
    <w:qFormat/>
    <w:uiPriority w:val="0"/>
    <w:pPr>
      <w:ind w:firstLine="630"/>
    </w:pPr>
    <w:rPr>
      <w:rFonts w:ascii="Times New Roman" w:hAnsi="Times New Roman" w:eastAsia="仿宋_GB2312"/>
      <w:sz w:val="28"/>
    </w:rPr>
  </w:style>
  <w:style w:type="paragraph" w:styleId="21">
    <w:name w:val="Body Text First Indent"/>
    <w:basedOn w:val="7"/>
    <w:next w:val="1"/>
    <w:qFormat/>
    <w:uiPriority w:val="0"/>
    <w:pPr>
      <w:spacing w:after="120"/>
      <w:ind w:firstLine="420" w:firstLineChars="100"/>
    </w:pPr>
  </w:style>
  <w:style w:type="paragraph" w:customStyle="1" w:styleId="24">
    <w:name w:val="正文2"/>
    <w:basedOn w:val="1"/>
    <w:qFormat/>
    <w:uiPriority w:val="0"/>
    <w:pPr>
      <w:spacing w:line="440" w:lineRule="atLeast"/>
      <w:ind w:firstLine="567"/>
    </w:pPr>
    <w:rPr>
      <w:sz w:val="24"/>
      <w:szCs w:val="20"/>
    </w:rPr>
  </w:style>
  <w:style w:type="paragraph" w:customStyle="1" w:styleId="25">
    <w:name w:val="样式 首行缩进:  2 字符"/>
    <w:basedOn w:val="1"/>
    <w:next w:val="1"/>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26">
    <w:name w:val="Default"/>
    <w:basedOn w:val="27"/>
    <w:qFormat/>
    <w:uiPriority w:val="0"/>
    <w:pPr>
      <w:autoSpaceDE w:val="0"/>
      <w:autoSpaceDN w:val="0"/>
    </w:pPr>
    <w:rPr>
      <w:rFonts w:hint="eastAsia" w:ascii="宋体"/>
      <w:sz w:val="24"/>
    </w:rPr>
  </w:style>
  <w:style w:type="paragraph" w:customStyle="1" w:styleId="2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li_正文"/>
    <w:basedOn w:val="1"/>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29">
    <w:name w:val="样式 标题 2"/>
    <w:basedOn w:val="3"/>
    <w:qFormat/>
    <w:uiPriority w:val="0"/>
    <w:pPr>
      <w:spacing w:beforeLines="0" w:afterLines="0"/>
    </w:pPr>
    <w:rPr>
      <w:rFonts w:ascii="Arial" w:hAnsi="Arial" w:eastAsia="宋体" w:cs="宋体"/>
      <w:snapToGrid/>
      <w:kern w:val="2"/>
      <w:szCs w:val="32"/>
      <w:lang w:val="zh-CN"/>
    </w:rPr>
  </w:style>
  <w:style w:type="paragraph" w:customStyle="1" w:styleId="3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p0"/>
    <w:basedOn w:val="1"/>
    <w:qFormat/>
    <w:uiPriority w:val="0"/>
    <w:pPr>
      <w:widowControl/>
    </w:pPr>
    <w:rPr>
      <w:kern w:val="0"/>
      <w:szCs w:val="21"/>
    </w:rPr>
  </w:style>
  <w:style w:type="character" w:customStyle="1" w:styleId="32">
    <w:name w:val="批注框文本 字符"/>
    <w:basedOn w:val="23"/>
    <w:link w:val="14"/>
    <w:qFormat/>
    <w:uiPriority w:val="0"/>
    <w:rPr>
      <w:rFonts w:ascii="Calibri" w:hAnsi="Calibri"/>
      <w:kern w:val="2"/>
      <w:sz w:val="18"/>
      <w:szCs w:val="18"/>
    </w:rPr>
  </w:style>
  <w:style w:type="paragraph" w:customStyle="1" w:styleId="33">
    <w:name w:val="111"/>
    <w:basedOn w:val="1"/>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4">
    <w:name w:val="表头 Char Char Char"/>
    <w:basedOn w:val="23"/>
    <w:qFormat/>
    <w:uiPriority w:val="0"/>
    <w:rPr>
      <w:rFonts w:ascii="宋体" w:hAnsi="Tahoma" w:eastAsia="宋体"/>
      <w:snapToGrid w:val="0"/>
      <w:spacing w:val="6"/>
      <w:kern w:val="10"/>
      <w:sz w:val="24"/>
    </w:rPr>
  </w:style>
  <w:style w:type="paragraph" w:customStyle="1" w:styleId="35">
    <w:name w:val="表格居中"/>
    <w:basedOn w:val="36"/>
    <w:qFormat/>
    <w:uiPriority w:val="0"/>
    <w:pPr>
      <w:jc w:val="center"/>
    </w:pPr>
  </w:style>
  <w:style w:type="paragraph" w:customStyle="1" w:styleId="36">
    <w:name w:val="表格一"/>
    <w:basedOn w:val="1"/>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7">
    <w:name w:val="伟灿工贸-表格文字"/>
    <w:basedOn w:val="1"/>
    <w:qFormat/>
    <w:uiPriority w:val="0"/>
    <w:pPr>
      <w:jc w:val="center"/>
    </w:pPr>
    <w:rPr>
      <w:rFonts w:hint="eastAsia" w:ascii="宋体" w:hAnsi="宋体" w:cs="宋体"/>
      <w:szCs w:val="21"/>
    </w:rPr>
  </w:style>
  <w:style w:type="paragraph" w:customStyle="1" w:styleId="38">
    <w:name w:val="QQ表正文"/>
    <w:basedOn w:val="1"/>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39">
    <w:name w:val="表名、图名"/>
    <w:basedOn w:val="1"/>
    <w:next w:val="1"/>
    <w:qFormat/>
    <w:uiPriority w:val="0"/>
    <w:pPr>
      <w:jc w:val="center"/>
    </w:pPr>
    <w:rPr>
      <w:b/>
      <w:bCs/>
    </w:rPr>
  </w:style>
  <w:style w:type="paragraph" w:customStyle="1" w:styleId="40">
    <w:name w:val="标题 三"/>
    <w:basedOn w:val="1"/>
    <w:qFormat/>
    <w:uiPriority w:val="0"/>
    <w:pPr>
      <w:tabs>
        <w:tab w:val="left" w:pos="3544"/>
      </w:tabs>
      <w:snapToGrid w:val="0"/>
      <w:spacing w:line="360" w:lineRule="auto"/>
      <w:outlineLvl w:val="2"/>
    </w:pPr>
    <w:rPr>
      <w:rFonts w:ascii="宋体" w:hAnsi="宋体"/>
      <w:b/>
      <w:bCs/>
      <w:sz w:val="28"/>
      <w:szCs w:val="28"/>
    </w:rPr>
  </w:style>
  <w:style w:type="paragraph" w:customStyle="1" w:styleId="41">
    <w:name w:val="ENFI正文"/>
    <w:basedOn w:val="1"/>
    <w:qFormat/>
    <w:uiPriority w:val="0"/>
    <w:pPr>
      <w:adjustRightInd w:val="0"/>
      <w:snapToGrid w:val="0"/>
      <w:ind w:firstLine="567"/>
    </w:pPr>
    <w:rPr>
      <w:rFonts w:eastAsia="仿宋_GB2312"/>
      <w:snapToGrid w:val="0"/>
      <w:color w:val="000000"/>
      <w:kern w:val="0"/>
      <w:sz w:val="28"/>
    </w:rPr>
  </w:style>
  <w:style w:type="paragraph" w:customStyle="1" w:styleId="42">
    <w:name w:val="工艺序号"/>
    <w:basedOn w:val="1"/>
    <w:qFormat/>
    <w:uiPriority w:val="0"/>
    <w:pPr>
      <w:numPr>
        <w:ilvl w:val="0"/>
        <w:numId w:val="1"/>
      </w:numPr>
    </w:pPr>
    <w:rPr>
      <w:b/>
      <w:bCs/>
    </w:rPr>
  </w:style>
  <w:style w:type="paragraph" w:customStyle="1" w:styleId="43">
    <w:name w:val="伟灿-表格文字"/>
    <w:basedOn w:val="1"/>
    <w:qFormat/>
    <w:uiPriority w:val="0"/>
    <w:pPr>
      <w:jc w:val="center"/>
    </w:pPr>
    <w:rPr>
      <w:rFonts w:hint="eastAsia" w:ascii="宋体" w:hAnsi="宋体" w:cs="宋体"/>
      <w:szCs w:val="21"/>
    </w:rPr>
  </w:style>
  <w:style w:type="paragraph" w:styleId="44">
    <w:name w:val="List Paragraph"/>
    <w:basedOn w:val="1"/>
    <w:qFormat/>
    <w:uiPriority w:val="99"/>
    <w:pPr>
      <w:ind w:firstLine="420" w:firstLineChars="200"/>
    </w:pPr>
  </w:style>
  <w:style w:type="paragraph" w:customStyle="1" w:styleId="45">
    <w:name w:val="表格1（标题）"/>
    <w:basedOn w:val="1"/>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6">
    <w:name w:val="日期 字符"/>
    <w:basedOn w:val="23"/>
    <w:link w:val="12"/>
    <w:qFormat/>
    <w:uiPriority w:val="0"/>
    <w:rPr>
      <w:b/>
      <w:bCs/>
      <w:kern w:val="2"/>
      <w:sz w:val="28"/>
      <w:szCs w:val="24"/>
    </w:rPr>
  </w:style>
  <w:style w:type="paragraph" w:customStyle="1" w:styleId="47">
    <w:name w:val="k-正文序列"/>
    <w:basedOn w:val="1"/>
    <w:qFormat/>
    <w:uiPriority w:val="0"/>
    <w:pPr>
      <w:numPr>
        <w:ilvl w:val="0"/>
        <w:numId w:val="2"/>
      </w:numPr>
    </w:pPr>
    <w:rPr>
      <w:rFonts w:hint="eastAsia"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7</Pages>
  <Words>1062</Words>
  <Characters>1279</Characters>
  <Lines>8</Lines>
  <Paragraphs>2</Paragraphs>
  <TotalTime>1</TotalTime>
  <ScaleCrop>false</ScaleCrop>
  <LinksUpToDate>false</LinksUpToDate>
  <CharactersWithSpaces>1279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2026-04-14T07:32:54Z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BF701FB91A744B049CE4F80DAFD00276_13</vt:lpwstr>
  </property>
  <property fmtid="{D5CDD505-2E9C-101B-9397-08002B2CF9AE}" pid="4" name="KSOTemplateDocerSaveRecord">
    <vt:lpwstr>eyJoZGlkIjoiNDgzMjdiZTZhYWEwMDUyMzMwMzdhZWM2ZmNjMGMzMDkiLCJ1c2VySWQiOiI1NzcyNjAwMzgifQ==</vt:lpwstr>
  </property>
</Properties>
</file>