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5"/>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510"/>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24"/>
                <w:lang w:eastAsia="zh-CN"/>
              </w:rPr>
            </w:pPr>
            <w:r>
              <w:rPr>
                <w:rFonts w:hint="eastAsia" w:ascii="Times New Roman" w:hAnsi="Times New Roman" w:eastAsia="宋体" w:cs="Times New Roman"/>
                <w:sz w:val="21"/>
                <w:szCs w:val="21"/>
                <w:lang w:eastAsia="zh-CN"/>
              </w:rPr>
              <w:t xml:space="preserve">江西紫荆颜料化工有限公司永固紫捏合产品环保升级改造项目安全预评价报告 </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2026</w:t>
            </w:r>
            <w:r>
              <w:rPr>
                <w:rFonts w:hint="eastAsia" w:ascii="宋体" w:hAnsi="宋体" w:cs="宋体"/>
                <w:sz w:val="24"/>
              </w:rPr>
              <w:t>年</w:t>
            </w:r>
            <w:r>
              <w:rPr>
                <w:rFonts w:hint="eastAsia" w:ascii="宋体" w:hAnsi="宋体" w:cs="宋体"/>
                <w:sz w:val="24"/>
                <w:lang w:val="en-US" w:eastAsia="zh-CN"/>
              </w:rPr>
              <w:t>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65"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510"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510"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刘卫国</w:t>
            </w:r>
          </w:p>
        </w:tc>
        <w:tc>
          <w:tcPr>
            <w:tcW w:w="4803" w:type="dxa"/>
            <w:tcBorders>
              <w:tl2br w:val="nil"/>
              <w:tr2bl w:val="nil"/>
            </w:tcBorders>
            <w:shd w:val="clear" w:color="auto" w:fill="FFFFFF"/>
            <w:vAlign w:val="center"/>
          </w:tcPr>
          <w:p w14:paraId="2AF7BD6E">
            <w:pPr>
              <w:jc w:val="center"/>
              <w:rPr>
                <w:rFonts w:hint="eastAsia" w:ascii="宋体" w:hAnsi="宋体" w:eastAsia="宋体" w:cs="宋体"/>
                <w:sz w:val="24"/>
                <w:lang w:val="en-US" w:eastAsia="zh-CN"/>
              </w:rPr>
            </w:pPr>
            <w:r>
              <w:rPr>
                <w:rFonts w:hint="eastAsia" w:ascii="宋体" w:hAnsi="宋体" w:eastAsia="宋体" w:cs="宋体"/>
                <w:sz w:val="24"/>
                <w:lang w:val="en-US" w:eastAsia="zh-CN"/>
              </w:rPr>
              <w:t>0800000000203440</w:t>
            </w:r>
          </w:p>
        </w:tc>
        <w:tc>
          <w:tcPr>
            <w:tcW w:w="2115" w:type="dxa"/>
            <w:tcBorders>
              <w:tl2br w:val="nil"/>
              <w:tr2bl w:val="nil"/>
            </w:tcBorders>
            <w:shd w:val="clear" w:color="auto" w:fill="FFFFFF"/>
            <w:vAlign w:val="center"/>
          </w:tcPr>
          <w:p w14:paraId="135FF85F">
            <w:pPr>
              <w:jc w:val="center"/>
              <w:rPr>
                <w:rFonts w:hint="eastAsia" w:ascii="宋体" w:hAnsi="宋体" w:eastAsia="宋体" w:cs="宋体"/>
                <w:sz w:val="24"/>
                <w:lang w:val="en-US" w:eastAsia="zh-CN"/>
              </w:rPr>
            </w:pPr>
            <w:r>
              <w:rPr>
                <w:rFonts w:hint="eastAsia" w:ascii="宋体" w:hAnsi="宋体" w:eastAsia="宋体" w:cs="宋体"/>
                <w:sz w:val="24"/>
                <w:lang w:val="en-US" w:eastAsia="zh-CN"/>
              </w:rPr>
              <w:t>009370</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eastAsia="宋体" w:cs="宋体"/>
                <w:sz w:val="24"/>
                <w:lang w:val="en-US" w:eastAsia="zh-CN"/>
              </w:rPr>
            </w:pPr>
            <w:r>
              <w:rPr>
                <w:rFonts w:hint="eastAsia" w:ascii="宋体" w:hAnsi="宋体" w:eastAsia="宋体" w:cs="宋体"/>
                <w:sz w:val="24"/>
                <w:lang w:val="en-US" w:eastAsia="zh-CN"/>
              </w:rPr>
              <w:t>张晋慧</w:t>
            </w:r>
          </w:p>
        </w:tc>
        <w:tc>
          <w:tcPr>
            <w:tcW w:w="4803" w:type="dxa"/>
            <w:tcBorders>
              <w:tl2br w:val="nil"/>
              <w:tr2bl w:val="nil"/>
            </w:tcBorders>
            <w:shd w:val="clear" w:color="auto" w:fill="FFFFFF"/>
            <w:vAlign w:val="center"/>
          </w:tcPr>
          <w:p w14:paraId="5E54EC41">
            <w:pPr>
              <w:jc w:val="center"/>
              <w:rPr>
                <w:rFonts w:hint="eastAsia" w:ascii="宋体" w:hAnsi="宋体" w:eastAsia="宋体" w:cs="宋体"/>
                <w:sz w:val="24"/>
                <w:lang w:val="en-US" w:eastAsia="zh-CN"/>
              </w:rPr>
            </w:pPr>
            <w:r>
              <w:rPr>
                <w:rFonts w:hint="eastAsia" w:ascii="宋体" w:hAnsi="宋体" w:eastAsia="宋体" w:cs="宋体"/>
                <w:sz w:val="24"/>
                <w:lang w:val="en-US" w:eastAsia="zh-CN"/>
              </w:rPr>
              <w:t>1100000000302946</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eastAsia="宋体" w:cs="宋体"/>
                <w:sz w:val="24"/>
                <w:lang w:val="en-US" w:eastAsia="zh-CN"/>
              </w:rPr>
              <w:t>020045</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eastAsia="宋体" w:cs="宋体"/>
                <w:sz w:val="24"/>
                <w:lang w:val="en-US" w:eastAsia="zh-CN"/>
              </w:rPr>
              <w:t>赵云峰</w:t>
            </w:r>
          </w:p>
        </w:tc>
        <w:tc>
          <w:tcPr>
            <w:tcW w:w="4803" w:type="dxa"/>
            <w:tcBorders>
              <w:tl2br w:val="nil"/>
              <w:tr2bl w:val="nil"/>
            </w:tcBorders>
            <w:shd w:val="clear" w:color="auto" w:fill="FFFFFF"/>
            <w:vAlign w:val="center"/>
          </w:tcPr>
          <w:p w14:paraId="0E1A6948">
            <w:pPr>
              <w:jc w:val="center"/>
              <w:rPr>
                <w:rFonts w:hint="eastAsia" w:ascii="宋体" w:hAnsi="宋体" w:eastAsia="宋体" w:cs="宋体"/>
                <w:sz w:val="24"/>
                <w:lang w:val="en-US" w:eastAsia="zh-CN"/>
              </w:rPr>
            </w:pPr>
            <w:r>
              <w:rPr>
                <w:rFonts w:hint="eastAsia" w:ascii="宋体" w:hAnsi="宋体" w:eastAsia="宋体" w:cs="宋体"/>
                <w:sz w:val="24"/>
                <w:lang w:val="en-US" w:eastAsia="zh-CN"/>
              </w:rPr>
              <w:t>1600000000200809</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eastAsia="宋体" w:cs="宋体"/>
                <w:sz w:val="24"/>
                <w:lang w:val="en-US" w:eastAsia="zh-CN"/>
              </w:rPr>
              <w:t>030095</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jc w:val="center"/>
              <w:rPr>
                <w:rFonts w:hint="eastAsia" w:ascii="宋体" w:hAnsi="宋体" w:eastAsia="宋体" w:cs="宋体"/>
                <w:sz w:val="24"/>
                <w:lang w:val="en-US" w:eastAsia="zh-CN"/>
              </w:rPr>
            </w:pPr>
            <w:r>
              <w:rPr>
                <w:rFonts w:hint="eastAsia" w:ascii="宋体" w:hAnsi="宋体" w:eastAsia="宋体" w:cs="宋体"/>
                <w:sz w:val="24"/>
                <w:lang w:val="en-US" w:eastAsia="zh-CN"/>
              </w:rPr>
              <w:t>谢雨飞</w:t>
            </w:r>
          </w:p>
        </w:tc>
        <w:tc>
          <w:tcPr>
            <w:tcW w:w="4803" w:type="dxa"/>
            <w:tcBorders>
              <w:tl2br w:val="nil"/>
              <w:tr2bl w:val="nil"/>
            </w:tcBorders>
            <w:shd w:val="clear" w:color="auto" w:fill="FFFFFF"/>
            <w:vAlign w:val="center"/>
          </w:tcPr>
          <w:p w14:paraId="70C9750C">
            <w:pPr>
              <w:jc w:val="center"/>
              <w:rPr>
                <w:rFonts w:hint="eastAsia" w:ascii="宋体" w:hAnsi="宋体" w:eastAsia="宋体" w:cs="宋体"/>
                <w:sz w:val="24"/>
                <w:lang w:val="en-US" w:eastAsia="zh-CN"/>
              </w:rPr>
            </w:pPr>
            <w:r>
              <w:rPr>
                <w:rFonts w:hint="eastAsia" w:ascii="宋体" w:hAnsi="宋体" w:eastAsia="宋体" w:cs="宋体"/>
                <w:sz w:val="24"/>
                <w:lang w:val="en-US" w:eastAsia="zh-CN"/>
              </w:rPr>
              <w:t>CAWS350000230200227</w:t>
            </w:r>
          </w:p>
        </w:tc>
        <w:tc>
          <w:tcPr>
            <w:tcW w:w="2115" w:type="dxa"/>
            <w:tcBorders>
              <w:tl2br w:val="nil"/>
              <w:tr2bl w:val="nil"/>
            </w:tcBorders>
            <w:shd w:val="clear" w:color="auto" w:fill="FFFFFF"/>
            <w:vAlign w:val="center"/>
          </w:tcPr>
          <w:p w14:paraId="2C5E2BF3">
            <w:pPr>
              <w:jc w:val="center"/>
              <w:rPr>
                <w:rFonts w:hint="eastAsia" w:ascii="宋体" w:hAnsi="宋体" w:eastAsia="宋体" w:cs="宋体"/>
                <w:sz w:val="24"/>
                <w:lang w:val="en-US" w:eastAsia="zh-CN"/>
              </w:rPr>
            </w:pPr>
            <w:r>
              <w:rPr>
                <w:rFonts w:hint="eastAsia" w:ascii="宋体" w:hAnsi="宋体" w:eastAsia="宋体" w:cs="宋体"/>
                <w:sz w:val="24"/>
                <w:lang w:val="en-US" w:eastAsia="zh-CN"/>
              </w:rPr>
              <w:t>043378</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10" w:type="dxa"/>
            <w:tcBorders>
              <w:tl2br w:val="nil"/>
              <w:tr2bl w:val="nil"/>
            </w:tcBorders>
            <w:shd w:val="clear" w:color="auto" w:fill="FFFFFF"/>
            <w:vAlign w:val="center"/>
          </w:tcPr>
          <w:p w14:paraId="45419EC2">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1510" w:type="dxa"/>
            <w:tcBorders>
              <w:tl2br w:val="nil"/>
              <w:tr2bl w:val="nil"/>
            </w:tcBorders>
            <w:shd w:val="clear" w:color="auto" w:fill="FFFFFF"/>
            <w:vAlign w:val="center"/>
          </w:tcPr>
          <w:p w14:paraId="5781712E">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ascii="Times New Roman" w:hAnsi="Times New Roman"/>
                <w:sz w:val="24"/>
                <w:lang w:eastAsia="zh-CN"/>
              </w:rPr>
              <w:t>、</w:t>
            </w:r>
            <w:r>
              <w:rPr>
                <w:rFonts w:hint="eastAsia" w:ascii="Times New Roman" w:hAnsi="Times New Roman"/>
                <w:sz w:val="24"/>
                <w:lang w:val="en-US" w:eastAsia="zh-CN"/>
              </w:rPr>
              <w:t>谢雨飞</w:t>
            </w:r>
            <w:r>
              <w:rPr>
                <w:rFonts w:hint="eastAsia"/>
                <w:sz w:val="24"/>
                <w:lang w:val="en-US" w:eastAsia="zh-CN"/>
              </w:rPr>
              <w:t>2025年10月16日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510" w:type="dxa"/>
            <w:tcBorders>
              <w:tl2br w:val="nil"/>
              <w:tr2bl w:val="nil"/>
            </w:tcBorders>
            <w:shd w:val="clear" w:color="auto" w:fill="FFFFFF"/>
            <w:vAlign w:val="center"/>
          </w:tcPr>
          <w:p w14:paraId="00480C70">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eastAsia" w:ascii="Times New Roman" w:hAnsi="Times New Roman" w:eastAsia="宋体"/>
                <w:color w:val="FF0000"/>
                <w:sz w:val="24"/>
                <w:lang w:val="en-US" w:eastAsia="zh-CN"/>
              </w:rPr>
            </w:pPr>
            <w:bookmarkStart w:id="0" w:name="_GoBack"/>
            <w:bookmarkEnd w:id="0"/>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510"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54FD756A">
            <w:pPr>
              <w:spacing w:line="240" w:lineRule="auto"/>
              <w:ind w:firstLine="560"/>
              <w:rPr>
                <w:rFonts w:hint="eastAsia"/>
              </w:rPr>
            </w:pPr>
            <w:r>
              <w:rPr>
                <w:rFonts w:hint="eastAsia"/>
              </w:rPr>
              <w:t>江西紫荆颜料化工有限公司成立于2010年11月26日，并取得永新县市场监督管理局颁发的营业执照，住所位于江西省永新县小屋岭工业开发区，注册资本叁仟捌佰万元整，法定代表人：王栋，公司类型：有限责任公司（非自然人投资或控股的法人独资），统一社会信用代码：91360830563846747G，经营范围：包括有机颜料生产销售（除化学危险品）；自营和代理进出口业务（依法须经批准的项目，经相关部门批准后方可开展经营活动。）。</w:t>
            </w:r>
          </w:p>
          <w:p w14:paraId="53345E12">
            <w:pPr>
              <w:spacing w:line="240" w:lineRule="auto"/>
              <w:ind w:firstLine="560"/>
              <w:rPr>
                <w:rFonts w:hint="eastAsia"/>
              </w:rPr>
            </w:pPr>
            <w:r>
              <w:rPr>
                <w:rFonts w:hint="eastAsia"/>
              </w:rPr>
              <w:t>为全面满足基础市场需求，提升生产工艺及装置的本质安全水平，江西紫荆颜料化工有限公司对永固紫捏合产品项目进行提升改造，项目提升改造后总产能不变。</w:t>
            </w:r>
          </w:p>
          <w:p w14:paraId="41B936E4">
            <w:pPr>
              <w:spacing w:line="240" w:lineRule="auto"/>
              <w:ind w:firstLine="560"/>
              <w:rPr>
                <w:rFonts w:hint="eastAsia"/>
              </w:rPr>
            </w:pPr>
            <w:r>
              <w:rPr>
                <w:rFonts w:hint="eastAsia"/>
              </w:rPr>
              <w:t>江西紫荆颜料化工有限公司2025年3月21日取得永新县工业和信息化局出具的《江西省工业企业技术改造项目备案通知书》，备案项目名称：江西紫荆颜料化工有限公司永固紫捏合产品环保升级改造项目（项目统一代码为：2503-360830-07-02-825583）。</w:t>
            </w:r>
          </w:p>
          <w:p w14:paraId="3842A727">
            <w:pPr>
              <w:spacing w:line="240" w:lineRule="auto"/>
              <w:ind w:firstLine="560"/>
              <w:rPr>
                <w:rFonts w:hint="eastAsia"/>
              </w:rPr>
            </w:pPr>
            <w:r>
              <w:rPr>
                <w:rFonts w:hint="eastAsia"/>
              </w:rPr>
              <w:t>根据《国民经济行业分类》GB/T 4754-2017、《国民经济行业分类》国家标准第1号修改单GB/T 4754-2017/XG1-2019，项目属于C26化学原料和化学制品制造业。</w:t>
            </w:r>
          </w:p>
          <w:p w14:paraId="2AFCBC60">
            <w:pPr>
              <w:spacing w:line="240" w:lineRule="auto"/>
              <w:ind w:firstLine="560"/>
              <w:rPr>
                <w:rFonts w:hint="eastAsia"/>
              </w:rPr>
            </w:pPr>
            <w:r>
              <w:rPr>
                <w:rFonts w:hint="eastAsia"/>
              </w:rPr>
              <w:t>根据《危险化学品目录》（2015版）（国家安监总局等十部门〔2015年〕第5号）、应急管理部 工业和信息化部 公安部 生态环境部 交通运输部 农业农村部 卫生健康委 市场监管总局 铁路局 民航局公告（2022年第8号）和《应急管理部办公厅关于修改〈危险化学品目录（2015年版）实施指南（试行）〉涉及柴油部分内容的通知》（应急厅函〔2022〕300号）等文件，对项目改造所涉及的化学品进行辨识：该项目涉及的危险化学品有：乙醇、氢氧化钠、盐酸、柴油（发电机燃料）。</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49" w:hRule="atLeast"/>
          <w:jc w:val="center"/>
        </w:trPr>
        <w:tc>
          <w:tcPr>
            <w:tcW w:w="1510" w:type="dxa"/>
            <w:tcBorders>
              <w:tl2br w:val="nil"/>
              <w:tr2bl w:val="nil"/>
            </w:tcBorders>
            <w:shd w:val="clear" w:color="auto" w:fill="FFFFFF"/>
            <w:vAlign w:val="center"/>
          </w:tcPr>
          <w:p w14:paraId="60BC4E94">
            <w:pPr>
              <w:keepNext w:val="0"/>
              <w:keepLines w:val="0"/>
              <w:pageBreakBefore w:val="0"/>
              <w:widowControl/>
              <w:kinsoku/>
              <w:wordWrap/>
              <w:overflowPunct/>
              <w:topLinePunct w:val="0"/>
              <w:autoSpaceDE/>
              <w:autoSpaceDN/>
              <w:bidi w:val="0"/>
              <w:adjustRightInd/>
              <w:snapToGrid/>
              <w:jc w:val="center"/>
              <w:textAlignment w:val="auto"/>
            </w:pPr>
            <w:r>
              <w:rPr>
                <w:rFonts w:hint="eastAsia"/>
                <w:sz w:val="24"/>
              </w:rPr>
              <w:t>工艺流程</w:t>
            </w:r>
          </w:p>
        </w:tc>
        <w:tc>
          <w:tcPr>
            <w:tcW w:w="8155" w:type="dxa"/>
            <w:gridSpan w:val="3"/>
            <w:tcBorders>
              <w:tl2br w:val="nil"/>
              <w:tr2bl w:val="nil"/>
            </w:tcBorders>
            <w:shd w:val="clear" w:color="auto" w:fill="FFFFFF"/>
            <w:vAlign w:val="center"/>
          </w:tcPr>
          <w:p w14:paraId="7CFABCC0">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eastAsia="宋体"/>
                <w:lang w:val="en-US" w:eastAsia="zh-CN"/>
              </w:rPr>
            </w:pPr>
            <w:r>
              <w:rPr>
                <w:rFonts w:hint="eastAsia"/>
                <w:lang w:val="en-US" w:eastAsia="zh-CN"/>
              </w:rPr>
              <w:t>工艺涉及企业商业机密，略。</w:t>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jc w:val="center"/>
        </w:trPr>
        <w:tc>
          <w:tcPr>
            <w:tcW w:w="1510" w:type="dxa"/>
            <w:tcBorders>
              <w:tl2br w:val="nil"/>
              <w:tr2bl w:val="nil"/>
            </w:tcBorders>
            <w:shd w:val="clear" w:color="auto" w:fill="FFFFFF"/>
            <w:vAlign w:val="center"/>
          </w:tcPr>
          <w:p w14:paraId="4A954F8A">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435D02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000000" w:themeColor="text1"/>
          <w:highlight w:val="none"/>
          <w:lang w:eastAsia="zh-CN"/>
          <w14:textFill>
            <w14:solidFill>
              <w14:schemeClr w14:val="tx1"/>
            </w14:solidFill>
          </w14:textFill>
        </w:rPr>
      </w:pPr>
    </w:p>
    <w:p w14:paraId="7B129B8D">
      <w:pPr>
        <w:keepNext w:val="0"/>
        <w:keepLines w:val="0"/>
        <w:pageBreakBefore w:val="0"/>
        <w:widowControl w:val="0"/>
        <w:kinsoku/>
        <w:wordWrap/>
        <w:topLinePunct w:val="0"/>
        <w:bidi w:val="0"/>
        <w:ind w:firstLine="0" w:firstLineChars="0"/>
        <w:jc w:val="cente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inline distT="0" distB="0" distL="114300" distR="114300">
            <wp:extent cx="5265420" cy="3947795"/>
            <wp:effectExtent l="0" t="0" r="7620" b="14605"/>
            <wp:docPr id="8" name="图片 8" descr="紫荆合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紫荆合影1"/>
                    <pic:cNvPicPr>
                      <a:picLocks noChangeAspect="1"/>
                    </pic:cNvPicPr>
                  </pic:nvPicPr>
                  <pic:blipFill>
                    <a:blip r:embed="rId4"/>
                    <a:stretch>
                      <a:fillRect/>
                    </a:stretch>
                  </pic:blipFill>
                  <pic:spPr>
                    <a:xfrm>
                      <a:off x="0" y="0"/>
                      <a:ext cx="5265420" cy="3947795"/>
                    </a:xfrm>
                    <a:prstGeom prst="rect">
                      <a:avLst/>
                    </a:prstGeom>
                  </pic:spPr>
                </pic:pic>
              </a:graphicData>
            </a:graphic>
          </wp:inline>
        </w:drawing>
      </w:r>
    </w:p>
    <w:p w14:paraId="6D5E6EFB">
      <w:pPr>
        <w:keepNext w:val="0"/>
        <w:keepLines w:val="0"/>
        <w:pageBreakBefore w:val="0"/>
        <w:widowControl w:val="0"/>
        <w:kinsoku/>
        <w:wordWrap/>
        <w:topLinePunct w:val="0"/>
        <w:bidi w:val="0"/>
        <w:ind w:firstLine="0" w:firstLineChars="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drawing>
          <wp:inline distT="0" distB="0" distL="114300" distR="114300">
            <wp:extent cx="5265420" cy="3947795"/>
            <wp:effectExtent l="0" t="0" r="7620" b="14605"/>
            <wp:docPr id="9" name="图片 9" descr="紫荆合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紫荆合影3"/>
                    <pic:cNvPicPr>
                      <a:picLocks noChangeAspect="1"/>
                    </pic:cNvPicPr>
                  </pic:nvPicPr>
                  <pic:blipFill>
                    <a:blip r:embed="rId5"/>
                    <a:stretch>
                      <a:fillRect/>
                    </a:stretch>
                  </pic:blipFill>
                  <pic:spPr>
                    <a:xfrm>
                      <a:off x="0" y="0"/>
                      <a:ext cx="5265420" cy="3947795"/>
                    </a:xfrm>
                    <a:prstGeom prst="rect">
                      <a:avLst/>
                    </a:prstGeom>
                  </pic:spPr>
                </pic:pic>
              </a:graphicData>
            </a:graphic>
          </wp:inline>
        </w:drawing>
      </w:r>
    </w:p>
    <w:p w14:paraId="08283DF7">
      <w:pPr>
        <w:pStyle w:val="4"/>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70500" cy="8034655"/>
            <wp:effectExtent l="0" t="0" r="2540" b="12065"/>
            <wp:docPr id="11" name="图片 11" descr="紫荆颜料条件评价_安全技术服务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紫荆颜料条件评价_安全技术服务合同_01"/>
                    <pic:cNvPicPr>
                      <a:picLocks noChangeAspect="1"/>
                    </pic:cNvPicPr>
                  </pic:nvPicPr>
                  <pic:blipFill>
                    <a:blip r:embed="rId6"/>
                    <a:stretch>
                      <a:fillRect/>
                    </a:stretch>
                  </pic:blipFill>
                  <pic:spPr>
                    <a:xfrm>
                      <a:off x="0" y="0"/>
                      <a:ext cx="5270500" cy="8034655"/>
                    </a:xfrm>
                    <a:prstGeom prst="rect">
                      <a:avLst/>
                    </a:prstGeom>
                  </pic:spPr>
                </pic:pic>
              </a:graphicData>
            </a:graphic>
          </wp:inline>
        </w:drawing>
      </w:r>
      <w:r>
        <w:rPr>
          <w:rFonts w:hint="eastAsia" w:eastAsia="宋体"/>
          <w:lang w:eastAsia="zh-CN"/>
        </w:rPr>
        <w:drawing>
          <wp:inline distT="0" distB="0" distL="114300" distR="114300">
            <wp:extent cx="5270500" cy="8025765"/>
            <wp:effectExtent l="0" t="0" r="2540" b="5715"/>
            <wp:docPr id="10" name="图片 10" descr="紫荆颜料条件评价_安全技术服务合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紫荆颜料条件评价_安全技术服务合同_04"/>
                    <pic:cNvPicPr>
                      <a:picLocks noChangeAspect="1"/>
                    </pic:cNvPicPr>
                  </pic:nvPicPr>
                  <pic:blipFill>
                    <a:blip r:embed="rId7"/>
                    <a:stretch>
                      <a:fillRect/>
                    </a:stretch>
                  </pic:blipFill>
                  <pic:spPr>
                    <a:xfrm>
                      <a:off x="0" y="0"/>
                      <a:ext cx="5270500" cy="8025765"/>
                    </a:xfrm>
                    <a:prstGeom prst="rect">
                      <a:avLst/>
                    </a:prstGeom>
                  </pic:spPr>
                </pic:pic>
              </a:graphicData>
            </a:graphic>
          </wp:inline>
        </w:drawing>
      </w:r>
    </w:p>
    <w:p w14:paraId="2B1DFF98">
      <w:pPr>
        <w:rPr>
          <w:rFonts w:hint="eastAsia" w:eastAsia="宋体"/>
          <w:lang w:eastAsia="zh-CN"/>
        </w:rPr>
      </w:pPr>
      <w:r>
        <w:rPr>
          <w:rFonts w:hint="eastAsia" w:eastAsia="宋体"/>
          <w:lang w:eastAsia="zh-CN"/>
        </w:rPr>
        <w:br w:type="page"/>
      </w:r>
    </w:p>
    <w:p w14:paraId="30BA7610">
      <w:pPr>
        <w:pStyle w:val="7"/>
        <w:ind w:left="0" w:leftChars="0" w:firstLine="0" w:firstLineChars="0"/>
      </w:pPr>
      <w:r>
        <w:drawing>
          <wp:inline distT="0" distB="0" distL="114300" distR="114300">
            <wp:extent cx="5804535" cy="7788910"/>
            <wp:effectExtent l="0" t="0" r="1905" b="139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
                    <a:stretch>
                      <a:fillRect/>
                    </a:stretch>
                  </pic:blipFill>
                  <pic:spPr>
                    <a:xfrm>
                      <a:off x="0" y="0"/>
                      <a:ext cx="5804535" cy="7788910"/>
                    </a:xfrm>
                    <a:prstGeom prst="rect">
                      <a:avLst/>
                    </a:prstGeom>
                    <a:noFill/>
                    <a:ln>
                      <a:noFill/>
                    </a:ln>
                  </pic:spPr>
                </pic:pic>
              </a:graphicData>
            </a:graphic>
          </wp:inline>
        </w:drawing>
      </w:r>
    </w:p>
    <w:p w14:paraId="04788665">
      <w:r>
        <w:br w:type="page"/>
      </w:r>
    </w:p>
    <w:p w14:paraId="3B55368C">
      <w:pPr>
        <w:rPr>
          <w:rFonts w:hint="eastAsia"/>
          <w:lang w:eastAsia="zh-CN"/>
        </w:rPr>
      </w:pPr>
      <w:r>
        <w:drawing>
          <wp:inline distT="0" distB="0" distL="114300" distR="114300">
            <wp:extent cx="5383530" cy="8000365"/>
            <wp:effectExtent l="0" t="0" r="11430"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a:stretch>
                      <a:fillRect/>
                    </a:stretch>
                  </pic:blipFill>
                  <pic:spPr>
                    <a:xfrm>
                      <a:off x="0" y="0"/>
                      <a:ext cx="5383530" cy="8000365"/>
                    </a:xfrm>
                    <a:prstGeom prst="rect">
                      <a:avLst/>
                    </a:prstGeom>
                    <a:noFill/>
                    <a:ln>
                      <a:noFill/>
                    </a:ln>
                  </pic:spPr>
                </pic:pic>
              </a:graphicData>
            </a:graphic>
          </wp:inline>
        </w:drawing>
      </w:r>
    </w:p>
    <w:sectPr>
      <w:pgSz w:w="11906" w:h="16838"/>
      <w:pgMar w:top="102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8"/>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3"/>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2150C9"/>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906111"/>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CB4B93"/>
    <w:rsid w:val="1CD13F56"/>
    <w:rsid w:val="1CD14F1F"/>
    <w:rsid w:val="1CEA3399"/>
    <w:rsid w:val="1DA60EEB"/>
    <w:rsid w:val="1E2A79AD"/>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AB6EDE"/>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036684"/>
    <w:rsid w:val="79302291"/>
    <w:rsid w:val="797D7F1B"/>
    <w:rsid w:val="79952A7F"/>
    <w:rsid w:val="79CB65A5"/>
    <w:rsid w:val="79F44E86"/>
    <w:rsid w:val="79FE7AE0"/>
    <w:rsid w:val="7A083C89"/>
    <w:rsid w:val="7AA15E8B"/>
    <w:rsid w:val="7B424553"/>
    <w:rsid w:val="7BB96559"/>
    <w:rsid w:val="7BF25D18"/>
    <w:rsid w:val="7C304A31"/>
    <w:rsid w:val="7C6520EB"/>
    <w:rsid w:val="7C85225C"/>
    <w:rsid w:val="7D1943FF"/>
    <w:rsid w:val="7D2439C3"/>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8">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9">
    <w:name w:val="heading 2"/>
    <w:basedOn w:val="10"/>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10">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11">
    <w:name w:val="heading 4"/>
    <w:basedOn w:val="1"/>
    <w:next w:val="1"/>
    <w:unhideWhenUsed/>
    <w:qFormat/>
    <w:uiPriority w:val="0"/>
    <w:pPr>
      <w:keepNext/>
      <w:keepLines/>
      <w:outlineLvl w:val="3"/>
    </w:pPr>
    <w:rPr>
      <w:b/>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pPr>
    <w:rPr>
      <w:rFonts w:hint="eastAsia" w:ascii="宋体"/>
      <w:sz w:val="24"/>
    </w:rPr>
  </w:style>
  <w:style w:type="paragraph" w:customStyle="1" w:styleId="3">
    <w:name w:val="纯文本1"/>
    <w:basedOn w:val="1"/>
    <w:qFormat/>
    <w:uiPriority w:val="0"/>
    <w:rPr>
      <w:rFonts w:ascii="宋体" w:hAnsi="Courier New"/>
      <w:kern w:val="0"/>
      <w:sz w:val="21"/>
      <w:szCs w:val="20"/>
    </w:rPr>
  </w:style>
  <w:style w:type="paragraph" w:styleId="4">
    <w:name w:val="Body Text First Indent 2"/>
    <w:basedOn w:val="5"/>
    <w:next w:val="7"/>
    <w:unhideWhenUsed/>
    <w:qFormat/>
    <w:uiPriority w:val="99"/>
    <w:pPr>
      <w:ind w:firstLine="420" w:firstLineChars="200"/>
    </w:pPr>
  </w:style>
  <w:style w:type="paragraph" w:styleId="5">
    <w:name w:val="Body Text Indent"/>
    <w:basedOn w:val="1"/>
    <w:next w:val="6"/>
    <w:unhideWhenUsed/>
    <w:qFormat/>
    <w:uiPriority w:val="99"/>
    <w:pPr>
      <w:spacing w:after="120"/>
      <w:ind w:left="420" w:leftChars="200"/>
    </w:pPr>
  </w:style>
  <w:style w:type="paragraph" w:styleId="6">
    <w:name w:val="toc 5"/>
    <w:basedOn w:val="1"/>
    <w:next w:val="1"/>
    <w:semiHidden/>
    <w:qFormat/>
    <w:uiPriority w:val="0"/>
    <w:pPr>
      <w:ind w:left="1120"/>
      <w:jc w:val="left"/>
    </w:pPr>
    <w:rPr>
      <w:sz w:val="18"/>
      <w:szCs w:val="18"/>
    </w:rPr>
  </w:style>
  <w:style w:type="paragraph" w:customStyle="1" w:styleId="7">
    <w:name w:val="正文2"/>
    <w:basedOn w:val="1"/>
    <w:next w:val="1"/>
    <w:qFormat/>
    <w:uiPriority w:val="0"/>
    <w:pPr>
      <w:spacing w:line="440" w:lineRule="atLeast"/>
      <w:ind w:firstLine="567"/>
    </w:pPr>
    <w:rPr>
      <w:sz w:val="24"/>
      <w:szCs w:val="20"/>
    </w:rPr>
  </w:style>
  <w:style w:type="paragraph" w:styleId="12">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13">
    <w:name w:val="Body Text"/>
    <w:basedOn w:val="1"/>
    <w:next w:val="1"/>
    <w:qFormat/>
    <w:uiPriority w:val="99"/>
    <w:rPr>
      <w:sz w:val="28"/>
      <w:szCs w:val="28"/>
    </w:rPr>
  </w:style>
  <w:style w:type="paragraph" w:styleId="14">
    <w:name w:val="Plain Text"/>
    <w:basedOn w:val="1"/>
    <w:qFormat/>
    <w:uiPriority w:val="0"/>
    <w:rPr>
      <w:rFonts w:ascii="宋体" w:hAnsi="Courier New" w:cs="Courier New"/>
      <w:szCs w:val="21"/>
    </w:rPr>
  </w:style>
  <w:style w:type="paragraph" w:styleId="15">
    <w:name w:val="Date"/>
    <w:basedOn w:val="1"/>
    <w:next w:val="1"/>
    <w:link w:val="47"/>
    <w:qFormat/>
    <w:uiPriority w:val="0"/>
    <w:pPr>
      <w:ind w:left="100" w:leftChars="2500"/>
    </w:pPr>
    <w:rPr>
      <w:rFonts w:ascii="Times New Roman" w:hAnsi="Times New Roman"/>
      <w:b/>
      <w:bCs/>
      <w:sz w:val="28"/>
    </w:rPr>
  </w:style>
  <w:style w:type="paragraph" w:styleId="16">
    <w:name w:val="Body Text Indent 2"/>
    <w:basedOn w:val="1"/>
    <w:qFormat/>
    <w:uiPriority w:val="0"/>
    <w:pPr>
      <w:ind w:firstLine="538" w:firstLineChars="192"/>
    </w:pPr>
    <w:rPr>
      <w:rFonts w:ascii="宋体" w:hAnsi="宋体"/>
      <w:sz w:val="28"/>
    </w:rPr>
  </w:style>
  <w:style w:type="paragraph" w:styleId="17">
    <w:name w:val="Balloon Text"/>
    <w:basedOn w:val="1"/>
    <w:link w:val="33"/>
    <w:qFormat/>
    <w:uiPriority w:val="0"/>
    <w:rPr>
      <w:sz w:val="18"/>
      <w:szCs w:val="18"/>
    </w:rPr>
  </w:style>
  <w:style w:type="paragraph" w:styleId="18">
    <w:name w:val="footer"/>
    <w:basedOn w:val="1"/>
    <w:next w:val="19"/>
    <w:qFormat/>
    <w:uiPriority w:val="0"/>
    <w:pPr>
      <w:tabs>
        <w:tab w:val="center" w:pos="4153"/>
        <w:tab w:val="right" w:pos="8306"/>
      </w:tabs>
      <w:snapToGrid w:val="0"/>
    </w:pPr>
    <w:rPr>
      <w:sz w:val="18"/>
      <w:szCs w:val="18"/>
    </w:rPr>
  </w:style>
  <w:style w:type="paragraph" w:styleId="19">
    <w:name w:val="Normal (Web)"/>
    <w:basedOn w:val="1"/>
    <w:next w:val="20"/>
    <w:qFormat/>
    <w:uiPriority w:val="0"/>
    <w:pPr>
      <w:spacing w:before="100" w:beforeAutospacing="1" w:after="100" w:afterAutospacing="1"/>
      <w:jc w:val="left"/>
    </w:pPr>
    <w:rPr>
      <w:kern w:val="0"/>
      <w:sz w:val="24"/>
    </w:rPr>
  </w:style>
  <w:style w:type="paragraph" w:customStyle="1" w:styleId="2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jc w:val="left"/>
    </w:pPr>
    <w:rPr>
      <w:rFonts w:ascii="宋体"/>
      <w:b/>
      <w:bCs/>
      <w:caps/>
      <w:sz w:val="20"/>
      <w:szCs w:val="20"/>
    </w:rPr>
  </w:style>
  <w:style w:type="paragraph" w:styleId="23">
    <w:name w:val="Body Text Indent 3"/>
    <w:basedOn w:val="1"/>
    <w:qFormat/>
    <w:uiPriority w:val="0"/>
    <w:pPr>
      <w:ind w:firstLine="630"/>
    </w:pPr>
    <w:rPr>
      <w:rFonts w:ascii="Times New Roman" w:hAnsi="Times New Roman" w:eastAsia="仿宋_GB2312"/>
      <w:sz w:val="28"/>
    </w:rPr>
  </w:style>
  <w:style w:type="paragraph" w:styleId="24">
    <w:name w:val="Body Text First Indent"/>
    <w:basedOn w:val="13"/>
    <w:next w:val="1"/>
    <w:qFormat/>
    <w:uiPriority w:val="0"/>
    <w:pPr>
      <w:spacing w:after="120"/>
      <w:ind w:firstLine="420" w:firstLineChars="100"/>
    </w:pPr>
  </w:style>
  <w:style w:type="paragraph" w:customStyle="1" w:styleId="27">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9">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0">
    <w:name w:val="样式 标题 2"/>
    <w:basedOn w:val="9"/>
    <w:qFormat/>
    <w:uiPriority w:val="0"/>
    <w:pPr>
      <w:spacing w:beforeLines="0" w:afterLines="0"/>
    </w:pPr>
    <w:rPr>
      <w:rFonts w:ascii="Arial" w:hAnsi="Arial" w:eastAsia="宋体" w:cs="宋体"/>
      <w:snapToGrid/>
      <w:kern w:val="2"/>
      <w:szCs w:val="32"/>
      <w:lang w:val="zh-CN"/>
    </w:rPr>
  </w:style>
  <w:style w:type="paragraph" w:customStyle="1" w:styleId="31">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p0"/>
    <w:basedOn w:val="1"/>
    <w:qFormat/>
    <w:uiPriority w:val="0"/>
    <w:pPr>
      <w:widowControl/>
    </w:pPr>
    <w:rPr>
      <w:kern w:val="0"/>
      <w:szCs w:val="21"/>
    </w:rPr>
  </w:style>
  <w:style w:type="character" w:customStyle="1" w:styleId="33">
    <w:name w:val="批注框文本 字符"/>
    <w:basedOn w:val="26"/>
    <w:link w:val="17"/>
    <w:qFormat/>
    <w:uiPriority w:val="0"/>
    <w:rPr>
      <w:rFonts w:ascii="Calibri" w:hAnsi="Calibri"/>
      <w:kern w:val="2"/>
      <w:sz w:val="18"/>
      <w:szCs w:val="18"/>
    </w:rPr>
  </w:style>
  <w:style w:type="paragraph" w:customStyle="1" w:styleId="34">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5">
    <w:name w:val="表头 Char Char Char"/>
    <w:basedOn w:val="26"/>
    <w:qFormat/>
    <w:uiPriority w:val="0"/>
    <w:rPr>
      <w:rFonts w:ascii="宋体" w:hAnsi="Tahoma" w:eastAsia="宋体"/>
      <w:snapToGrid w:val="0"/>
      <w:spacing w:val="6"/>
      <w:kern w:val="10"/>
      <w:sz w:val="24"/>
    </w:rPr>
  </w:style>
  <w:style w:type="paragraph" w:customStyle="1" w:styleId="36">
    <w:name w:val="表格居中"/>
    <w:basedOn w:val="37"/>
    <w:qFormat/>
    <w:uiPriority w:val="0"/>
    <w:pPr>
      <w:jc w:val="center"/>
    </w:pPr>
  </w:style>
  <w:style w:type="paragraph" w:customStyle="1" w:styleId="37">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8">
    <w:name w:val="伟灿工贸-表格文字"/>
    <w:basedOn w:val="1"/>
    <w:qFormat/>
    <w:uiPriority w:val="0"/>
    <w:pPr>
      <w:jc w:val="center"/>
    </w:pPr>
    <w:rPr>
      <w:rFonts w:hint="eastAsia" w:ascii="宋体" w:hAnsi="宋体" w:cs="宋体"/>
      <w:szCs w:val="21"/>
    </w:rPr>
  </w:style>
  <w:style w:type="paragraph" w:customStyle="1" w:styleId="39">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0">
    <w:name w:val="表名、图名"/>
    <w:basedOn w:val="1"/>
    <w:next w:val="1"/>
    <w:qFormat/>
    <w:uiPriority w:val="0"/>
    <w:pPr>
      <w:jc w:val="center"/>
    </w:pPr>
    <w:rPr>
      <w:b/>
      <w:bCs/>
    </w:rPr>
  </w:style>
  <w:style w:type="paragraph" w:customStyle="1" w:styleId="41">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2">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3">
    <w:name w:val="工艺序号"/>
    <w:basedOn w:val="1"/>
    <w:qFormat/>
    <w:uiPriority w:val="0"/>
    <w:pPr>
      <w:numPr>
        <w:ilvl w:val="0"/>
        <w:numId w:val="1"/>
      </w:numPr>
    </w:pPr>
    <w:rPr>
      <w:b/>
      <w:bCs/>
    </w:rPr>
  </w:style>
  <w:style w:type="paragraph" w:customStyle="1" w:styleId="44">
    <w:name w:val="伟灿-表格文字"/>
    <w:basedOn w:val="1"/>
    <w:qFormat/>
    <w:uiPriority w:val="0"/>
    <w:pPr>
      <w:jc w:val="center"/>
    </w:pPr>
    <w:rPr>
      <w:rFonts w:hint="eastAsia" w:ascii="宋体" w:hAnsi="宋体" w:cs="宋体"/>
      <w:szCs w:val="21"/>
    </w:rPr>
  </w:style>
  <w:style w:type="paragraph" w:styleId="45">
    <w:name w:val="List Paragraph"/>
    <w:basedOn w:val="1"/>
    <w:qFormat/>
    <w:uiPriority w:val="99"/>
    <w:pPr>
      <w:ind w:firstLine="420" w:firstLineChars="200"/>
    </w:pPr>
  </w:style>
  <w:style w:type="paragraph" w:customStyle="1" w:styleId="46">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7">
    <w:name w:val="日期 字符"/>
    <w:basedOn w:val="26"/>
    <w:link w:val="15"/>
    <w:qFormat/>
    <w:uiPriority w:val="0"/>
    <w:rPr>
      <w:b/>
      <w:bCs/>
      <w:kern w:val="2"/>
      <w:sz w:val="28"/>
      <w:szCs w:val="24"/>
    </w:rPr>
  </w:style>
  <w:style w:type="paragraph" w:customStyle="1" w:styleId="48">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6</Pages>
  <Words>861</Words>
  <Characters>1054</Characters>
  <Lines>8</Lines>
  <Paragraphs>2</Paragraphs>
  <TotalTime>4</TotalTime>
  <ScaleCrop>false</ScaleCrop>
  <LinksUpToDate>false</LinksUpToDate>
  <CharactersWithSpaces>1054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风轻云淡</cp:lastModifiedBy>
  <dcterms:modified xsi:type="dcterms:W3CDTF">2026-04-14T03:53:09Z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2C91919FAC3F4E3290C5E59A0B504719_13</vt:lpwstr>
  </property>
  <property fmtid="{D5CDD505-2E9C-101B-9397-08002B2CF9AE}" pid="4" name="KSOTemplateDocerSaveRecord">
    <vt:lpwstr>eyJoZGlkIjoiNDUwMTFkMDI3ZjBmZjczM2Q3M2EwOGI5M2VjYzUzMDkiLCJ1c2VySWQiOiI0MDMzNzIyMzAifQ==</vt:lpwstr>
  </property>
</Properties>
</file>