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5689"/>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keepNext w:val="0"/>
              <w:keepLines w:val="0"/>
              <w:widowControl/>
              <w:suppressLineNumbers w:val="0"/>
              <w:spacing w:before="0" w:beforeAutospacing="0" w:after="150" w:afterAutospacing="0"/>
              <w:ind w:left="0" w:right="0"/>
              <w:jc w:val="center"/>
              <w:rPr>
                <w:rFonts w:hint="default" w:ascii="宋体" w:hAnsi="宋体" w:cs="宋体"/>
                <w:sz w:val="24"/>
              </w:rPr>
            </w:pPr>
            <w:r>
              <w:rPr>
                <w:rFonts w:hint="eastAsia" w:ascii="宋体" w:hAnsi="宋体" w:cs="宋体"/>
                <w:kern w:val="0"/>
                <w:sz w:val="24"/>
                <w:shd w:val="clear" w:color="auto" w:fill="FFFFFF"/>
              </w:rPr>
              <w:t>项目名称</w:t>
            </w:r>
          </w:p>
        </w:tc>
        <w:tc>
          <w:tcPr>
            <w:tcW w:w="9014" w:type="dxa"/>
            <w:gridSpan w:val="3"/>
            <w:tcBorders>
              <w:tl2br w:val="nil"/>
              <w:tr2bl w:val="nil"/>
            </w:tcBorders>
            <w:shd w:val="clear" w:color="auto" w:fill="FFFFFF"/>
            <w:vAlign w:val="center"/>
          </w:tcPr>
          <w:p w14:paraId="61A650FF">
            <w:pPr>
              <w:keepNext w:val="0"/>
              <w:keepLines w:val="0"/>
              <w:widowControl/>
              <w:suppressLineNumbers w:val="0"/>
              <w:spacing w:before="0" w:beforeAutospacing="0" w:after="150" w:afterAutospacing="0"/>
              <w:ind w:left="0" w:right="0"/>
              <w:jc w:val="center"/>
              <w:rPr>
                <w:rFonts w:hint="default" w:ascii="宋体" w:hAnsi="宋体" w:cs="宋体"/>
                <w:sz w:val="24"/>
              </w:rPr>
            </w:pPr>
            <w:r>
              <w:rPr>
                <w:rFonts w:hint="eastAsia" w:ascii="宋体" w:hAnsi="宋体" w:eastAsia="宋体" w:cs="宋体"/>
                <w:kern w:val="0"/>
                <w:sz w:val="24"/>
                <w:shd w:val="clear" w:color="auto" w:fill="FFFFFF"/>
                <w:lang w:eastAsia="zh-CN"/>
              </w:rPr>
              <w:t>赣州华阳石油化工有限公司经营危险化学品（成品油）项目安全现状评价报告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keepNext w:val="0"/>
              <w:keepLines w:val="0"/>
              <w:widowControl/>
              <w:suppressLineNumbers w:val="0"/>
              <w:spacing w:before="0" w:beforeAutospacing="0" w:after="150" w:afterAutospacing="0"/>
              <w:ind w:left="0" w:right="0"/>
              <w:jc w:val="center"/>
              <w:rPr>
                <w:rFonts w:hint="default" w:ascii="宋体" w:hAnsi="宋体" w:cs="宋体"/>
                <w:sz w:val="24"/>
              </w:rPr>
            </w:pPr>
            <w:r>
              <w:rPr>
                <w:rFonts w:hint="eastAsia" w:ascii="宋体" w:hAnsi="宋体" w:cs="宋体"/>
                <w:kern w:val="0"/>
                <w:sz w:val="24"/>
                <w:shd w:val="clear" w:color="auto" w:fill="FFFFFF"/>
              </w:rPr>
              <w:t>完成时间</w:t>
            </w:r>
          </w:p>
        </w:tc>
        <w:tc>
          <w:tcPr>
            <w:tcW w:w="9014" w:type="dxa"/>
            <w:gridSpan w:val="3"/>
            <w:tcBorders>
              <w:tl2br w:val="nil"/>
              <w:tr2bl w:val="nil"/>
            </w:tcBorders>
            <w:shd w:val="clear" w:color="auto" w:fill="FFFFFF"/>
            <w:vAlign w:val="center"/>
          </w:tcPr>
          <w:p w14:paraId="0D6A2948">
            <w:pPr>
              <w:keepNext w:val="0"/>
              <w:keepLines w:val="0"/>
              <w:widowControl/>
              <w:suppressLineNumbers w:val="0"/>
              <w:spacing w:before="0" w:beforeAutospacing="0" w:after="150" w:afterAutospacing="0"/>
              <w:ind w:left="0" w:right="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3</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20" w:type="dxa"/>
            <w:gridSpan w:val="4"/>
            <w:tcBorders>
              <w:tl2br w:val="nil"/>
              <w:tr2bl w:val="nil"/>
            </w:tcBorders>
            <w:shd w:val="clear" w:color="auto" w:fill="FFFFFF"/>
            <w:vAlign w:val="center"/>
          </w:tcPr>
          <w:p w14:paraId="3EE647F2">
            <w:pPr>
              <w:keepNext w:val="0"/>
              <w:keepLines w:val="0"/>
              <w:widowControl/>
              <w:suppressLineNumbers w:val="0"/>
              <w:spacing w:before="0" w:beforeAutospacing="0" w:after="150" w:afterAutospacing="0"/>
              <w:ind w:left="0" w:right="0"/>
              <w:jc w:val="center"/>
              <w:rPr>
                <w:rFonts w:hint="default"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keepNext w:val="0"/>
              <w:keepLines w:val="0"/>
              <w:suppressLineNumbers w:val="0"/>
              <w:spacing w:before="0" w:beforeAutospacing="0" w:after="0" w:afterAutospacing="0"/>
              <w:ind w:left="0" w:right="0"/>
              <w:jc w:val="center"/>
              <w:rPr>
                <w:rFonts w:hint="default" w:ascii="宋体" w:hAnsi="宋体" w:cs="宋体"/>
                <w:sz w:val="24"/>
              </w:rPr>
            </w:pPr>
          </w:p>
        </w:tc>
        <w:tc>
          <w:tcPr>
            <w:tcW w:w="817" w:type="dxa"/>
            <w:tcBorders>
              <w:tl2br w:val="nil"/>
              <w:tr2bl w:val="nil"/>
            </w:tcBorders>
            <w:shd w:val="clear" w:color="auto" w:fill="FFFFFF"/>
            <w:vAlign w:val="center"/>
          </w:tcPr>
          <w:p w14:paraId="476FDDF2">
            <w:pPr>
              <w:keepNext w:val="0"/>
              <w:keepLines w:val="0"/>
              <w:widowControl/>
              <w:suppressLineNumbers w:val="0"/>
              <w:spacing w:before="0" w:beforeAutospacing="0" w:after="150" w:afterAutospacing="0"/>
              <w:ind w:left="0" w:right="0"/>
              <w:jc w:val="center"/>
              <w:rPr>
                <w:rFonts w:hint="default" w:ascii="宋体" w:hAnsi="宋体" w:cs="宋体"/>
                <w:sz w:val="24"/>
              </w:rPr>
            </w:pPr>
            <w:r>
              <w:rPr>
                <w:rFonts w:hint="eastAsia" w:ascii="宋体" w:hAnsi="宋体" w:cs="宋体"/>
                <w:kern w:val="0"/>
                <w:sz w:val="24"/>
                <w:shd w:val="clear" w:color="auto" w:fill="FFFFFF"/>
              </w:rPr>
              <w:t>姓名</w:t>
            </w:r>
          </w:p>
        </w:tc>
        <w:tc>
          <w:tcPr>
            <w:tcW w:w="5689" w:type="dxa"/>
            <w:tcBorders>
              <w:tl2br w:val="nil"/>
              <w:tr2bl w:val="nil"/>
            </w:tcBorders>
            <w:shd w:val="clear" w:color="auto" w:fill="FFFFFF"/>
            <w:vAlign w:val="center"/>
          </w:tcPr>
          <w:p w14:paraId="41DE2DD7">
            <w:pPr>
              <w:keepNext w:val="0"/>
              <w:keepLines w:val="0"/>
              <w:widowControl/>
              <w:suppressLineNumbers w:val="0"/>
              <w:spacing w:before="0" w:beforeAutospacing="0" w:after="150" w:afterAutospacing="0"/>
              <w:ind w:left="0" w:right="0"/>
              <w:jc w:val="center"/>
              <w:rPr>
                <w:rFonts w:hint="default"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keepNext w:val="0"/>
              <w:keepLines w:val="0"/>
              <w:widowControl/>
              <w:suppressLineNumbers w:val="0"/>
              <w:spacing w:before="0" w:beforeAutospacing="0" w:after="150" w:afterAutospacing="0"/>
              <w:ind w:left="0" w:right="0"/>
              <w:jc w:val="center"/>
              <w:rPr>
                <w:rFonts w:hint="default"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auto"/>
            <w:vAlign w:val="center"/>
          </w:tcPr>
          <w:p w14:paraId="56565DEB">
            <w:pPr>
              <w:keepNext w:val="0"/>
              <w:keepLines w:val="0"/>
              <w:suppressLineNumbers w:val="0"/>
              <w:spacing w:before="156" w:beforeLines="50" w:beforeAutospacing="0" w:after="156" w:afterLines="50" w:afterAutospacing="0" w:line="40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sz w:val="24"/>
              </w:rPr>
              <w:t>蓝家财</w:t>
            </w:r>
          </w:p>
        </w:tc>
        <w:tc>
          <w:tcPr>
            <w:tcW w:w="5689" w:type="dxa"/>
            <w:tcBorders>
              <w:tl2br w:val="nil"/>
              <w:tr2bl w:val="nil"/>
            </w:tcBorders>
            <w:shd w:val="clear" w:color="auto" w:fill="FFFFFF"/>
            <w:vAlign w:val="center"/>
          </w:tcPr>
          <w:p w14:paraId="74203271">
            <w:pPr>
              <w:keepNext w:val="0"/>
              <w:keepLines w:val="0"/>
              <w:suppressLineNumbers w:val="0"/>
              <w:spacing w:before="0" w:beforeAutospacing="0" w:after="0" w:afterAutospacing="0" w:line="360" w:lineRule="exact"/>
              <w:ind w:left="0" w:right="0"/>
              <w:jc w:val="center"/>
              <w:rPr>
                <w:rFonts w:hint="default" w:ascii="宋体" w:hAnsi="宋体" w:eastAsia="宋体" w:cs="宋体"/>
                <w:kern w:val="2"/>
                <w:sz w:val="24"/>
                <w:szCs w:val="24"/>
                <w:lang w:val="en-US" w:eastAsia="zh-CN" w:bidi="zh-TW"/>
              </w:rPr>
            </w:pPr>
            <w:r>
              <w:rPr>
                <w:rFonts w:hint="eastAsia" w:ascii="宋体" w:hAnsi="宋体" w:eastAsia="宋体" w:cs="宋体"/>
                <w:sz w:val="24"/>
                <w:lang w:bidi="zh-TW"/>
              </w:rPr>
              <w:t>CAWS530000230200862</w:t>
            </w:r>
          </w:p>
        </w:tc>
        <w:tc>
          <w:tcPr>
            <w:tcW w:w="2508" w:type="dxa"/>
            <w:tcBorders>
              <w:tl2br w:val="nil"/>
              <w:tr2bl w:val="nil"/>
            </w:tcBorders>
            <w:shd w:val="clear" w:color="auto" w:fill="FFFFFF"/>
            <w:vAlign w:val="center"/>
          </w:tcPr>
          <w:p w14:paraId="3EA9A323">
            <w:pPr>
              <w:keepNext w:val="0"/>
              <w:keepLines w:val="0"/>
              <w:suppressLineNumbers w:val="0"/>
              <w:spacing w:before="0" w:beforeAutospacing="0" w:after="0" w:afterAutospacing="0" w:line="360" w:lineRule="exact"/>
              <w:ind w:left="0" w:right="0"/>
              <w:jc w:val="center"/>
              <w:rPr>
                <w:rFonts w:hint="default" w:ascii="宋体" w:hAnsi="宋体" w:eastAsia="宋体" w:cs="宋体"/>
                <w:kern w:val="2"/>
                <w:sz w:val="24"/>
                <w:szCs w:val="24"/>
                <w:lang w:val="en-US" w:eastAsia="zh-CN" w:bidi="zh-TW"/>
              </w:rPr>
            </w:pPr>
            <w:r>
              <w:rPr>
                <w:rFonts w:hint="eastAsia" w:ascii="宋体" w:hAnsi="宋体" w:eastAsia="宋体" w:cs="宋体"/>
                <w:sz w:val="24"/>
                <w:lang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FFFFFF"/>
            <w:vAlign w:val="center"/>
          </w:tcPr>
          <w:p w14:paraId="2D36C39E">
            <w:pPr>
              <w:keepNext w:val="0"/>
              <w:keepLines w:val="0"/>
              <w:suppressLineNumbers w:val="0"/>
              <w:spacing w:before="156" w:beforeLines="50" w:beforeAutospacing="0" w:after="156" w:afterLines="50" w:afterAutospacing="0" w:line="40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sz w:val="24"/>
              </w:rPr>
              <w:t>徐顺星</w:t>
            </w:r>
          </w:p>
        </w:tc>
        <w:tc>
          <w:tcPr>
            <w:tcW w:w="5689" w:type="dxa"/>
            <w:tcBorders>
              <w:tl2br w:val="nil"/>
              <w:tr2bl w:val="nil"/>
            </w:tcBorders>
            <w:shd w:val="clear" w:color="auto" w:fill="FFFFFF"/>
            <w:vAlign w:val="center"/>
          </w:tcPr>
          <w:p w14:paraId="652AFC5A">
            <w:pPr>
              <w:keepNext w:val="0"/>
              <w:keepLines w:val="0"/>
              <w:suppressLineNumbers w:val="0"/>
              <w:spacing w:before="156" w:beforeLines="50" w:beforeAutospacing="0" w:after="156" w:afterLines="50" w:afterAutospacing="0" w:line="40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sz w:val="24"/>
              </w:rPr>
              <w:t>S011041000110192002229</w:t>
            </w:r>
          </w:p>
        </w:tc>
        <w:tc>
          <w:tcPr>
            <w:tcW w:w="2508" w:type="dxa"/>
            <w:tcBorders>
              <w:tl2br w:val="nil"/>
              <w:tr2bl w:val="nil"/>
            </w:tcBorders>
            <w:shd w:val="clear" w:color="auto" w:fill="FFFFFF"/>
            <w:vAlign w:val="center"/>
          </w:tcPr>
          <w:p w14:paraId="155B3950">
            <w:pPr>
              <w:keepNext w:val="0"/>
              <w:keepLines w:val="0"/>
              <w:suppressLineNumbers w:val="0"/>
              <w:spacing w:before="156" w:beforeLines="50" w:beforeAutospacing="0" w:after="156" w:afterLines="50" w:afterAutospacing="0" w:line="40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sz w:val="24"/>
              </w:rPr>
              <w:t>018803</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keepNext w:val="0"/>
              <w:keepLines w:val="0"/>
              <w:suppressLineNumbers w:val="0"/>
              <w:spacing w:before="0" w:beforeAutospacing="0" w:after="0" w:afterAutospacing="0"/>
              <w:ind w:left="0" w:right="0"/>
              <w:jc w:val="center"/>
              <w:rPr>
                <w:rFonts w:hint="default" w:ascii="宋体" w:hAnsi="宋体" w:cs="宋体"/>
                <w:sz w:val="24"/>
              </w:rPr>
            </w:pPr>
          </w:p>
        </w:tc>
        <w:tc>
          <w:tcPr>
            <w:tcW w:w="817" w:type="dxa"/>
            <w:tcBorders>
              <w:tl2br w:val="nil"/>
              <w:tr2bl w:val="nil"/>
            </w:tcBorders>
            <w:shd w:val="clear" w:color="auto" w:fill="FFFFFF"/>
            <w:vAlign w:val="center"/>
          </w:tcPr>
          <w:p w14:paraId="4A9331A7">
            <w:pPr>
              <w:keepNext w:val="0"/>
              <w:keepLines w:val="0"/>
              <w:suppressLineNumbers w:val="0"/>
              <w:spacing w:before="156" w:beforeLines="50" w:beforeAutospacing="0" w:after="156" w:afterLines="50" w:afterAutospacing="0" w:line="40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sz w:val="24"/>
              </w:rPr>
              <w:t>乔贯德</w:t>
            </w:r>
          </w:p>
        </w:tc>
        <w:tc>
          <w:tcPr>
            <w:tcW w:w="5689" w:type="dxa"/>
            <w:tcBorders>
              <w:tl2br w:val="nil"/>
              <w:tr2bl w:val="nil"/>
            </w:tcBorders>
            <w:shd w:val="clear" w:color="auto" w:fill="FFFFFF"/>
            <w:vAlign w:val="center"/>
          </w:tcPr>
          <w:p w14:paraId="3E4AF7D5">
            <w:pPr>
              <w:keepNext w:val="0"/>
              <w:keepLines w:val="0"/>
              <w:suppressLineNumbers w:val="0"/>
              <w:spacing w:before="156" w:beforeLines="50" w:beforeAutospacing="0" w:after="156" w:afterLines="50" w:afterAutospacing="0" w:line="40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sz w:val="24"/>
              </w:rPr>
              <w:t>1700000000300087</w:t>
            </w:r>
          </w:p>
        </w:tc>
        <w:tc>
          <w:tcPr>
            <w:tcW w:w="2508" w:type="dxa"/>
            <w:tcBorders>
              <w:tl2br w:val="nil"/>
              <w:tr2bl w:val="nil"/>
            </w:tcBorders>
            <w:shd w:val="clear" w:color="auto" w:fill="FFFFFF"/>
            <w:vAlign w:val="center"/>
          </w:tcPr>
          <w:p w14:paraId="097E9CF2">
            <w:pPr>
              <w:keepNext w:val="0"/>
              <w:keepLines w:val="0"/>
              <w:suppressLineNumbers w:val="0"/>
              <w:spacing w:before="156" w:beforeLines="50" w:beforeAutospacing="0" w:after="156" w:afterLines="50" w:afterAutospacing="0" w:line="40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sz w:val="24"/>
              </w:rPr>
              <w:t>030797</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keepNext w:val="0"/>
              <w:keepLines w:val="0"/>
              <w:suppressLineNumbers w:val="0"/>
              <w:spacing w:before="0" w:beforeAutospacing="0" w:after="0" w:afterAutospacing="0"/>
              <w:ind w:left="0" w:right="0"/>
              <w:jc w:val="center"/>
              <w:rPr>
                <w:rFonts w:hint="default" w:ascii="宋体" w:hAnsi="宋体" w:cs="宋体"/>
                <w:sz w:val="24"/>
              </w:rPr>
            </w:pPr>
          </w:p>
        </w:tc>
        <w:tc>
          <w:tcPr>
            <w:tcW w:w="817" w:type="dxa"/>
            <w:tcBorders>
              <w:tl2br w:val="nil"/>
              <w:tr2bl w:val="nil"/>
            </w:tcBorders>
            <w:shd w:val="clear" w:color="auto" w:fill="FFFFFF"/>
            <w:vAlign w:val="center"/>
          </w:tcPr>
          <w:p w14:paraId="07C8D395">
            <w:pPr>
              <w:keepNext w:val="0"/>
              <w:keepLines w:val="0"/>
              <w:suppressLineNumbers w:val="0"/>
              <w:spacing w:before="156" w:beforeLines="50" w:beforeAutospacing="0" w:after="156" w:afterLines="50" w:afterAutospacing="0" w:line="40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sz w:val="24"/>
                <w:lang w:val="en-US" w:eastAsia="zh-CN"/>
              </w:rPr>
              <w:t>于志勇</w:t>
            </w:r>
          </w:p>
        </w:tc>
        <w:tc>
          <w:tcPr>
            <w:tcW w:w="5689" w:type="dxa"/>
            <w:tcBorders>
              <w:tl2br w:val="nil"/>
              <w:tr2bl w:val="nil"/>
            </w:tcBorders>
            <w:shd w:val="clear" w:color="auto" w:fill="FFFFFF"/>
            <w:vAlign w:val="center"/>
          </w:tcPr>
          <w:p w14:paraId="1F79760F">
            <w:pPr>
              <w:keepNext w:val="0"/>
              <w:keepLines w:val="0"/>
              <w:suppressLineNumbers w:val="0"/>
              <w:spacing w:before="156" w:beforeLines="50" w:beforeAutospacing="0" w:after="156" w:afterLines="50" w:afterAutospacing="0" w:line="40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sz w:val="24"/>
              </w:rPr>
              <w:t xml:space="preserve">2014033230330000003310230030  </w:t>
            </w:r>
          </w:p>
        </w:tc>
        <w:tc>
          <w:tcPr>
            <w:tcW w:w="2508" w:type="dxa"/>
            <w:tcBorders>
              <w:tl2br w:val="nil"/>
              <w:tr2bl w:val="nil"/>
            </w:tcBorders>
            <w:shd w:val="clear" w:color="auto" w:fill="FFFFFF"/>
            <w:vAlign w:val="center"/>
          </w:tcPr>
          <w:p w14:paraId="05E42F8E">
            <w:pPr>
              <w:keepNext w:val="0"/>
              <w:keepLines w:val="0"/>
              <w:suppressLineNumbers w:val="0"/>
              <w:spacing w:before="156" w:beforeLines="50" w:beforeAutospacing="0" w:after="156" w:afterLines="50" w:afterAutospacing="0" w:line="40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51190209624</w:t>
            </w:r>
          </w:p>
        </w:tc>
      </w:tr>
      <w:tr w14:paraId="2E47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F732C06">
            <w:pPr>
              <w:keepNext w:val="0"/>
              <w:keepLines w:val="0"/>
              <w:suppressLineNumbers w:val="0"/>
              <w:spacing w:before="0" w:beforeAutospacing="0" w:after="0" w:afterAutospacing="0"/>
              <w:ind w:left="0" w:right="0"/>
              <w:jc w:val="center"/>
              <w:rPr>
                <w:rFonts w:hint="default" w:ascii="宋体" w:hAnsi="宋体" w:cs="宋体"/>
                <w:sz w:val="24"/>
              </w:rPr>
            </w:pPr>
          </w:p>
        </w:tc>
        <w:tc>
          <w:tcPr>
            <w:tcW w:w="817" w:type="dxa"/>
            <w:tcBorders>
              <w:tl2br w:val="nil"/>
              <w:tr2bl w:val="nil"/>
            </w:tcBorders>
            <w:shd w:val="clear" w:color="auto" w:fill="FFFFFF"/>
            <w:vAlign w:val="center"/>
          </w:tcPr>
          <w:p w14:paraId="54F4E8F4">
            <w:pPr>
              <w:keepNext w:val="0"/>
              <w:keepLines w:val="0"/>
              <w:suppressLineNumbers w:val="0"/>
              <w:spacing w:before="156" w:beforeLines="50" w:beforeAutospacing="0" w:after="156" w:afterLines="50" w:afterAutospacing="0" w:line="40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程冬红</w:t>
            </w:r>
          </w:p>
        </w:tc>
        <w:tc>
          <w:tcPr>
            <w:tcW w:w="5689" w:type="dxa"/>
            <w:tcBorders>
              <w:tl2br w:val="nil"/>
              <w:tr2bl w:val="nil"/>
            </w:tcBorders>
            <w:shd w:val="clear" w:color="auto" w:fill="FFFFFF"/>
            <w:vAlign w:val="center"/>
          </w:tcPr>
          <w:p w14:paraId="00C17882">
            <w:pPr>
              <w:keepNext w:val="0"/>
              <w:keepLines w:val="0"/>
              <w:suppressLineNumbers w:val="0"/>
              <w:spacing w:before="156" w:beforeLines="50" w:beforeAutospacing="0" w:after="156" w:afterLines="50" w:afterAutospacing="0" w:line="40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1500000000301714</w:t>
            </w:r>
          </w:p>
        </w:tc>
        <w:tc>
          <w:tcPr>
            <w:tcW w:w="2508" w:type="dxa"/>
            <w:tcBorders>
              <w:tl2br w:val="nil"/>
              <w:tr2bl w:val="nil"/>
            </w:tcBorders>
            <w:shd w:val="clear" w:color="auto" w:fill="FFFFFF"/>
            <w:vAlign w:val="center"/>
          </w:tcPr>
          <w:p w14:paraId="3D85FB31">
            <w:pPr>
              <w:keepNext w:val="0"/>
              <w:keepLines w:val="0"/>
              <w:suppressLineNumbers w:val="0"/>
              <w:spacing w:before="156" w:beforeLines="50" w:beforeAutospacing="0" w:after="156" w:afterLines="50" w:afterAutospacing="0" w:line="40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026812</w:t>
            </w:r>
          </w:p>
        </w:tc>
      </w:tr>
      <w:tr w14:paraId="3109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AC23D0">
            <w:pPr>
              <w:keepNext w:val="0"/>
              <w:keepLines w:val="0"/>
              <w:suppressLineNumbers w:val="0"/>
              <w:spacing w:before="0" w:beforeAutospacing="0" w:after="0" w:afterAutospacing="0"/>
              <w:ind w:left="0" w:right="0"/>
              <w:jc w:val="center"/>
              <w:rPr>
                <w:rFonts w:hint="default" w:ascii="宋体" w:hAnsi="宋体" w:cs="宋体"/>
                <w:sz w:val="24"/>
              </w:rPr>
            </w:pPr>
          </w:p>
        </w:tc>
        <w:tc>
          <w:tcPr>
            <w:tcW w:w="817" w:type="dxa"/>
            <w:tcBorders>
              <w:tl2br w:val="nil"/>
              <w:tr2bl w:val="nil"/>
            </w:tcBorders>
            <w:shd w:val="clear" w:color="auto" w:fill="FFFFFF"/>
            <w:vAlign w:val="center"/>
          </w:tcPr>
          <w:p w14:paraId="4FE08C8F">
            <w:pPr>
              <w:keepNext w:val="0"/>
              <w:keepLines w:val="0"/>
              <w:suppressLineNumbers w:val="0"/>
              <w:spacing w:before="156" w:beforeLines="50" w:beforeAutospacing="0" w:after="156" w:afterLines="50" w:afterAutospacing="0" w:line="400" w:lineRule="exact"/>
              <w:ind w:left="0" w:right="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刘二平</w:t>
            </w:r>
          </w:p>
        </w:tc>
        <w:tc>
          <w:tcPr>
            <w:tcW w:w="5689" w:type="dxa"/>
            <w:tcBorders>
              <w:tl2br w:val="nil"/>
              <w:tr2bl w:val="nil"/>
            </w:tcBorders>
            <w:shd w:val="clear" w:color="auto" w:fill="FFFFFF"/>
            <w:vAlign w:val="center"/>
          </w:tcPr>
          <w:p w14:paraId="2F53413F">
            <w:pPr>
              <w:keepNext w:val="0"/>
              <w:keepLines w:val="0"/>
              <w:suppressLineNumbers w:val="0"/>
              <w:spacing w:before="156" w:beforeLines="50" w:beforeAutospacing="0" w:after="156" w:afterLines="50" w:afterAutospacing="0" w:line="400" w:lineRule="exact"/>
              <w:ind w:left="0" w:right="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03320241036000000887</w:t>
            </w:r>
          </w:p>
        </w:tc>
        <w:tc>
          <w:tcPr>
            <w:tcW w:w="2508" w:type="dxa"/>
            <w:tcBorders>
              <w:tl2br w:val="nil"/>
              <w:tr2bl w:val="nil"/>
            </w:tcBorders>
            <w:shd w:val="clear" w:color="auto" w:fill="FFFFFF"/>
            <w:vAlign w:val="center"/>
          </w:tcPr>
          <w:p w14:paraId="31B47B28">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37250438462</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393FDAF">
            <w:pPr>
              <w:keepNext w:val="0"/>
              <w:keepLines w:val="0"/>
              <w:widowControl/>
              <w:suppressLineNumbers w:val="0"/>
              <w:spacing w:before="0" w:beforeAutospacing="0" w:after="150" w:afterAutospacing="0"/>
              <w:ind w:left="0" w:right="0"/>
              <w:jc w:val="center"/>
              <w:rPr>
                <w:rFonts w:hint="default" w:ascii="宋体" w:hAnsi="宋体" w:cs="宋体"/>
                <w:sz w:val="24"/>
              </w:rPr>
            </w:pPr>
            <w:r>
              <w:rPr>
                <w:rFonts w:hint="eastAsia" w:ascii="宋体" w:hAnsi="宋体" w:cs="宋体"/>
                <w:kern w:val="0"/>
                <w:sz w:val="24"/>
                <w:shd w:val="clear" w:color="auto" w:fill="FFFFFF"/>
              </w:rPr>
              <w:t>技术专家</w:t>
            </w:r>
          </w:p>
        </w:tc>
        <w:tc>
          <w:tcPr>
            <w:tcW w:w="9014" w:type="dxa"/>
            <w:gridSpan w:val="3"/>
            <w:tcBorders>
              <w:tl2br w:val="nil"/>
              <w:tr2bl w:val="nil"/>
            </w:tcBorders>
            <w:shd w:val="clear" w:color="auto" w:fill="FFFFFF"/>
            <w:vAlign w:val="center"/>
          </w:tcPr>
          <w:p w14:paraId="06BC571F">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606" w:type="dxa"/>
            <w:tcBorders>
              <w:tl2br w:val="nil"/>
              <w:tr2bl w:val="nil"/>
            </w:tcBorders>
            <w:shd w:val="clear" w:color="auto" w:fill="FFFFFF"/>
            <w:vAlign w:val="center"/>
          </w:tcPr>
          <w:p w14:paraId="29ED6B3E">
            <w:pPr>
              <w:keepNext w:val="0"/>
              <w:keepLines w:val="0"/>
              <w:widowControl/>
              <w:suppressLineNumbers w:val="0"/>
              <w:spacing w:before="0" w:beforeAutospacing="0" w:after="150" w:afterAutospacing="0"/>
              <w:ind w:left="0" w:right="0"/>
              <w:jc w:val="center"/>
              <w:rPr>
                <w:rFonts w:hint="default" w:ascii="宋体" w:hAnsi="宋体" w:cs="宋体"/>
                <w:sz w:val="24"/>
              </w:rPr>
            </w:pPr>
            <w:r>
              <w:rPr>
                <w:rFonts w:hint="eastAsia" w:ascii="宋体" w:hAnsi="宋体" w:cs="宋体"/>
                <w:kern w:val="0"/>
                <w:sz w:val="24"/>
                <w:shd w:val="clear" w:color="auto" w:fill="FFFFFF"/>
              </w:rPr>
              <w:t>现场勘察人员及时间</w:t>
            </w:r>
          </w:p>
        </w:tc>
        <w:tc>
          <w:tcPr>
            <w:tcW w:w="9014" w:type="dxa"/>
            <w:gridSpan w:val="3"/>
            <w:tcBorders>
              <w:tl2br w:val="nil"/>
              <w:tr2bl w:val="nil"/>
            </w:tcBorders>
            <w:shd w:val="clear" w:color="auto" w:fill="FFFFFF"/>
            <w:vAlign w:val="center"/>
          </w:tcPr>
          <w:p w14:paraId="0A9BD943">
            <w:pPr>
              <w:keepNext w:val="0"/>
              <w:keepLines w:val="0"/>
              <w:widowControl/>
              <w:suppressLineNumbers w:val="0"/>
              <w:spacing w:before="0" w:beforeAutospacing="0" w:after="150" w:afterAutospacing="0"/>
              <w:ind w:left="0" w:right="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hint="default" w:ascii="宋体" w:hAnsi="宋体" w:eastAsia="宋体" w:cs="宋体"/>
                <w:sz w:val="24"/>
                <w:szCs w:val="24"/>
              </w:rPr>
              <w:t>刘二平</w:t>
            </w:r>
            <w:r>
              <w:rPr>
                <w:rFonts w:hint="eastAsia"/>
                <w:sz w:val="24"/>
              </w:rPr>
              <w:t xml:space="preserve"> </w:t>
            </w:r>
            <w:r>
              <w:rPr>
                <w:rFonts w:hint="eastAsia"/>
                <w:sz w:val="24"/>
                <w:lang w:val="en-US" w:eastAsia="zh-CN"/>
              </w:rPr>
              <w:t>2026年3月12日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606" w:type="dxa"/>
            <w:tcBorders>
              <w:tl2br w:val="nil"/>
              <w:tr2bl w:val="nil"/>
            </w:tcBorders>
            <w:shd w:val="clear" w:color="auto" w:fill="FFFFFF"/>
            <w:vAlign w:val="center"/>
          </w:tcPr>
          <w:p w14:paraId="716803F2">
            <w:pPr>
              <w:keepNext w:val="0"/>
              <w:keepLines w:val="0"/>
              <w:widowControl/>
              <w:suppressLineNumbers w:val="0"/>
              <w:spacing w:before="0" w:beforeAutospacing="0" w:after="150" w:afterAutospacing="0"/>
              <w:ind w:left="0" w:right="0"/>
              <w:jc w:val="center"/>
              <w:rPr>
                <w:rFonts w:hint="default"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9014" w:type="dxa"/>
            <w:gridSpan w:val="3"/>
            <w:tcBorders>
              <w:tl2br w:val="nil"/>
              <w:tr2bl w:val="nil"/>
            </w:tcBorders>
            <w:shd w:val="clear" w:color="auto" w:fill="FFFFFF"/>
            <w:vAlign w:val="center"/>
          </w:tcPr>
          <w:p w14:paraId="0C6652F1">
            <w:pPr>
              <w:keepNext w:val="0"/>
              <w:keepLines w:val="0"/>
              <w:widowControl/>
              <w:suppressLineNumbers w:val="0"/>
              <w:spacing w:before="0" w:beforeAutospacing="0" w:after="150" w:afterAutospacing="0"/>
              <w:ind w:left="0" w:right="0"/>
              <w:jc w:val="center"/>
              <w:rPr>
                <w:rFonts w:hint="default" w:ascii="Times New Roman" w:hAnsi="Times New Roman" w:eastAsia="宋体"/>
                <w:color w:val="FF0000"/>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hint="default" w:ascii="宋体" w:hAnsi="宋体" w:eastAsia="宋体" w:cs="宋体"/>
                <w:sz w:val="24"/>
                <w:szCs w:val="24"/>
              </w:rPr>
              <w:t>刘二平</w:t>
            </w:r>
            <w:r>
              <w:rPr>
                <w:rFonts w:hint="eastAsia"/>
                <w:sz w:val="24"/>
              </w:rPr>
              <w:t xml:space="preserve"> </w:t>
            </w:r>
            <w:r>
              <w:rPr>
                <w:rFonts w:hint="eastAsia"/>
                <w:sz w:val="24"/>
                <w:lang w:val="en-US" w:eastAsia="zh-CN"/>
              </w:rPr>
              <w:t>2026年3月15日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keepNext w:val="0"/>
              <w:keepLines w:val="0"/>
              <w:widowControl/>
              <w:suppressLineNumbers w:val="0"/>
              <w:spacing w:before="0" w:beforeAutospacing="0" w:after="150" w:afterAutospacing="0"/>
              <w:ind w:left="0" w:right="0"/>
              <w:jc w:val="center"/>
              <w:rPr>
                <w:rFonts w:hint="default"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3"/>
            <w:tcBorders>
              <w:tl2br w:val="nil"/>
              <w:tr2bl w:val="nil"/>
            </w:tcBorders>
            <w:shd w:val="clear" w:color="auto" w:fill="FFFFFF"/>
          </w:tcPr>
          <w:p w14:paraId="34E386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80" w:firstLineChars="200"/>
              <w:jc w:val="both"/>
              <w:textAlignment w:val="auto"/>
              <w:rPr>
                <w:rFonts w:hint="default"/>
                <w:sz w:val="24"/>
                <w:szCs w:val="24"/>
                <w:lang w:val="en-US"/>
              </w:rPr>
            </w:pPr>
            <w:r>
              <w:rPr>
                <w:rFonts w:hint="eastAsia" w:ascii="宋体" w:hAnsi="宋体" w:eastAsia="宋体" w:cs="Times New Roman"/>
                <w:snapToGrid/>
                <w:kern w:val="2"/>
                <w:sz w:val="24"/>
                <w:szCs w:val="24"/>
                <w:lang w:val="en-US" w:eastAsia="zh-CN" w:bidi="ar"/>
              </w:rPr>
              <w:t>赣州华阳石油化工有限公司前身为浙江壳牌能源发展有限公司赣州岗边大道加油加气站，2026年2月由浙江壳牌能源发展有限公司转让给赣州华阳石油化工有限公司后更名为赣州华阳石油化工有限公司。该加油站成立于2019年5月41日，为从事成品油（汽油、柴油）储存、经营及车用尿素溶液（柴油尾气净化液）经营的企业，转让给赣州华阳石油化工有限公司后加油站内的设施设备、管理、操作人员及油站地址等均未有变动，只是加油站名称与法定代表人变更为了赣州华阳石油化工有限公司与喻云敏。</w:t>
            </w:r>
          </w:p>
          <w:p w14:paraId="0D7E19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80" w:firstLineChars="200"/>
              <w:jc w:val="both"/>
              <w:textAlignment w:val="auto"/>
              <w:rPr>
                <w:rFonts w:hint="default"/>
                <w:sz w:val="24"/>
                <w:szCs w:val="24"/>
                <w:lang w:val="en-US"/>
              </w:rPr>
            </w:pPr>
            <w:r>
              <w:rPr>
                <w:rFonts w:hint="eastAsia" w:ascii="宋体" w:hAnsi="宋体" w:eastAsia="宋体" w:cs="Times New Roman"/>
                <w:snapToGrid/>
                <w:kern w:val="2"/>
                <w:sz w:val="24"/>
                <w:szCs w:val="24"/>
                <w:lang w:val="en-US" w:eastAsia="zh-CN" w:bidi="ar"/>
              </w:rPr>
              <w:t>该加油站主要建构筑物有站房、罩棚、埋地油罐区、加油机及尿素加注机。其中30m</w:t>
            </w:r>
            <w:r>
              <w:rPr>
                <w:rFonts w:hint="eastAsia" w:ascii="宋体" w:hAnsi="宋体" w:eastAsia="宋体" w:cs="Times New Roman"/>
                <w:snapToGrid/>
                <w:kern w:val="2"/>
                <w:sz w:val="24"/>
                <w:szCs w:val="24"/>
                <w:vertAlign w:val="superscript"/>
                <w:lang w:val="en-US" w:eastAsia="zh-CN" w:bidi="ar"/>
              </w:rPr>
              <w:t>3</w:t>
            </w:r>
            <w:r>
              <w:rPr>
                <w:rFonts w:hint="eastAsia" w:ascii="宋体" w:hAnsi="宋体" w:eastAsia="宋体" w:cs="Times New Roman"/>
                <w:snapToGrid/>
                <w:kern w:val="2"/>
                <w:sz w:val="24"/>
                <w:szCs w:val="24"/>
                <w:lang w:val="en-US" w:eastAsia="zh-CN" w:bidi="ar"/>
              </w:rPr>
              <w:t>92#埋地卧式汽油储罐2台，30m³95#埋地卧式汽油储罐1台，30m³0#柴油卧式储罐2台，总储存能力为120m³（柴油折半），属二级加油站。加油站生产单元、储存单元均未构成危险化学品重大危险源。</w:t>
            </w:r>
          </w:p>
          <w:p w14:paraId="6E922F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80" w:firstLineChars="200"/>
              <w:jc w:val="both"/>
              <w:textAlignment w:val="auto"/>
              <w:rPr>
                <w:rFonts w:hint="eastAsia" w:ascii="宋体" w:hAnsi="宋体" w:eastAsia="宋体" w:cs="Times New Roman"/>
                <w:snapToGrid/>
                <w:kern w:val="2"/>
                <w:sz w:val="24"/>
                <w:szCs w:val="24"/>
                <w:lang w:val="en-US" w:eastAsia="zh-CN" w:bidi="ar"/>
              </w:rPr>
            </w:pPr>
            <w:r>
              <w:rPr>
                <w:rFonts w:hint="eastAsia" w:ascii="宋体" w:hAnsi="宋体" w:eastAsia="宋体" w:cs="Times New Roman"/>
                <w:snapToGrid/>
                <w:kern w:val="2"/>
                <w:sz w:val="24"/>
                <w:szCs w:val="24"/>
                <w:lang w:val="en-US" w:eastAsia="zh-CN" w:bidi="ar"/>
              </w:rPr>
              <w:t>该加油站的《危险化学品经营许可证》、</w:t>
            </w:r>
            <w:r>
              <w:rPr>
                <w:rFonts w:hint="eastAsia" w:ascii="宋体" w:hAnsi="宋体" w:eastAsia="宋体" w:cs="Times New Roman"/>
                <w:kern w:val="2"/>
                <w:sz w:val="24"/>
                <w:szCs w:val="24"/>
                <w:lang w:val="en-US" w:eastAsia="zh-CN" w:bidi="ar"/>
              </w:rPr>
              <w:t>《成品油零售经营批准证书》、《安全生产标准化三级企业（危化）证书》均仍</w:t>
            </w:r>
            <w:r>
              <w:rPr>
                <w:rFonts w:hint="eastAsia" w:ascii="宋体" w:hAnsi="宋体" w:eastAsia="宋体" w:cs="Times New Roman"/>
                <w:snapToGrid/>
                <w:kern w:val="2"/>
                <w:sz w:val="24"/>
                <w:szCs w:val="24"/>
                <w:lang w:val="en-US" w:eastAsia="zh-CN" w:bidi="ar"/>
              </w:rPr>
              <w:t>在有效期内。</w:t>
            </w:r>
          </w:p>
          <w:p w14:paraId="45549F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80" w:firstLineChars="200"/>
              <w:jc w:val="both"/>
              <w:textAlignment w:val="auto"/>
              <w:rPr>
                <w:rFonts w:hint="eastAsia"/>
                <w:lang w:val="en-US" w:eastAsia="zh-CN"/>
              </w:rPr>
            </w:pPr>
            <w:r>
              <w:rPr>
                <w:rFonts w:hint="eastAsia" w:ascii="宋体" w:hAnsi="宋体" w:eastAsia="宋体" w:cs="Times New Roman"/>
                <w:snapToGrid/>
                <w:kern w:val="2"/>
                <w:sz w:val="24"/>
                <w:szCs w:val="24"/>
                <w:lang w:val="en-US" w:eastAsia="zh-CN" w:bidi="ar"/>
              </w:rPr>
              <w:t>根据《危险化学品经营许可证管理办法》（原国家安全生产监督管理总局第79号令）的要求，危险化学品经营企业变更后，《危险化学品经营许可证》须在20个工作日内申请变更，必须经过安全评价，换发新的危险化学品经营许可证等后方可营业。</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20115CC1">
            <w:pPr>
              <w:keepNext w:val="0"/>
              <w:keepLines w:val="0"/>
              <w:widowControl/>
              <w:suppressLineNumbers w:val="0"/>
              <w:spacing w:before="0" w:beforeAutospacing="0" w:after="150" w:afterAutospacing="0"/>
              <w:ind w:left="0" w:right="0"/>
              <w:jc w:val="center"/>
              <w:rPr>
                <w:rFonts w:hint="default"/>
              </w:rPr>
            </w:pPr>
            <w:r>
              <w:rPr>
                <w:rFonts w:hint="eastAsia"/>
                <w:color w:val="FF0000"/>
                <w:sz w:val="24"/>
              </w:rPr>
              <w:t>工艺流程</w:t>
            </w:r>
          </w:p>
        </w:tc>
        <w:tc>
          <w:tcPr>
            <w:tcW w:w="9014" w:type="dxa"/>
            <w:gridSpan w:val="3"/>
            <w:tcBorders>
              <w:tl2br w:val="nil"/>
              <w:tr2bl w:val="nil"/>
            </w:tcBorders>
            <w:shd w:val="clear" w:color="auto" w:fill="FFFFFF"/>
          </w:tcPr>
          <w:p w14:paraId="5E61E032">
            <w:pPr>
              <w:keepNext w:val="0"/>
              <w:keepLines w:val="0"/>
              <w:pageBreakBefore w:val="0"/>
              <w:widowControl w:val="0"/>
              <w:suppressLineNumbers w:val="0"/>
              <w:tabs>
                <w:tab w:val="left" w:pos="1265"/>
                <w:tab w:val="left" w:pos="1380"/>
              </w:tabs>
              <w:kinsoku/>
              <w:wordWrap/>
              <w:overflowPunct/>
              <w:topLinePunct w:val="0"/>
              <w:autoSpaceDE/>
              <w:autoSpaceDN/>
              <w:bidi w:val="0"/>
              <w:adjustRightInd w:val="0"/>
              <w:snapToGrid w:val="0"/>
              <w:spacing w:before="0" w:beforeAutospacing="0" w:after="0" w:afterAutospacing="0" w:line="400" w:lineRule="exact"/>
              <w:ind w:left="0" w:right="0" w:firstLine="480" w:firstLineChars="200"/>
              <w:jc w:val="both"/>
              <w:rPr>
                <w:rFonts w:hint="default" w:cs="宋体"/>
                <w:kern w:val="0"/>
                <w:sz w:val="24"/>
                <w:szCs w:val="24"/>
                <w:lang w:val="en-US"/>
              </w:rPr>
            </w:pPr>
            <w:r>
              <w:rPr>
                <w:rFonts w:hint="eastAsia" w:ascii="宋体" w:hAnsi="宋体" w:eastAsia="宋体" w:cs="宋体"/>
                <w:snapToGrid w:val="0"/>
                <w:kern w:val="0"/>
                <w:sz w:val="24"/>
                <w:szCs w:val="24"/>
                <w:lang w:val="en-US" w:eastAsia="zh-CN" w:bidi="ar"/>
              </w:rPr>
              <w:t>加油站经营汽油、柴油及尿素溶液（</w:t>
            </w:r>
            <w:r>
              <w:rPr>
                <w:rFonts w:hint="eastAsia" w:ascii="宋体" w:hAnsi="宋体" w:eastAsia="宋体" w:cs="宋体"/>
                <w:snapToGrid/>
                <w:kern w:val="2"/>
                <w:sz w:val="24"/>
                <w:szCs w:val="24"/>
                <w:lang w:val="en-US" w:eastAsia="zh-CN" w:bidi="ar"/>
              </w:rPr>
              <w:t>柴油尾气净化液）。</w:t>
            </w:r>
            <w:r>
              <w:rPr>
                <w:rFonts w:hint="eastAsia" w:ascii="宋体" w:hAnsi="宋体" w:eastAsia="宋体" w:cs="宋体"/>
                <w:snapToGrid w:val="0"/>
                <w:kern w:val="0"/>
                <w:sz w:val="24"/>
                <w:szCs w:val="24"/>
                <w:lang w:val="en-US" w:eastAsia="zh-CN" w:bidi="ar"/>
              </w:rPr>
              <w:t>其中尿素溶液由加油站直接购置桷装尿素后直接倒入尿素加注机；汽油、柴油来料运输由专业柴油、汽油运输单位及车辆负责到站，加油站不负责化学品（柴油、汽油）的道路运输。</w:t>
            </w:r>
          </w:p>
          <w:p w14:paraId="7CC0F9DE">
            <w:pPr>
              <w:keepNext w:val="0"/>
              <w:keepLines w:val="0"/>
              <w:pageBreakBefore w:val="0"/>
              <w:widowControl w:val="0"/>
              <w:suppressLineNumbers w:val="0"/>
              <w:tabs>
                <w:tab w:val="left" w:pos="1265"/>
                <w:tab w:val="left" w:pos="1380"/>
              </w:tabs>
              <w:kinsoku/>
              <w:wordWrap/>
              <w:overflowPunct/>
              <w:topLinePunct w:val="0"/>
              <w:autoSpaceDE/>
              <w:autoSpaceDN/>
              <w:bidi w:val="0"/>
              <w:adjustRightInd w:val="0"/>
              <w:snapToGrid w:val="0"/>
              <w:spacing w:before="0" w:beforeAutospacing="0" w:after="0" w:afterAutospacing="0" w:line="400" w:lineRule="exact"/>
              <w:ind w:left="0" w:right="0"/>
              <w:jc w:val="both"/>
              <w:rPr>
                <w:rFonts w:hint="default" w:cs="宋体"/>
                <w:kern w:val="0"/>
                <w:sz w:val="24"/>
                <w:szCs w:val="24"/>
                <w:lang w:val="en-US"/>
              </w:rPr>
            </w:pPr>
            <w:r>
              <w:rPr>
                <w:rFonts w:hint="eastAsia" w:ascii="宋体" w:hAnsi="宋体" w:eastAsia="宋体" w:cs="宋体"/>
                <w:snapToGrid w:val="0"/>
                <w:kern w:val="0"/>
                <w:sz w:val="24"/>
                <w:szCs w:val="24"/>
                <w:lang w:val="en-US" w:eastAsia="zh-CN" w:bidi="ar"/>
              </w:rPr>
              <w:t>汽油、柴油经营工艺流程：</w:t>
            </w:r>
          </w:p>
          <w:p w14:paraId="4C1EE182">
            <w:pPr>
              <w:keepNext w:val="0"/>
              <w:keepLines w:val="0"/>
              <w:pageBreakBefore w:val="0"/>
              <w:widowControl w:val="0"/>
              <w:suppressLineNumbers w:val="0"/>
              <w:tabs>
                <w:tab w:val="left" w:pos="1265"/>
                <w:tab w:val="left" w:pos="1380"/>
              </w:tabs>
              <w:kinsoku/>
              <w:wordWrap/>
              <w:overflowPunct/>
              <w:topLinePunct w:val="0"/>
              <w:autoSpaceDE/>
              <w:autoSpaceDN/>
              <w:bidi w:val="0"/>
              <w:adjustRightInd w:val="0"/>
              <w:snapToGrid w:val="0"/>
              <w:spacing w:before="0" w:beforeAutospacing="0" w:after="0" w:afterAutospacing="0" w:line="400" w:lineRule="exact"/>
              <w:ind w:left="0" w:right="0"/>
              <w:jc w:val="both"/>
              <w:rPr>
                <w:rFonts w:hint="default"/>
                <w:sz w:val="24"/>
                <w:szCs w:val="24"/>
                <w:lang w:val="en-US"/>
              </w:rPr>
            </w:pPr>
            <w:r>
              <w:rPr>
                <w:rFonts w:hint="eastAsia" w:ascii="宋体" w:hAnsi="宋体" w:eastAsia="宋体" w:cs="宋体"/>
                <w:snapToGrid w:val="0"/>
                <w:kern w:val="0"/>
                <w:sz w:val="24"/>
                <w:szCs w:val="24"/>
                <w:lang w:val="en-US" w:eastAsia="zh-CN" w:bidi="ar"/>
              </w:rPr>
              <w:t>1、卸油工艺流程：</w:t>
            </w:r>
            <w:r>
              <w:rPr>
                <w:rFonts w:hint="eastAsia" w:ascii="宋体" w:hAnsi="宋体" w:eastAsia="宋体" w:cs="Times New Roman"/>
                <w:snapToGrid/>
                <w:kern w:val="2"/>
                <w:sz w:val="24"/>
                <w:szCs w:val="24"/>
                <w:lang w:val="en-US" w:eastAsia="zh-CN" w:bidi="ar"/>
              </w:rPr>
              <w:t>采用密闭自流卸油方式。先检查静电接地装置是否完好，当油罐车拉到加油站后，在卸油口附近停稳熄火，先用加油站的静电接地导线与油罐车的静电导出接点跨接在一起，静置15分钟后导除静电。然后用快速接头将油罐车的卸油软管与储油罐的快速密闭卸油口连接在一起，开始卸油。油品卸完后，先关闭油罐车的阀门，再拆除连通软管及静电接地装置。检查没有溢油、漏油后，人工封闭好卸油口，静置5分钟以后发动油品罐车缓慢离开油罐区。卸油中注意观察管线、阀门等相关设备的运行情况。卸油结束时，检查并确认没有溢油、漏油后，关好阀门，断开卸油快速接头，盖好口盖，清理现场。卸油过程采用卸油油气回收系统。</w:t>
            </w:r>
          </w:p>
          <w:p w14:paraId="0240F373">
            <w:pPr>
              <w:keepNext w:val="0"/>
              <w:keepLines w:val="0"/>
              <w:pageBreakBefore w:val="0"/>
              <w:widowControl w:val="0"/>
              <w:suppressLineNumbers w:val="0"/>
              <w:suppressAutoHyphens/>
              <w:kinsoku/>
              <w:wordWrap/>
              <w:overflowPunct/>
              <w:topLinePunct w:val="0"/>
              <w:autoSpaceDE/>
              <w:autoSpaceDN/>
              <w:bidi w:val="0"/>
              <w:adjustRightInd w:val="0"/>
              <w:snapToGrid w:val="0"/>
              <w:spacing w:before="100" w:beforeAutospacing="0" w:after="100" w:afterAutospacing="0" w:line="400" w:lineRule="exact"/>
              <w:ind w:left="0" w:right="0"/>
              <w:jc w:val="both"/>
              <w:textAlignment w:val="center"/>
              <w:rPr>
                <w:rFonts w:hint="eastAsia"/>
                <w:b/>
                <w:bCs/>
                <w:szCs w:val="28"/>
                <w:lang w:val="en-US" w:eastAsia="zh-CN"/>
              </w:rPr>
            </w:pPr>
            <w:r>
              <w:rPr>
                <w:rFonts w:hint="eastAsia" w:ascii="宋体" w:hAnsi="宋体" w:eastAsia="宋体" w:cs="宋体"/>
                <w:snapToGrid w:val="0"/>
                <w:kern w:val="0"/>
                <w:sz w:val="24"/>
                <w:szCs w:val="24"/>
                <w:lang w:val="en-US" w:eastAsia="zh-CN" w:bidi="ar"/>
              </w:rPr>
              <w:t>2、加油工艺流程：采用潜油泵提供的动力，油品通过加油管道至加油机，油品通过加油管道至加油机，进入受油容器。同时，加汽油作业时，设有油气回收系统，汽油蒸汽通过油气回收管道回至汽油罐。</w:t>
            </w: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keepNext w:val="0"/>
              <w:keepLines w:val="0"/>
              <w:widowControl/>
              <w:suppressLineNumbers w:val="0"/>
              <w:spacing w:before="0" w:beforeAutospacing="0" w:after="150" w:afterAutospacing="0"/>
              <w:ind w:left="0" w:right="0"/>
              <w:jc w:val="center"/>
              <w:rPr>
                <w:rFonts w:hint="default"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3"/>
            <w:tcBorders>
              <w:tl2br w:val="nil"/>
              <w:tr2bl w:val="nil"/>
            </w:tcBorders>
            <w:shd w:val="clear" w:color="auto" w:fill="FFFFFF"/>
            <w:vAlign w:val="center"/>
          </w:tcPr>
          <w:p w14:paraId="7EFBC9DB">
            <w:pPr>
              <w:keepNext w:val="0"/>
              <w:keepLines w:val="0"/>
              <w:widowControl/>
              <w:suppressLineNumbers w:val="0"/>
              <w:spacing w:before="0" w:beforeAutospacing="0" w:after="150" w:afterAutospacing="0"/>
              <w:ind w:left="0" w:right="0"/>
              <w:jc w:val="center"/>
              <w:rPr>
                <w:rFonts w:hint="default"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3063B77D">
      <w:pPr>
        <w:rPr>
          <w:rFonts w:hint="eastAsia"/>
          <w:lang w:eastAsia="zh-CN"/>
        </w:rPr>
      </w:pPr>
      <w:r>
        <w:rPr>
          <w:rFonts w:hint="eastAsia"/>
          <w:lang w:eastAsia="zh-CN"/>
        </w:rPr>
        <w:br w:type="page"/>
      </w:r>
    </w:p>
    <w:p w14:paraId="07A593AD">
      <w:pPr>
        <w:rPr>
          <w:rFonts w:hint="eastAsia"/>
          <w:lang w:eastAsia="zh-CN"/>
        </w:rPr>
      </w:pPr>
      <w:r>
        <w:rPr>
          <w:rFonts w:hint="eastAsia"/>
          <w:lang w:eastAsia="zh-CN"/>
        </w:rPr>
        <w:br w:type="page"/>
      </w:r>
      <w:r>
        <w:drawing>
          <wp:anchor distT="0" distB="0" distL="114300" distR="114300" simplePos="0" relativeHeight="251660288" behindDoc="0" locked="0" layoutInCell="1" allowOverlap="1">
            <wp:simplePos x="0" y="0"/>
            <wp:positionH relativeFrom="column">
              <wp:posOffset>0</wp:posOffset>
            </wp:positionH>
            <wp:positionV relativeFrom="paragraph">
              <wp:posOffset>30480</wp:posOffset>
            </wp:positionV>
            <wp:extent cx="5259070" cy="7450455"/>
            <wp:effectExtent l="0" t="0" r="17780" b="1714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5259070" cy="7450455"/>
                    </a:xfrm>
                    <a:prstGeom prst="rect">
                      <a:avLst/>
                    </a:prstGeom>
                    <a:noFill/>
                    <a:ln>
                      <a:noFill/>
                    </a:ln>
                  </pic:spPr>
                </pic:pic>
              </a:graphicData>
            </a:graphic>
          </wp:anchor>
        </w:drawing>
      </w:r>
    </w:p>
    <w:p w14:paraId="75EAA8F0">
      <w:r>
        <w:drawing>
          <wp:inline distT="0" distB="0" distL="114300" distR="114300">
            <wp:extent cx="5259070" cy="7450455"/>
            <wp:effectExtent l="0" t="0" r="1778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259070" cy="7450455"/>
                    </a:xfrm>
                    <a:prstGeom prst="rect">
                      <a:avLst/>
                    </a:prstGeom>
                    <a:noFill/>
                    <a:ln>
                      <a:noFill/>
                    </a:ln>
                  </pic:spPr>
                </pic:pic>
              </a:graphicData>
            </a:graphic>
          </wp:inline>
        </w:drawing>
      </w:r>
    </w:p>
    <w:p w14:paraId="4E66F2B9">
      <w:r>
        <w:br w:type="page"/>
      </w:r>
    </w:p>
    <w:p w14:paraId="2D3C4201">
      <w:pPr>
        <w:rPr>
          <w:rFonts w:hint="eastAsia"/>
          <w:lang w:eastAsia="zh-CN"/>
        </w:rPr>
      </w:pPr>
      <w:r>
        <w:rPr>
          <w:rFonts w:hint="eastAsia"/>
          <w:lang w:eastAsia="zh-CN"/>
        </w:rPr>
        <w:drawing>
          <wp:inline distT="0" distB="0" distL="114300" distR="114300">
            <wp:extent cx="5264785" cy="3947160"/>
            <wp:effectExtent l="0" t="0" r="12065" b="15240"/>
            <wp:docPr id="8" name="图片 8" descr="c2fda0ff231df739cfcd06dbca0a0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2fda0ff231df739cfcd06dbca0a0d28"/>
                    <pic:cNvPicPr>
                      <a:picLocks noChangeAspect="1"/>
                    </pic:cNvPicPr>
                  </pic:nvPicPr>
                  <pic:blipFill>
                    <a:blip r:embed="rId6"/>
                    <a:stretch>
                      <a:fillRect/>
                    </a:stretch>
                  </pic:blipFill>
                  <pic:spPr>
                    <a:xfrm>
                      <a:off x="0" y="0"/>
                      <a:ext cx="5264785" cy="3947160"/>
                    </a:xfrm>
                    <a:prstGeom prst="rect">
                      <a:avLst/>
                    </a:prstGeom>
                  </pic:spPr>
                </pic:pic>
              </a:graphicData>
            </a:graphic>
          </wp:inline>
        </w:drawing>
      </w:r>
      <w:r>
        <w:rPr>
          <w:rFonts w:hint="eastAsia"/>
          <w:lang w:eastAsia="zh-CN"/>
        </w:rPr>
        <w:drawing>
          <wp:inline distT="0" distB="0" distL="114300" distR="114300">
            <wp:extent cx="5264785" cy="3947160"/>
            <wp:effectExtent l="0" t="0" r="12065" b="15240"/>
            <wp:docPr id="7" name="图片 7" descr="2d19e26915faac7220f706fa267cf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d19e26915faac7220f706fa267cf146"/>
                    <pic:cNvPicPr>
                      <a:picLocks noChangeAspect="1"/>
                    </pic:cNvPicPr>
                  </pic:nvPicPr>
                  <pic:blipFill>
                    <a:blip r:embed="rId7"/>
                    <a:stretch>
                      <a:fillRect/>
                    </a:stretch>
                  </pic:blipFill>
                  <pic:spPr>
                    <a:xfrm>
                      <a:off x="0" y="0"/>
                      <a:ext cx="5264785" cy="3947160"/>
                    </a:xfrm>
                    <a:prstGeom prst="rect">
                      <a:avLst/>
                    </a:prstGeom>
                  </pic:spPr>
                </pic:pic>
              </a:graphicData>
            </a:graphic>
          </wp:inline>
        </w:drawing>
      </w:r>
      <w:r>
        <w:rPr>
          <w:rFonts w:hint="eastAsia"/>
          <w:lang w:eastAsia="zh-CN"/>
        </w:rPr>
        <w:br w:type="page"/>
      </w:r>
    </w:p>
    <w:p w14:paraId="682F5772">
      <w:pPr>
        <w:rPr>
          <w:rFonts w:hint="eastAsia"/>
          <w:lang w:eastAsia="zh-CN"/>
        </w:rPr>
      </w:pPr>
      <w:r>
        <w:drawing>
          <wp:anchor distT="0" distB="0" distL="114300" distR="114300" simplePos="0" relativeHeight="251659264" behindDoc="0" locked="0" layoutInCell="1" allowOverlap="1">
            <wp:simplePos x="0" y="0"/>
            <wp:positionH relativeFrom="column">
              <wp:posOffset>-149225</wp:posOffset>
            </wp:positionH>
            <wp:positionV relativeFrom="paragraph">
              <wp:posOffset>144780</wp:posOffset>
            </wp:positionV>
            <wp:extent cx="5774055" cy="7686040"/>
            <wp:effectExtent l="0" t="0" r="17145" b="1016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2775"/>
                    <a:stretch>
                      <a:fillRect/>
                    </a:stretch>
                  </pic:blipFill>
                  <pic:spPr>
                    <a:xfrm>
                      <a:off x="0" y="0"/>
                      <a:ext cx="5774055" cy="7686040"/>
                    </a:xfrm>
                    <a:prstGeom prst="rect">
                      <a:avLst/>
                    </a:prstGeom>
                    <a:noFill/>
                    <a:ln>
                      <a:noFill/>
                    </a:ln>
                  </pic:spPr>
                </pic:pic>
              </a:graphicData>
            </a:graphic>
          </wp:anchor>
        </w:drawing>
      </w:r>
      <w:r>
        <w:rPr>
          <w:rFonts w:hint="eastAsia"/>
          <w:lang w:eastAsia="zh-CN"/>
        </w:rPr>
        <w:br w:type="page"/>
      </w:r>
    </w:p>
    <w:p w14:paraId="2FAF5AC4">
      <w:pPr>
        <w:rPr>
          <w:rFonts w:hint="eastAsia"/>
          <w:lang w:eastAsia="zh-CN"/>
        </w:rPr>
      </w:pPr>
      <w:r>
        <w:drawing>
          <wp:inline distT="0" distB="0" distL="114300" distR="114300">
            <wp:extent cx="5259070" cy="7450455"/>
            <wp:effectExtent l="0" t="0" r="1778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59070" cy="7450455"/>
                    </a:xfrm>
                    <a:prstGeom prst="rect">
                      <a:avLst/>
                    </a:prstGeom>
                    <a:noFill/>
                    <a:ln>
                      <a:noFill/>
                    </a:ln>
                  </pic:spPr>
                </pic:pic>
              </a:graphicData>
            </a:graphic>
          </wp:inline>
        </w:drawing>
      </w:r>
      <w:r>
        <w:rPr>
          <w:rFonts w:hint="eastAsia"/>
          <w:lang w:eastAsia="zh-CN"/>
        </w:rPr>
        <w:br w:type="page"/>
      </w:r>
    </w:p>
    <w:p w14:paraId="701EF3E6">
      <w:pPr>
        <w:rPr>
          <w:rFonts w:hint="eastAsia"/>
          <w:lang w:eastAsia="zh-CN"/>
        </w:rPr>
      </w:pPr>
      <w:r>
        <w:drawing>
          <wp:inline distT="0" distB="0" distL="114300" distR="114300">
            <wp:extent cx="5259070" cy="7450455"/>
            <wp:effectExtent l="0" t="0" r="1778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59070" cy="7450455"/>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00000287" w:usb1="00000000" w:usb2="00000000" w:usb3="00000000" w:csb0="4000009F" w:csb1="DFD7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7E7A8F"/>
    <w:rsid w:val="059D6561"/>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9E0FD6"/>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25474"/>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5583A15"/>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2A00721"/>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4122A6"/>
    <w:rsid w:val="5374510A"/>
    <w:rsid w:val="53F5005F"/>
    <w:rsid w:val="54BA1C16"/>
    <w:rsid w:val="561327C0"/>
    <w:rsid w:val="563D2137"/>
    <w:rsid w:val="56836AB2"/>
    <w:rsid w:val="56BC2DE3"/>
    <w:rsid w:val="56D42C4D"/>
    <w:rsid w:val="57301D47"/>
    <w:rsid w:val="57487036"/>
    <w:rsid w:val="575D6537"/>
    <w:rsid w:val="577B3C9E"/>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946B09"/>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autoRedefine/>
    <w:qFormat/>
    <w:uiPriority w:val="99"/>
    <w:rPr>
      <w:sz w:val="28"/>
      <w:szCs w:val="28"/>
    </w:rPr>
  </w:style>
  <w:style w:type="paragraph" w:styleId="7">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annotation text"/>
    <w:basedOn w:val="1"/>
    <w:qFormat/>
    <w:uiPriority w:val="0"/>
    <w:pPr>
      <w:jc w:val="left"/>
    </w:pPr>
  </w:style>
  <w:style w:type="paragraph" w:styleId="9">
    <w:name w:val="Body Text Indent"/>
    <w:basedOn w:val="1"/>
    <w:next w:val="2"/>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0"/>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6"/>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2"/>
    <w:autoRedefine/>
    <w:qFormat/>
    <w:uiPriority w:val="0"/>
    <w:pPr>
      <w:spacing w:after="120"/>
      <w:ind w:firstLine="420" w:firstLineChars="100"/>
    </w:pPr>
  </w:style>
  <w:style w:type="paragraph" w:styleId="22">
    <w:name w:val="Body Text First Indent 2"/>
    <w:basedOn w:val="2"/>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1"/>
    <w:basedOn w:val="27"/>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7">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basedOn w:val="30"/>
    <w:next w:val="22"/>
    <w:autoRedefine/>
    <w:qFormat/>
    <w:uiPriority w:val="0"/>
    <w:pPr>
      <w:autoSpaceDE w:val="0"/>
      <w:autoSpaceDN w:val="0"/>
    </w:pPr>
    <w:rPr>
      <w:rFonts w:hint="eastAsia" w:ascii="宋体"/>
      <w:sz w:val="24"/>
    </w:rPr>
  </w:style>
  <w:style w:type="paragraph" w:customStyle="1" w:styleId="3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
    <w:name w:val="正文2"/>
    <w:basedOn w:val="1"/>
    <w:autoRedefine/>
    <w:qFormat/>
    <w:uiPriority w:val="0"/>
    <w:pPr>
      <w:spacing w:line="440" w:lineRule="atLeast"/>
      <w:ind w:firstLine="567"/>
    </w:pPr>
    <w:rPr>
      <w:sz w:val="24"/>
      <w:szCs w:val="20"/>
    </w:rPr>
  </w:style>
  <w:style w:type="paragraph" w:customStyle="1" w:styleId="32">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4"/>
    <w:autoRedefine/>
    <w:qFormat/>
    <w:uiPriority w:val="0"/>
    <w:pPr>
      <w:spacing w:beforeLines="0" w:afterLines="0"/>
    </w:pPr>
    <w:rPr>
      <w:rFonts w:ascii="Arial" w:hAnsi="Arial" w:eastAsia="宋体" w:cs="宋体"/>
      <w:snapToGrid/>
      <w:kern w:val="2"/>
      <w:szCs w:val="32"/>
      <w:lang w:val="zh-CN"/>
    </w:rPr>
  </w:style>
  <w:style w:type="paragraph" w:customStyle="1" w:styleId="35">
    <w:name w:val="p0"/>
    <w:basedOn w:val="1"/>
    <w:autoRedefine/>
    <w:qFormat/>
    <w:uiPriority w:val="0"/>
    <w:pPr>
      <w:widowControl/>
    </w:pPr>
    <w:rPr>
      <w:kern w:val="0"/>
      <w:szCs w:val="21"/>
    </w:rPr>
  </w:style>
  <w:style w:type="character" w:customStyle="1" w:styleId="36">
    <w:name w:val="批注框文本 字符"/>
    <w:basedOn w:val="24"/>
    <w:link w:val="14"/>
    <w:autoRedefine/>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4"/>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4"/>
    <w:link w:val="12"/>
    <w:autoRedefine/>
    <w:qFormat/>
    <w:uiPriority w:val="0"/>
    <w:rPr>
      <w:b/>
      <w:bCs/>
      <w:kern w:val="2"/>
      <w:sz w:val="28"/>
      <w:szCs w:val="24"/>
    </w:rPr>
  </w:style>
  <w:style w:type="paragraph" w:customStyle="1" w:styleId="51">
    <w:name w:val="AAA"/>
    <w:basedOn w:val="1"/>
    <w:qFormat/>
    <w:uiPriority w:val="0"/>
    <w:pPr>
      <w:ind w:firstLine="200" w:firstLineChars="200"/>
      <w:contextualSpacing/>
    </w:pPr>
    <w:rPr>
      <w:color w:val="000000"/>
      <w:szCs w:val="24"/>
    </w:rPr>
  </w:style>
  <w:style w:type="paragraph" w:customStyle="1" w:styleId="52">
    <w:name w:val="BBB"/>
    <w:qFormat/>
    <w:uiPriority w:val="99"/>
    <w:pPr>
      <w:spacing w:after="160" w:line="278" w:lineRule="auto"/>
      <w:jc w:val="center"/>
    </w:pPr>
    <w:rPr>
      <w:rFonts w:ascii="宋体" w:hAnsi="宋体" w:eastAsia="宋体" w:cs="Times New Roman"/>
      <w:bCs/>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1184</Words>
  <Characters>1381</Characters>
  <Lines>8</Lines>
  <Paragraphs>2</Paragraphs>
  <TotalTime>3</TotalTime>
  <ScaleCrop>false</ScaleCrop>
  <LinksUpToDate>false</LinksUpToDate>
  <CharactersWithSpaces>1385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IP</cp:lastModifiedBy>
  <dcterms:modified xsi:type="dcterms:W3CDTF">2026-04-07T08:35:55Z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4F4E17BA751C45AD9EF783F5B5DA475A_13</vt:lpwstr>
  </property>
  <property fmtid="{D5CDD505-2E9C-101B-9397-08002B2CF9AE}" pid="4" name="KSOTemplateDocerSaveRecord">
    <vt:lpwstr>eyJoZGlkIjoiYzJmYThmZTViOGE1ZWVkN2ZmYjcyMzk1NTlmNjQ2YjIiLCJ1c2VySWQiOiI0OTA1OTA4NjAifQ==</vt:lpwstr>
  </property>
</Properties>
</file>