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A34740">
      <w:pPr>
        <w:jc w:val="center"/>
        <w:rPr>
          <w:rFonts w:ascii="Times New Roman" w:hAnsi="Times New Roman"/>
          <w:sz w:val="28"/>
          <w:szCs w:val="28"/>
        </w:rPr>
      </w:pPr>
      <w:bookmarkStart w:id="0" w:name="_GoBack"/>
      <w:bookmarkEnd w:id="0"/>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606"/>
        <w:gridCol w:w="817"/>
        <w:gridCol w:w="1015"/>
        <w:gridCol w:w="4674"/>
        <w:gridCol w:w="2508"/>
      </w:tblGrid>
      <w:tr w14:paraId="76507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tcBorders>
              <w:tl2br w:val="nil"/>
              <w:tr2bl w:val="nil"/>
            </w:tcBorders>
            <w:shd w:val="clear" w:color="auto" w:fill="FFFFFF"/>
            <w:vAlign w:val="center"/>
          </w:tcPr>
          <w:p w14:paraId="182FB0BF">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9014" w:type="dxa"/>
            <w:gridSpan w:val="4"/>
            <w:tcBorders>
              <w:tl2br w:val="nil"/>
              <w:tr2bl w:val="nil"/>
            </w:tcBorders>
            <w:shd w:val="clear" w:color="auto" w:fill="FFFFFF"/>
            <w:vAlign w:val="center"/>
          </w:tcPr>
          <w:p w14:paraId="61A650FF">
            <w:pPr>
              <w:widowControl/>
              <w:spacing w:after="150"/>
              <w:jc w:val="center"/>
              <w:rPr>
                <w:rFonts w:ascii="宋体" w:hAnsi="宋体" w:cs="宋体"/>
                <w:sz w:val="24"/>
              </w:rPr>
            </w:pPr>
            <w:r>
              <w:rPr>
                <w:rFonts w:hint="eastAsia" w:ascii="宋体" w:hAnsi="宋体" w:eastAsia="宋体" w:cs="宋体"/>
                <w:kern w:val="0"/>
                <w:sz w:val="24"/>
                <w:shd w:val="clear" w:color="auto" w:fill="FFFFFF"/>
                <w:lang w:eastAsia="zh-CN"/>
              </w:rPr>
              <w:t>江西省凯鑫化工科技有限公司年产5万吨115酸和5万吨优等品硫酸提质增效技改项目(优等酸部分)安全验收评价报告</w:t>
            </w:r>
          </w:p>
        </w:tc>
      </w:tr>
      <w:tr w14:paraId="5426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tcBorders>
              <w:tl2br w:val="nil"/>
              <w:tr2bl w:val="nil"/>
            </w:tcBorders>
            <w:shd w:val="clear" w:color="auto" w:fill="FFFFFF"/>
            <w:vAlign w:val="center"/>
          </w:tcPr>
          <w:p w14:paraId="232A0674">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9014" w:type="dxa"/>
            <w:gridSpan w:val="4"/>
            <w:tcBorders>
              <w:tl2br w:val="nil"/>
              <w:tr2bl w:val="nil"/>
            </w:tcBorders>
            <w:shd w:val="clear" w:color="auto" w:fill="FFFFFF"/>
            <w:vAlign w:val="center"/>
          </w:tcPr>
          <w:p w14:paraId="0D6A2948">
            <w:pPr>
              <w:widowControl/>
              <w:spacing w:after="150"/>
              <w:jc w:val="center"/>
              <w:rPr>
                <w:rFonts w:hint="default" w:ascii="宋体" w:hAnsi="宋体" w:eastAsia="宋体" w:cs="宋体"/>
                <w:sz w:val="24"/>
                <w:lang w:val="en-US" w:eastAsia="zh-CN"/>
              </w:rPr>
            </w:pPr>
            <w:r>
              <w:rPr>
                <w:rFonts w:hint="eastAsia" w:ascii="宋体" w:hAnsi="宋体" w:cs="宋体"/>
                <w:sz w:val="24"/>
              </w:rPr>
              <w:t>202</w:t>
            </w:r>
            <w:r>
              <w:rPr>
                <w:rFonts w:hint="eastAsia" w:ascii="宋体" w:hAnsi="宋体" w:cs="宋体"/>
                <w:sz w:val="24"/>
                <w:lang w:val="en-US" w:eastAsia="zh-CN"/>
              </w:rPr>
              <w:t>6</w:t>
            </w:r>
            <w:r>
              <w:rPr>
                <w:rFonts w:hint="eastAsia" w:ascii="宋体" w:hAnsi="宋体" w:cs="宋体"/>
                <w:sz w:val="24"/>
              </w:rPr>
              <w:t>年</w:t>
            </w:r>
            <w:r>
              <w:rPr>
                <w:rFonts w:hint="eastAsia" w:ascii="宋体" w:hAnsi="宋体" w:cs="宋体"/>
                <w:sz w:val="24"/>
                <w:lang w:val="en-US" w:eastAsia="zh-CN"/>
              </w:rPr>
              <w:t>2</w:t>
            </w:r>
            <w:r>
              <w:rPr>
                <w:rFonts w:hint="eastAsia" w:ascii="宋体" w:hAnsi="宋体" w:cs="宋体"/>
                <w:sz w:val="24"/>
              </w:rPr>
              <w:t>月</w:t>
            </w:r>
          </w:p>
        </w:tc>
      </w:tr>
      <w:tr w14:paraId="2AD8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620" w:type="dxa"/>
            <w:gridSpan w:val="5"/>
            <w:tcBorders>
              <w:tl2br w:val="nil"/>
              <w:tr2bl w:val="nil"/>
            </w:tcBorders>
            <w:shd w:val="clear" w:color="auto" w:fill="FFFFFF"/>
            <w:vAlign w:val="center"/>
          </w:tcPr>
          <w:p w14:paraId="3EE647F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316E0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tcBorders>
              <w:tl2br w:val="nil"/>
              <w:tr2bl w:val="nil"/>
            </w:tcBorders>
            <w:shd w:val="clear" w:color="auto" w:fill="FFFFFF"/>
            <w:vAlign w:val="center"/>
          </w:tcPr>
          <w:p w14:paraId="10B93473">
            <w:pPr>
              <w:jc w:val="center"/>
              <w:rPr>
                <w:rFonts w:ascii="宋体" w:hAnsi="宋体" w:cs="宋体"/>
                <w:sz w:val="24"/>
              </w:rPr>
            </w:pPr>
          </w:p>
        </w:tc>
        <w:tc>
          <w:tcPr>
            <w:tcW w:w="817" w:type="dxa"/>
            <w:tcBorders>
              <w:tl2br w:val="nil"/>
              <w:tr2bl w:val="nil"/>
            </w:tcBorders>
            <w:shd w:val="clear" w:color="auto" w:fill="FFFFFF"/>
            <w:vAlign w:val="center"/>
          </w:tcPr>
          <w:p w14:paraId="476FDDF2">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5689" w:type="dxa"/>
            <w:gridSpan w:val="2"/>
            <w:tcBorders>
              <w:tl2br w:val="nil"/>
              <w:tr2bl w:val="nil"/>
            </w:tcBorders>
            <w:shd w:val="clear" w:color="auto" w:fill="FFFFFF"/>
            <w:vAlign w:val="center"/>
          </w:tcPr>
          <w:p w14:paraId="41DE2DD7">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508" w:type="dxa"/>
            <w:tcBorders>
              <w:tl2br w:val="nil"/>
              <w:tr2bl w:val="nil"/>
            </w:tcBorders>
            <w:shd w:val="clear" w:color="auto" w:fill="FFFFFF"/>
            <w:vAlign w:val="center"/>
          </w:tcPr>
          <w:p w14:paraId="48A34EEA">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29A83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606" w:type="dxa"/>
            <w:tcBorders>
              <w:tl2br w:val="nil"/>
              <w:tr2bl w:val="nil"/>
            </w:tcBorders>
            <w:shd w:val="clear" w:color="auto" w:fill="FFFFFF"/>
            <w:vAlign w:val="center"/>
          </w:tcPr>
          <w:p w14:paraId="1FB23008">
            <w:pPr>
              <w:jc w:val="center"/>
              <w:rPr>
                <w:rFonts w:ascii="宋体" w:hAnsi="宋体" w:cs="宋体"/>
                <w:sz w:val="24"/>
              </w:rPr>
            </w:pPr>
            <w:r>
              <w:rPr>
                <w:rFonts w:hint="eastAsia" w:ascii="宋体" w:hAnsi="宋体" w:cs="宋体"/>
                <w:sz w:val="24"/>
              </w:rPr>
              <w:t>项目负责人</w:t>
            </w:r>
          </w:p>
        </w:tc>
        <w:tc>
          <w:tcPr>
            <w:tcW w:w="817" w:type="dxa"/>
            <w:tcBorders>
              <w:tl2br w:val="nil"/>
              <w:tr2bl w:val="nil"/>
            </w:tcBorders>
            <w:shd w:val="clear" w:color="auto" w:fill="auto"/>
            <w:vAlign w:val="center"/>
          </w:tcPr>
          <w:p w14:paraId="56565DEB">
            <w:pPr>
              <w:spacing w:before="156" w:beforeLines="50" w:after="156" w:afterLines="50" w:line="400" w:lineRule="exact"/>
              <w:ind w:firstLine="0" w:firstLineChars="0"/>
              <w:jc w:val="center"/>
              <w:rPr>
                <w:rFonts w:hint="default" w:ascii="Calibri" w:hAnsi="Calibri" w:eastAsia="宋体" w:cs="Times New Roman"/>
                <w:kern w:val="2"/>
                <w:sz w:val="24"/>
                <w:szCs w:val="24"/>
                <w:lang w:val="en-US" w:eastAsia="zh-CN" w:bidi="ar-SA"/>
              </w:rPr>
            </w:pPr>
            <w:r>
              <w:rPr>
                <w:rFonts w:hint="eastAsia" w:ascii="Calibri" w:hAnsi="Calibri" w:eastAsia="宋体" w:cs="Times New Roman"/>
                <w:sz w:val="24"/>
                <w:szCs w:val="24"/>
                <w:lang w:val="en-US" w:eastAsia="zh-CN"/>
              </w:rPr>
              <w:t>蓝家财</w:t>
            </w:r>
          </w:p>
        </w:tc>
        <w:tc>
          <w:tcPr>
            <w:tcW w:w="5689" w:type="dxa"/>
            <w:gridSpan w:val="2"/>
            <w:tcBorders>
              <w:tl2br w:val="nil"/>
              <w:tr2bl w:val="nil"/>
            </w:tcBorders>
            <w:shd w:val="clear" w:color="auto" w:fill="FFFFFF"/>
            <w:vAlign w:val="center"/>
          </w:tcPr>
          <w:p w14:paraId="74203271">
            <w:pPr>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default" w:ascii="宋体" w:hAnsi="宋体" w:eastAsia="宋体" w:cs="宋体"/>
                <w:color w:val="auto"/>
                <w:spacing w:val="0"/>
                <w:w w:val="100"/>
                <w:kern w:val="2"/>
                <w:position w:val="0"/>
                <w:sz w:val="24"/>
                <w:szCs w:val="24"/>
                <w:u w:val="none"/>
                <w:shd w:val="clear" w:color="auto" w:fill="auto"/>
                <w:lang w:val="en-US" w:eastAsia="zh-CN" w:bidi="zh-TW"/>
              </w:rPr>
            </w:pPr>
            <w:r>
              <w:rPr>
                <w:rFonts w:hint="default" w:ascii="宋体" w:hAnsi="宋体" w:eastAsia="宋体" w:cs="宋体"/>
                <w:color w:val="auto"/>
                <w:spacing w:val="0"/>
                <w:w w:val="100"/>
                <w:kern w:val="2"/>
                <w:position w:val="0"/>
                <w:sz w:val="24"/>
                <w:szCs w:val="24"/>
                <w:u w:val="none"/>
                <w:shd w:val="clear" w:color="auto" w:fill="auto"/>
                <w:lang w:val="en-US" w:eastAsia="zh-CN" w:bidi="zh-TW"/>
              </w:rPr>
              <w:t>CAWS530000230200862</w:t>
            </w:r>
          </w:p>
        </w:tc>
        <w:tc>
          <w:tcPr>
            <w:tcW w:w="2508" w:type="dxa"/>
            <w:tcBorders>
              <w:tl2br w:val="nil"/>
              <w:tr2bl w:val="nil"/>
            </w:tcBorders>
            <w:shd w:val="clear" w:color="auto" w:fill="FFFFFF"/>
            <w:vAlign w:val="center"/>
          </w:tcPr>
          <w:p w14:paraId="3EA9A323">
            <w:pPr>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default" w:ascii="宋体" w:hAnsi="宋体" w:eastAsia="宋体" w:cs="宋体"/>
                <w:color w:val="auto"/>
                <w:spacing w:val="0"/>
                <w:w w:val="100"/>
                <w:kern w:val="2"/>
                <w:position w:val="0"/>
                <w:sz w:val="24"/>
                <w:szCs w:val="24"/>
                <w:u w:val="none"/>
                <w:shd w:val="clear" w:color="auto" w:fill="auto"/>
                <w:lang w:val="en-US" w:eastAsia="zh-CN" w:bidi="zh-TW"/>
              </w:rPr>
            </w:pPr>
            <w:r>
              <w:rPr>
                <w:rFonts w:hint="default" w:ascii="宋体" w:hAnsi="宋体" w:eastAsia="宋体" w:cs="宋体"/>
                <w:color w:val="auto"/>
                <w:spacing w:val="0"/>
                <w:w w:val="100"/>
                <w:kern w:val="2"/>
                <w:position w:val="0"/>
                <w:sz w:val="24"/>
                <w:szCs w:val="24"/>
                <w:u w:val="none"/>
                <w:shd w:val="clear" w:color="auto" w:fill="auto"/>
                <w:lang w:val="en-US" w:eastAsia="zh-CN" w:bidi="zh-TW"/>
              </w:rPr>
              <w:t>042916</w:t>
            </w:r>
          </w:p>
        </w:tc>
      </w:tr>
      <w:tr w14:paraId="42A37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606" w:type="dxa"/>
            <w:vMerge w:val="restart"/>
            <w:tcBorders>
              <w:tl2br w:val="nil"/>
              <w:tr2bl w:val="nil"/>
            </w:tcBorders>
            <w:shd w:val="clear" w:color="auto" w:fill="FFFFFF"/>
            <w:vAlign w:val="center"/>
          </w:tcPr>
          <w:p w14:paraId="4A4D7CCA">
            <w:pPr>
              <w:jc w:val="center"/>
              <w:rPr>
                <w:rFonts w:ascii="宋体" w:hAnsi="宋体" w:cs="宋体"/>
                <w:sz w:val="24"/>
              </w:rPr>
            </w:pPr>
            <w:r>
              <w:rPr>
                <w:rFonts w:hint="eastAsia" w:ascii="宋体" w:hAnsi="宋体" w:cs="宋体"/>
                <w:sz w:val="24"/>
              </w:rPr>
              <w:t>项目组成员</w:t>
            </w:r>
          </w:p>
        </w:tc>
        <w:tc>
          <w:tcPr>
            <w:tcW w:w="817" w:type="dxa"/>
            <w:tcBorders>
              <w:tl2br w:val="nil"/>
              <w:tr2bl w:val="nil"/>
            </w:tcBorders>
            <w:shd w:val="clear" w:color="auto" w:fill="FFFFFF"/>
            <w:vAlign w:val="center"/>
          </w:tcPr>
          <w:p w14:paraId="2D36C39E">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乔贯德</w:t>
            </w:r>
          </w:p>
        </w:tc>
        <w:tc>
          <w:tcPr>
            <w:tcW w:w="5689" w:type="dxa"/>
            <w:gridSpan w:val="2"/>
            <w:tcBorders>
              <w:tl2br w:val="nil"/>
              <w:tr2bl w:val="nil"/>
            </w:tcBorders>
            <w:shd w:val="clear" w:color="auto" w:fill="FFFFFF"/>
            <w:vAlign w:val="center"/>
          </w:tcPr>
          <w:p w14:paraId="652AFC5A">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1700000000300087</w:t>
            </w:r>
          </w:p>
        </w:tc>
        <w:tc>
          <w:tcPr>
            <w:tcW w:w="2508" w:type="dxa"/>
            <w:tcBorders>
              <w:tl2br w:val="nil"/>
              <w:tr2bl w:val="nil"/>
            </w:tcBorders>
            <w:shd w:val="clear" w:color="auto" w:fill="FFFFFF"/>
            <w:vAlign w:val="center"/>
          </w:tcPr>
          <w:p w14:paraId="155B3950">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030797</w:t>
            </w:r>
          </w:p>
        </w:tc>
      </w:tr>
      <w:tr w14:paraId="594F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vMerge w:val="continue"/>
            <w:tcBorders>
              <w:tl2br w:val="nil"/>
              <w:tr2bl w:val="nil"/>
            </w:tcBorders>
            <w:shd w:val="clear" w:color="auto" w:fill="FFFFFF"/>
            <w:vAlign w:val="center"/>
          </w:tcPr>
          <w:p w14:paraId="1894849F">
            <w:pPr>
              <w:jc w:val="center"/>
              <w:rPr>
                <w:rFonts w:ascii="宋体" w:hAnsi="宋体" w:cs="宋体"/>
                <w:sz w:val="24"/>
              </w:rPr>
            </w:pPr>
          </w:p>
        </w:tc>
        <w:tc>
          <w:tcPr>
            <w:tcW w:w="817" w:type="dxa"/>
            <w:tcBorders>
              <w:tl2br w:val="nil"/>
              <w:tr2bl w:val="nil"/>
            </w:tcBorders>
            <w:shd w:val="clear" w:color="auto" w:fill="FFFFFF"/>
            <w:vAlign w:val="center"/>
          </w:tcPr>
          <w:p w14:paraId="4A9331A7">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张志辉</w:t>
            </w:r>
          </w:p>
        </w:tc>
        <w:tc>
          <w:tcPr>
            <w:tcW w:w="5689" w:type="dxa"/>
            <w:gridSpan w:val="2"/>
            <w:tcBorders>
              <w:tl2br w:val="nil"/>
              <w:tr2bl w:val="nil"/>
            </w:tcBorders>
            <w:shd w:val="clear" w:color="auto" w:fill="FFFFFF"/>
            <w:vAlign w:val="center"/>
          </w:tcPr>
          <w:p w14:paraId="3E4AF7D5">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20211004615000001171</w:t>
            </w:r>
            <w:r>
              <w:rPr>
                <w:rFonts w:hint="eastAsia" w:ascii="宋体" w:hAnsi="宋体" w:eastAsia="宋体" w:cs="宋体"/>
                <w:sz w:val="24"/>
                <w:szCs w:val="24"/>
              </w:rPr>
              <w:t xml:space="preserve">  </w:t>
            </w:r>
          </w:p>
        </w:tc>
        <w:tc>
          <w:tcPr>
            <w:tcW w:w="2508" w:type="dxa"/>
            <w:tcBorders>
              <w:tl2br w:val="nil"/>
              <w:tr2bl w:val="nil"/>
            </w:tcBorders>
            <w:shd w:val="clear" w:color="auto" w:fill="FFFFFF"/>
            <w:vAlign w:val="center"/>
          </w:tcPr>
          <w:p w14:paraId="097E9CF2">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5220306682</w:t>
            </w:r>
          </w:p>
        </w:tc>
      </w:tr>
      <w:tr w14:paraId="75184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vMerge w:val="continue"/>
            <w:tcBorders>
              <w:tl2br w:val="nil"/>
              <w:tr2bl w:val="nil"/>
            </w:tcBorders>
            <w:shd w:val="clear" w:color="auto" w:fill="FFFFFF"/>
            <w:vAlign w:val="center"/>
          </w:tcPr>
          <w:p w14:paraId="218282FC">
            <w:pPr>
              <w:jc w:val="center"/>
              <w:rPr>
                <w:rFonts w:ascii="宋体" w:hAnsi="宋体" w:cs="宋体"/>
                <w:sz w:val="24"/>
              </w:rPr>
            </w:pPr>
          </w:p>
        </w:tc>
        <w:tc>
          <w:tcPr>
            <w:tcW w:w="817" w:type="dxa"/>
            <w:tcBorders>
              <w:tl2br w:val="nil"/>
              <w:tr2bl w:val="nil"/>
            </w:tcBorders>
            <w:shd w:val="clear" w:color="auto" w:fill="FFFFFF"/>
            <w:vAlign w:val="center"/>
          </w:tcPr>
          <w:p w14:paraId="07C8D395">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周巧云</w:t>
            </w:r>
          </w:p>
        </w:tc>
        <w:tc>
          <w:tcPr>
            <w:tcW w:w="5689" w:type="dxa"/>
            <w:gridSpan w:val="2"/>
            <w:tcBorders>
              <w:tl2br w:val="nil"/>
              <w:tr2bl w:val="nil"/>
            </w:tcBorders>
            <w:shd w:val="clear" w:color="auto" w:fill="FFFFFF"/>
            <w:vAlign w:val="center"/>
          </w:tcPr>
          <w:p w14:paraId="1F79760F">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 xml:space="preserve">20231004632000007942 </w:t>
            </w:r>
          </w:p>
        </w:tc>
        <w:tc>
          <w:tcPr>
            <w:tcW w:w="2508" w:type="dxa"/>
            <w:tcBorders>
              <w:tl2br w:val="nil"/>
              <w:tr2bl w:val="nil"/>
            </w:tcBorders>
            <w:shd w:val="clear" w:color="auto" w:fill="FFFFFF"/>
            <w:vAlign w:val="center"/>
          </w:tcPr>
          <w:p w14:paraId="05E42F8E">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default" w:ascii="宋体" w:hAnsi="宋体" w:eastAsia="宋体" w:cs="宋体"/>
                <w:sz w:val="24"/>
                <w:szCs w:val="24"/>
                <w:lang w:val="en-US" w:eastAsia="zh-CN"/>
              </w:rPr>
              <w:t>32240386462</w:t>
            </w:r>
          </w:p>
        </w:tc>
      </w:tr>
      <w:tr w14:paraId="2E47C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vMerge w:val="continue"/>
            <w:tcBorders>
              <w:tl2br w:val="nil"/>
              <w:tr2bl w:val="nil"/>
            </w:tcBorders>
            <w:shd w:val="clear" w:color="auto" w:fill="FFFFFF"/>
            <w:vAlign w:val="center"/>
          </w:tcPr>
          <w:p w14:paraId="1F732C06">
            <w:pPr>
              <w:jc w:val="center"/>
              <w:rPr>
                <w:rFonts w:ascii="宋体" w:hAnsi="宋体" w:cs="宋体"/>
                <w:sz w:val="24"/>
              </w:rPr>
            </w:pPr>
          </w:p>
        </w:tc>
        <w:tc>
          <w:tcPr>
            <w:tcW w:w="817" w:type="dxa"/>
            <w:tcBorders>
              <w:tl2br w:val="nil"/>
              <w:tr2bl w:val="nil"/>
            </w:tcBorders>
            <w:shd w:val="clear" w:color="auto" w:fill="FFFFFF"/>
            <w:vAlign w:val="center"/>
          </w:tcPr>
          <w:p w14:paraId="54F4E8F4">
            <w:pPr>
              <w:spacing w:before="156" w:beforeLines="50" w:after="156" w:afterLines="50" w:line="400" w:lineRule="exac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刘二平</w:t>
            </w:r>
          </w:p>
        </w:tc>
        <w:tc>
          <w:tcPr>
            <w:tcW w:w="5689" w:type="dxa"/>
            <w:gridSpan w:val="2"/>
            <w:tcBorders>
              <w:tl2br w:val="nil"/>
              <w:tr2bl w:val="nil"/>
            </w:tcBorders>
            <w:shd w:val="clear" w:color="auto" w:fill="FFFFFF"/>
            <w:vAlign w:val="center"/>
          </w:tcPr>
          <w:p w14:paraId="00C17882">
            <w:pPr>
              <w:spacing w:before="156" w:beforeLines="50" w:after="156" w:afterLines="50" w:line="400" w:lineRule="exac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03320241036000000887</w:t>
            </w:r>
          </w:p>
        </w:tc>
        <w:tc>
          <w:tcPr>
            <w:tcW w:w="2508" w:type="dxa"/>
            <w:tcBorders>
              <w:tl2br w:val="nil"/>
              <w:tr2bl w:val="nil"/>
            </w:tcBorders>
            <w:shd w:val="clear" w:color="auto" w:fill="FFFFFF"/>
            <w:vAlign w:val="center"/>
          </w:tcPr>
          <w:p w14:paraId="3D85FB31">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37250438462</w:t>
            </w:r>
          </w:p>
        </w:tc>
      </w:tr>
      <w:tr w14:paraId="31090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vMerge w:val="continue"/>
            <w:tcBorders>
              <w:tl2br w:val="nil"/>
              <w:tr2bl w:val="nil"/>
            </w:tcBorders>
            <w:shd w:val="clear" w:color="auto" w:fill="FFFFFF"/>
            <w:vAlign w:val="center"/>
          </w:tcPr>
          <w:p w14:paraId="21AC23D0">
            <w:pPr>
              <w:jc w:val="center"/>
              <w:rPr>
                <w:rFonts w:ascii="宋体" w:hAnsi="宋体" w:cs="宋体"/>
                <w:sz w:val="24"/>
              </w:rPr>
            </w:pPr>
          </w:p>
        </w:tc>
        <w:tc>
          <w:tcPr>
            <w:tcW w:w="817" w:type="dxa"/>
            <w:tcBorders>
              <w:tl2br w:val="nil"/>
              <w:tr2bl w:val="nil"/>
            </w:tcBorders>
            <w:shd w:val="clear" w:color="auto" w:fill="FFFFFF"/>
            <w:vAlign w:val="center"/>
          </w:tcPr>
          <w:p w14:paraId="4FE08C8F">
            <w:pPr>
              <w:spacing w:before="156" w:beforeLines="50" w:after="156" w:afterLines="50" w:line="400" w:lineRule="exact"/>
              <w:ind w:firstLine="0" w:firstLineChars="0"/>
              <w:jc w:val="center"/>
              <w:rPr>
                <w:rFonts w:hint="eastAsia"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徐顺星</w:t>
            </w:r>
          </w:p>
        </w:tc>
        <w:tc>
          <w:tcPr>
            <w:tcW w:w="5689" w:type="dxa"/>
            <w:gridSpan w:val="2"/>
            <w:tcBorders>
              <w:tl2br w:val="nil"/>
              <w:tr2bl w:val="nil"/>
            </w:tcBorders>
            <w:shd w:val="clear" w:color="auto" w:fill="FFFFFF"/>
            <w:vAlign w:val="center"/>
          </w:tcPr>
          <w:p w14:paraId="2F53413F">
            <w:pPr>
              <w:spacing w:before="156" w:beforeLines="50" w:after="156" w:afterLines="50" w:line="400" w:lineRule="exact"/>
              <w:ind w:firstLine="0" w:firstLineChars="0"/>
              <w:jc w:val="center"/>
              <w:rPr>
                <w:rFonts w:hint="eastAsia"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S011041000110192002229</w:t>
            </w:r>
          </w:p>
        </w:tc>
        <w:tc>
          <w:tcPr>
            <w:tcW w:w="2508" w:type="dxa"/>
            <w:tcBorders>
              <w:tl2br w:val="nil"/>
              <w:tr2bl w:val="nil"/>
            </w:tcBorders>
            <w:shd w:val="clear" w:color="auto" w:fill="FFFFFF"/>
            <w:vAlign w:val="center"/>
          </w:tcPr>
          <w:p w14:paraId="31B47B28">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018803</w:t>
            </w:r>
          </w:p>
        </w:tc>
      </w:tr>
      <w:tr w14:paraId="1968C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61" w:hRule="atLeast"/>
          <w:jc w:val="center"/>
        </w:trPr>
        <w:tc>
          <w:tcPr>
            <w:tcW w:w="606" w:type="dxa"/>
            <w:tcBorders>
              <w:tl2br w:val="nil"/>
              <w:tr2bl w:val="nil"/>
            </w:tcBorders>
            <w:shd w:val="clear" w:color="auto" w:fill="FFFFFF"/>
            <w:vAlign w:val="center"/>
          </w:tcPr>
          <w:p w14:paraId="1393FDAF">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9014" w:type="dxa"/>
            <w:gridSpan w:val="4"/>
            <w:tcBorders>
              <w:tl2br w:val="nil"/>
              <w:tr2bl w:val="nil"/>
            </w:tcBorders>
            <w:shd w:val="clear" w:color="auto" w:fill="FFFFFF"/>
            <w:vAlign w:val="center"/>
          </w:tcPr>
          <w:p w14:paraId="06BC571F">
            <w:pPr>
              <w:jc w:val="center"/>
              <w:rPr>
                <w:rFonts w:ascii="宋体" w:hAnsi="宋体" w:cs="宋体"/>
                <w:sz w:val="24"/>
              </w:rPr>
            </w:pPr>
            <w:r>
              <w:rPr>
                <w:rFonts w:hint="eastAsia" w:ascii="宋体" w:hAnsi="宋体" w:cs="宋体"/>
                <w:sz w:val="24"/>
              </w:rPr>
              <w:t>/</w:t>
            </w:r>
          </w:p>
        </w:tc>
      </w:tr>
      <w:tr w14:paraId="4F7E4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09" w:hRule="atLeast"/>
          <w:jc w:val="center"/>
        </w:trPr>
        <w:tc>
          <w:tcPr>
            <w:tcW w:w="2438" w:type="dxa"/>
            <w:gridSpan w:val="3"/>
            <w:tcBorders>
              <w:tl2br w:val="nil"/>
              <w:tr2bl w:val="nil"/>
            </w:tcBorders>
            <w:shd w:val="clear" w:color="auto" w:fill="FFFFFF"/>
            <w:vAlign w:val="center"/>
          </w:tcPr>
          <w:p w14:paraId="29ED6B3E">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7182" w:type="dxa"/>
            <w:gridSpan w:val="2"/>
            <w:tcBorders>
              <w:tl2br w:val="nil"/>
              <w:tr2bl w:val="nil"/>
            </w:tcBorders>
            <w:shd w:val="clear" w:color="auto" w:fill="FFFFFF"/>
            <w:vAlign w:val="center"/>
          </w:tcPr>
          <w:p w14:paraId="0A9BD943">
            <w:pPr>
              <w:widowControl/>
              <w:spacing w:after="150"/>
              <w:jc w:val="center"/>
              <w:rPr>
                <w:rFonts w:hint="default" w:ascii="Times New Roman" w:hAnsi="Times New Roman" w:eastAsia="宋体"/>
                <w:sz w:val="24"/>
                <w:lang w:val="en-US" w:eastAsia="zh-CN"/>
              </w:rPr>
            </w:pPr>
            <w:r>
              <w:rPr>
                <w:rFonts w:hint="eastAsia" w:ascii="Calibri" w:hAnsi="Calibri" w:eastAsia="宋体" w:cs="Times New Roman"/>
                <w:sz w:val="24"/>
                <w:szCs w:val="24"/>
                <w:lang w:val="en-US" w:eastAsia="zh-CN"/>
              </w:rPr>
              <w:t>蓝家财</w:t>
            </w:r>
            <w:r>
              <w:rPr>
                <w:rFonts w:hint="eastAsia" w:cs="Times New Roman"/>
                <w:sz w:val="24"/>
                <w:szCs w:val="24"/>
                <w:lang w:val="en-US" w:eastAsia="zh-CN"/>
              </w:rPr>
              <w:t>、</w:t>
            </w:r>
            <w:r>
              <w:rPr>
                <w:rFonts w:ascii="宋体" w:hAnsi="宋体" w:eastAsia="宋体" w:cs="宋体"/>
                <w:sz w:val="24"/>
                <w:szCs w:val="24"/>
              </w:rPr>
              <w:t>刘二平</w:t>
            </w:r>
            <w:r>
              <w:rPr>
                <w:rFonts w:hint="eastAsia"/>
                <w:sz w:val="24"/>
              </w:rPr>
              <w:t xml:space="preserve"> </w:t>
            </w:r>
            <w:r>
              <w:rPr>
                <w:rFonts w:hint="eastAsia"/>
                <w:sz w:val="24"/>
                <w:lang w:val="en-US" w:eastAsia="zh-CN"/>
              </w:rPr>
              <w:t>2026年1月23日</w:t>
            </w:r>
          </w:p>
        </w:tc>
      </w:tr>
      <w:tr w14:paraId="0A655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02" w:hRule="atLeast"/>
          <w:jc w:val="center"/>
        </w:trPr>
        <w:tc>
          <w:tcPr>
            <w:tcW w:w="2438" w:type="dxa"/>
            <w:gridSpan w:val="3"/>
            <w:tcBorders>
              <w:tl2br w:val="nil"/>
              <w:tr2bl w:val="nil"/>
            </w:tcBorders>
            <w:shd w:val="clear" w:color="auto" w:fill="FFFFFF"/>
            <w:vAlign w:val="center"/>
          </w:tcPr>
          <w:p w14:paraId="716803F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7182" w:type="dxa"/>
            <w:gridSpan w:val="2"/>
            <w:tcBorders>
              <w:tl2br w:val="nil"/>
              <w:tr2bl w:val="nil"/>
            </w:tcBorders>
            <w:shd w:val="clear" w:color="auto" w:fill="FFFFFF"/>
            <w:vAlign w:val="center"/>
          </w:tcPr>
          <w:p w14:paraId="0C6652F1">
            <w:pPr>
              <w:widowControl/>
              <w:spacing w:after="150"/>
              <w:jc w:val="center"/>
              <w:rPr>
                <w:rFonts w:hint="default" w:ascii="Times New Roman" w:hAnsi="Times New Roman" w:eastAsia="宋体"/>
                <w:color w:val="FF0000"/>
                <w:sz w:val="24"/>
                <w:lang w:val="en-US" w:eastAsia="zh-CN"/>
              </w:rPr>
            </w:pPr>
            <w:r>
              <w:rPr>
                <w:rFonts w:hint="eastAsia" w:ascii="Calibri" w:hAnsi="Calibri" w:eastAsia="宋体" w:cs="Times New Roman"/>
                <w:sz w:val="24"/>
                <w:szCs w:val="24"/>
                <w:lang w:val="en-US" w:eastAsia="zh-CN"/>
              </w:rPr>
              <w:t>蓝家财</w:t>
            </w:r>
            <w:r>
              <w:rPr>
                <w:rFonts w:hint="eastAsia" w:cs="Times New Roman"/>
                <w:sz w:val="24"/>
                <w:szCs w:val="24"/>
                <w:lang w:val="en-US" w:eastAsia="zh-CN"/>
              </w:rPr>
              <w:t>、</w:t>
            </w:r>
            <w:r>
              <w:rPr>
                <w:rFonts w:ascii="宋体" w:hAnsi="宋体" w:eastAsia="宋体" w:cs="宋体"/>
                <w:sz w:val="24"/>
                <w:szCs w:val="24"/>
              </w:rPr>
              <w:t>刘二平</w:t>
            </w:r>
            <w:r>
              <w:rPr>
                <w:rFonts w:hint="eastAsia"/>
                <w:sz w:val="24"/>
              </w:rPr>
              <w:t xml:space="preserve"> </w:t>
            </w:r>
            <w:r>
              <w:rPr>
                <w:rFonts w:hint="eastAsia"/>
                <w:sz w:val="24"/>
                <w:lang w:val="en-US" w:eastAsia="zh-CN"/>
              </w:rPr>
              <w:t>2026年2月10日</w:t>
            </w:r>
          </w:p>
        </w:tc>
      </w:tr>
      <w:tr w14:paraId="7F3ED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606" w:type="dxa"/>
            <w:tcBorders>
              <w:tl2br w:val="nil"/>
              <w:tr2bl w:val="nil"/>
            </w:tcBorders>
            <w:shd w:val="clear" w:color="auto" w:fill="FFFFFF"/>
            <w:vAlign w:val="center"/>
          </w:tcPr>
          <w:p w14:paraId="79FDD196">
            <w:pPr>
              <w:widowControl/>
              <w:spacing w:after="150"/>
              <w:jc w:val="center"/>
              <w:rPr>
                <w:rFonts w:ascii="宋体" w:hAnsi="宋体" w:cs="宋体"/>
                <w:sz w:val="24"/>
              </w:rPr>
            </w:pPr>
            <w:r>
              <w:rPr>
                <w:rFonts w:hint="eastAsia" w:ascii="宋体" w:hAnsi="宋体" w:cs="宋体"/>
                <w:color w:val="FF0000"/>
                <w:kern w:val="0"/>
                <w:sz w:val="24"/>
                <w:shd w:val="clear" w:color="auto" w:fill="FFFFFF"/>
              </w:rPr>
              <w:t>项目简介</w:t>
            </w:r>
          </w:p>
        </w:tc>
        <w:tc>
          <w:tcPr>
            <w:tcW w:w="9014" w:type="dxa"/>
            <w:gridSpan w:val="4"/>
            <w:tcBorders>
              <w:tl2br w:val="nil"/>
              <w:tr2bl w:val="nil"/>
            </w:tcBorders>
            <w:shd w:val="clear" w:color="auto" w:fill="FFFFFF"/>
          </w:tcPr>
          <w:p w14:paraId="5F8AA606">
            <w:pPr>
              <w:pStyle w:val="2"/>
              <w:ind w:firstLine="480" w:firstLineChars="200"/>
              <w:rPr>
                <w:rFonts w:hint="eastAsia"/>
                <w:sz w:val="24"/>
                <w:szCs w:val="24"/>
                <w:lang w:val="en-US" w:eastAsia="zh-CN"/>
              </w:rPr>
            </w:pPr>
            <w:r>
              <w:rPr>
                <w:rFonts w:hint="eastAsia"/>
                <w:sz w:val="24"/>
                <w:szCs w:val="24"/>
                <w:lang w:val="en-US" w:eastAsia="zh-CN"/>
              </w:rPr>
              <w:t>为进一步优化企业的产品结构，延伸产业链，提高企业抗风险的能力，促进企业转型升级，在不增加公司硫酸总产能的前提下，依托现有年产48万吨硫精矿制酸生产线项目（一期工程）的主体生产单元、工艺和设施，利用厂区内预留空地约1450m</w:t>
            </w:r>
            <w:r>
              <w:rPr>
                <w:rFonts w:hint="eastAsia"/>
                <w:sz w:val="24"/>
                <w:szCs w:val="24"/>
                <w:vertAlign w:val="superscript"/>
                <w:lang w:val="en-US" w:eastAsia="zh-CN"/>
              </w:rPr>
              <w:t>2</w:t>
            </w:r>
            <w:r>
              <w:rPr>
                <w:rFonts w:hint="eastAsia"/>
                <w:sz w:val="24"/>
                <w:szCs w:val="24"/>
                <w:lang w:val="en-US" w:eastAsia="zh-CN"/>
              </w:rPr>
              <w:t>，建设优等品硫酸生产区、3103贮槽区，总建筑面积699.45‬m</w:t>
            </w:r>
            <w:r>
              <w:rPr>
                <w:rFonts w:hint="eastAsia"/>
                <w:sz w:val="24"/>
                <w:szCs w:val="24"/>
                <w:vertAlign w:val="superscript"/>
                <w:lang w:val="en-US" w:eastAsia="zh-CN"/>
              </w:rPr>
              <w:t>2</w:t>
            </w:r>
            <w:r>
              <w:rPr>
                <w:rFonts w:hint="eastAsia"/>
                <w:sz w:val="24"/>
                <w:szCs w:val="24"/>
                <w:lang w:val="en-US" w:eastAsia="zh-CN"/>
              </w:rPr>
              <w:t>；技改项目的消防设施、污水处理、雨水收集/事故池、给排水、化验、中控、供配电等利用一期工程已建好的设施。</w:t>
            </w:r>
          </w:p>
          <w:p w14:paraId="2ECC185E">
            <w:pPr>
              <w:pStyle w:val="2"/>
              <w:ind w:firstLine="480" w:firstLineChars="200"/>
              <w:rPr>
                <w:rFonts w:hint="eastAsia"/>
                <w:sz w:val="24"/>
                <w:szCs w:val="24"/>
                <w:lang w:val="en-US" w:eastAsia="zh-CN"/>
              </w:rPr>
            </w:pPr>
            <w:r>
              <w:rPr>
                <w:rFonts w:hint="eastAsia"/>
                <w:sz w:val="24"/>
                <w:szCs w:val="24"/>
                <w:lang w:val="en-US" w:eastAsia="zh-CN"/>
              </w:rPr>
              <w:t>利用已建成的一期工程制酸系统进入吸收塔的三氧化硫气体，通过技术改造，分出其中一部份三氧化硫气体，通过净化系统除去杂质（取得高纯气体），然后进入吸收塔，高纯气在吸收塔内被循环的98%精制硫酸充分吸收SO3后，尾气返回到一期工程的制酸系统。该项目主要涉及的建构筑物包括：3102优等品硫酸生产车间、3103贮槽区。</w:t>
            </w:r>
          </w:p>
          <w:p w14:paraId="0CB6E8EE">
            <w:pPr>
              <w:pStyle w:val="2"/>
              <w:ind w:firstLine="480" w:firstLineChars="200"/>
              <w:rPr>
                <w:rFonts w:hint="eastAsia"/>
                <w:sz w:val="24"/>
                <w:szCs w:val="24"/>
                <w:lang w:val="en-US" w:eastAsia="zh-CN"/>
              </w:rPr>
            </w:pPr>
            <w:r>
              <w:rPr>
                <w:rFonts w:hint="eastAsia"/>
                <w:sz w:val="24"/>
                <w:szCs w:val="24"/>
                <w:lang w:val="en-US" w:eastAsia="zh-CN"/>
              </w:rPr>
              <w:t>技改项目前端工艺的设备设施及产能没有发生变化，即二氧化硫、三氧化硫等生产能力未发生变化，本次技改只是利用原有的三氧化硫进行提质增效节能，降低三氧化硫的运输储存风险，减少废气的排放，提高生产系统的自动化水平。</w:t>
            </w:r>
          </w:p>
          <w:p w14:paraId="45549F87">
            <w:pPr>
              <w:pStyle w:val="2"/>
              <w:ind w:firstLine="480" w:firstLineChars="200"/>
              <w:rPr>
                <w:rFonts w:hint="eastAsia"/>
                <w:lang w:val="en-US" w:eastAsia="zh-CN"/>
              </w:rPr>
            </w:pPr>
            <w:r>
              <w:rPr>
                <w:rFonts w:hint="eastAsia"/>
                <w:sz w:val="24"/>
                <w:szCs w:val="24"/>
                <w:lang w:val="en-US" w:eastAsia="zh-CN"/>
              </w:rPr>
              <w:t>本项目属于技改项目，用地利用公司一期工程原有土地，由于园区四至范围调整，一期项目主体装置及大部分的公用辅助工程在园区新的四至范围内，但是本次技改项目的生产设备设施在四至范围外。技改项目不扩大在役装置的产能（240kt/a)，其最终产品115发烟硫酸（CAS 号：8014-95-7；危险化学品目录序号：723）和优等品硫酸（CAS 号：7664-93-9；危险化学品目录序号：1302），与原有产品105发烟硫酸和硫酸的CAS 号及危险化学品目录序号一致，不违反《江西省危险化学品建设项目安全监督管理实施细则（试行）》（赣应急字[2021]100号文）附件第四十二条和《关于调整江西省危险化学品建设项目安全监督管理实施细则（试行）有关内容的通知》（赣应急字[2022]137号文）的规定，项目位于原有的化工园区，符合在原址进行安全、环保、节能和智能化改造升级的条件要求。</w:t>
            </w:r>
          </w:p>
        </w:tc>
      </w:tr>
      <w:tr w14:paraId="7E28E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6" w:type="dxa"/>
            <w:tcBorders>
              <w:tl2br w:val="nil"/>
              <w:tr2bl w:val="nil"/>
            </w:tcBorders>
            <w:shd w:val="clear" w:color="auto" w:fill="FFFFFF"/>
            <w:vAlign w:val="center"/>
          </w:tcPr>
          <w:p w14:paraId="20115CC1">
            <w:pPr>
              <w:widowControl/>
              <w:spacing w:after="150"/>
              <w:jc w:val="center"/>
            </w:pPr>
            <w:r>
              <w:rPr>
                <w:rFonts w:hint="eastAsia"/>
                <w:color w:val="FF0000"/>
                <w:sz w:val="24"/>
              </w:rPr>
              <w:t>工艺流程</w:t>
            </w:r>
          </w:p>
        </w:tc>
        <w:tc>
          <w:tcPr>
            <w:tcW w:w="9014" w:type="dxa"/>
            <w:gridSpan w:val="4"/>
            <w:tcBorders>
              <w:tl2br w:val="nil"/>
              <w:tr2bl w:val="nil"/>
            </w:tcBorders>
            <w:shd w:val="clear" w:color="auto" w:fill="FFFFFF"/>
          </w:tcPr>
          <w:p w14:paraId="3CB1875C">
            <w:pPr>
              <w:keepNext w:val="0"/>
              <w:keepLines w:val="0"/>
              <w:pageBreakBefore w:val="0"/>
              <w:widowControl/>
              <w:kinsoku/>
              <w:wordWrap/>
              <w:overflowPunct/>
              <w:topLinePunct w:val="0"/>
              <w:autoSpaceDE/>
              <w:autoSpaceDN/>
              <w:bidi w:val="0"/>
              <w:adjustRightInd/>
              <w:snapToGrid/>
              <w:ind w:firstLine="480" w:firstLineChars="200"/>
              <w:jc w:val="left"/>
              <w:textAlignment w:val="auto"/>
              <w:rPr>
                <w:rFonts w:hint="eastAsia"/>
                <w:b w:val="0"/>
                <w:bCs/>
                <w:sz w:val="24"/>
                <w:szCs w:val="24"/>
              </w:rPr>
            </w:pPr>
            <w:r>
              <w:rPr>
                <w:rFonts w:hint="eastAsia"/>
                <w:b w:val="0"/>
                <w:bCs/>
                <w:sz w:val="24"/>
                <w:szCs w:val="24"/>
              </w:rPr>
              <w:t>技术改造新建优等品98%硫酸生产装置，采用直接烟酸洗涤法吸收工艺生产优等品98%硫酸生产。</w:t>
            </w:r>
          </w:p>
          <w:p w14:paraId="23F3656C">
            <w:pPr>
              <w:keepNext w:val="0"/>
              <w:keepLines w:val="0"/>
              <w:pageBreakBefore w:val="0"/>
              <w:widowControl/>
              <w:kinsoku/>
              <w:wordWrap/>
              <w:overflowPunct/>
              <w:topLinePunct w:val="0"/>
              <w:autoSpaceDE/>
              <w:autoSpaceDN/>
              <w:bidi w:val="0"/>
              <w:adjustRightInd/>
              <w:snapToGrid/>
              <w:ind w:firstLine="480" w:firstLineChars="200"/>
              <w:jc w:val="left"/>
              <w:textAlignment w:val="auto"/>
              <w:rPr>
                <w:rFonts w:hint="eastAsia"/>
                <w:b w:val="0"/>
                <w:bCs/>
                <w:sz w:val="24"/>
                <w:szCs w:val="24"/>
              </w:rPr>
            </w:pPr>
            <w:r>
              <w:rPr>
                <w:rFonts w:hint="eastAsia"/>
                <w:b w:val="0"/>
                <w:bCs/>
                <w:sz w:val="24"/>
                <w:szCs w:val="24"/>
              </w:rPr>
              <w:t>利用105%烟酸过饱和吸收，饱和后的发烟酸不再吸收，使SO</w:t>
            </w:r>
            <w:r>
              <w:rPr>
                <w:rFonts w:hint="eastAsia"/>
                <w:b w:val="0"/>
                <w:bCs/>
                <w:sz w:val="24"/>
                <w:szCs w:val="24"/>
                <w:vertAlign w:val="subscript"/>
              </w:rPr>
              <w:t>3</w:t>
            </w:r>
            <w:r>
              <w:rPr>
                <w:rFonts w:hint="eastAsia"/>
                <w:b w:val="0"/>
                <w:bCs/>
                <w:sz w:val="24"/>
                <w:szCs w:val="24"/>
              </w:rPr>
              <w:t>气体在此工段充分起到洗涤净化的作用，除去SO</w:t>
            </w:r>
            <w:r>
              <w:rPr>
                <w:rFonts w:hint="eastAsia"/>
                <w:b w:val="0"/>
                <w:bCs/>
                <w:sz w:val="24"/>
                <w:szCs w:val="24"/>
                <w:vertAlign w:val="subscript"/>
              </w:rPr>
              <w:t>3</w:t>
            </w:r>
            <w:r>
              <w:rPr>
                <w:rFonts w:hint="eastAsia"/>
                <w:b w:val="0"/>
                <w:bCs/>
                <w:sz w:val="24"/>
                <w:szCs w:val="24"/>
              </w:rPr>
              <w:t>气体中的尘及杂质，再通过精密设备除雾，除去烟气中的微量酸雾，然后进入吸收塔吸收生产优等品98%硫酸。</w:t>
            </w:r>
          </w:p>
          <w:p w14:paraId="445D3A50">
            <w:pPr>
              <w:keepNext w:val="0"/>
              <w:keepLines w:val="0"/>
              <w:pageBreakBefore w:val="0"/>
              <w:widowControl/>
              <w:kinsoku/>
              <w:wordWrap/>
              <w:overflowPunct/>
              <w:topLinePunct w:val="0"/>
              <w:autoSpaceDE/>
              <w:autoSpaceDN/>
              <w:bidi w:val="0"/>
              <w:adjustRightInd/>
              <w:snapToGrid/>
              <w:ind w:firstLine="480" w:firstLineChars="200"/>
              <w:jc w:val="left"/>
              <w:textAlignment w:val="auto"/>
              <w:rPr>
                <w:rFonts w:hint="eastAsia"/>
                <w:b w:val="0"/>
                <w:bCs/>
                <w:sz w:val="24"/>
                <w:szCs w:val="24"/>
              </w:rPr>
            </w:pPr>
            <w:r>
              <w:rPr>
                <w:rFonts w:hint="eastAsia"/>
                <w:b w:val="0"/>
                <w:bCs/>
                <w:sz w:val="24"/>
                <w:szCs w:val="24"/>
              </w:rPr>
              <w:t>SO</w:t>
            </w:r>
            <w:r>
              <w:rPr>
                <w:rFonts w:hint="eastAsia"/>
                <w:b w:val="0"/>
                <w:bCs/>
                <w:sz w:val="24"/>
                <w:szCs w:val="24"/>
                <w:vertAlign w:val="subscript"/>
              </w:rPr>
              <w:t>3</w:t>
            </w:r>
            <w:r>
              <w:rPr>
                <w:rFonts w:hint="eastAsia"/>
                <w:b w:val="0"/>
                <w:bCs/>
                <w:sz w:val="24"/>
                <w:szCs w:val="24"/>
              </w:rPr>
              <w:t>气体从现有年产24万吨硫精矿制酸生产线干吸工序一吸塔进口管中分出一路三氧化硫气体，通过管道连接到优等品98%硫酸生产装置，在净化塔内通过循环泵循环喷淋洗涤，并经精密设备除雾后进入到吸收塔，通过循环的优等品98%硫酸充分吸收SO</w:t>
            </w:r>
            <w:r>
              <w:rPr>
                <w:rFonts w:hint="eastAsia"/>
                <w:b w:val="0"/>
                <w:bCs/>
                <w:sz w:val="24"/>
                <w:szCs w:val="24"/>
                <w:vertAlign w:val="subscript"/>
              </w:rPr>
              <w:t>3</w:t>
            </w:r>
            <w:r>
              <w:rPr>
                <w:rFonts w:hint="eastAsia"/>
                <w:b w:val="0"/>
                <w:bCs/>
                <w:sz w:val="24"/>
                <w:szCs w:val="24"/>
              </w:rPr>
              <w:t>后的尾气，经管道连接返回现有年产24万吨硫精矿制酸生产线干吸工序一吸塔出口管。</w:t>
            </w:r>
          </w:p>
          <w:p w14:paraId="69045BA5">
            <w:pPr>
              <w:keepNext w:val="0"/>
              <w:keepLines w:val="0"/>
              <w:pageBreakBefore w:val="0"/>
              <w:widowControl/>
              <w:kinsoku/>
              <w:wordWrap/>
              <w:overflowPunct/>
              <w:topLinePunct w:val="0"/>
              <w:autoSpaceDE/>
              <w:autoSpaceDN/>
              <w:bidi w:val="0"/>
              <w:adjustRightInd/>
              <w:snapToGrid/>
              <w:ind w:firstLine="480" w:firstLineChars="200"/>
              <w:jc w:val="left"/>
              <w:textAlignment w:val="auto"/>
              <w:rPr>
                <w:rFonts w:hint="eastAsia"/>
                <w:b w:val="0"/>
                <w:bCs/>
                <w:sz w:val="24"/>
                <w:szCs w:val="24"/>
              </w:rPr>
            </w:pPr>
            <w:r>
              <w:rPr>
                <w:rFonts w:hint="eastAsia"/>
                <w:b w:val="0"/>
                <w:bCs/>
                <w:sz w:val="24"/>
                <w:szCs w:val="24"/>
              </w:rPr>
              <w:t>吸收塔内循环喷淋的98%优等品硫酸充分吸收SO</w:t>
            </w:r>
            <w:r>
              <w:rPr>
                <w:rFonts w:hint="eastAsia"/>
                <w:b w:val="0"/>
                <w:bCs/>
                <w:sz w:val="24"/>
                <w:szCs w:val="24"/>
                <w:vertAlign w:val="subscript"/>
              </w:rPr>
              <w:t>3</w:t>
            </w:r>
            <w:r>
              <w:rPr>
                <w:rFonts w:hint="eastAsia"/>
                <w:b w:val="0"/>
                <w:bCs/>
                <w:sz w:val="24"/>
                <w:szCs w:val="24"/>
              </w:rPr>
              <w:t>增浓后进入酸循环槽。在酸循环槽中加入从现有年产24万吨硫精矿制酸生产线余热锅炉脱盐水装置送来的高纯水（或脱盐水），将酸循环槽中的循环酸浓度控制在98.3%左右。由酸循环泵将循环酸送酸冷却器，冷却后的循环酸分为二路：一路为成品酸去SO</w:t>
            </w:r>
            <w:r>
              <w:rPr>
                <w:rFonts w:hint="eastAsia"/>
                <w:b w:val="0"/>
                <w:bCs/>
                <w:sz w:val="24"/>
                <w:szCs w:val="24"/>
                <w:vertAlign w:val="subscript"/>
              </w:rPr>
              <w:t>2</w:t>
            </w:r>
            <w:r>
              <w:rPr>
                <w:rFonts w:hint="eastAsia"/>
                <w:b w:val="0"/>
                <w:bCs/>
                <w:sz w:val="24"/>
                <w:szCs w:val="24"/>
              </w:rPr>
              <w:t>脱气塔；另一路去吸收塔循环喷淋吸收。</w:t>
            </w:r>
          </w:p>
          <w:p w14:paraId="0E24D9AF">
            <w:pPr>
              <w:keepNext w:val="0"/>
              <w:keepLines w:val="0"/>
              <w:pageBreakBefore w:val="0"/>
              <w:widowControl/>
              <w:kinsoku/>
              <w:wordWrap/>
              <w:overflowPunct/>
              <w:topLinePunct w:val="0"/>
              <w:autoSpaceDE/>
              <w:autoSpaceDN/>
              <w:bidi w:val="0"/>
              <w:adjustRightInd/>
              <w:snapToGrid/>
              <w:ind w:firstLine="480" w:firstLineChars="200"/>
              <w:jc w:val="left"/>
              <w:textAlignment w:val="auto"/>
              <w:rPr>
                <w:rFonts w:hint="eastAsia"/>
                <w:b w:val="0"/>
                <w:bCs/>
                <w:sz w:val="24"/>
                <w:szCs w:val="24"/>
              </w:rPr>
            </w:pPr>
            <w:r>
              <w:rPr>
                <w:rFonts w:hint="eastAsia"/>
                <w:b w:val="0"/>
                <w:bCs/>
                <w:sz w:val="24"/>
                <w:szCs w:val="24"/>
              </w:rPr>
              <w:t>经SO</w:t>
            </w:r>
            <w:r>
              <w:rPr>
                <w:rFonts w:hint="eastAsia"/>
                <w:b w:val="0"/>
                <w:bCs/>
                <w:sz w:val="24"/>
                <w:szCs w:val="24"/>
                <w:vertAlign w:val="subscript"/>
              </w:rPr>
              <w:t>2</w:t>
            </w:r>
            <w:r>
              <w:rPr>
                <w:rFonts w:hint="eastAsia"/>
                <w:b w:val="0"/>
                <w:bCs/>
                <w:sz w:val="24"/>
                <w:szCs w:val="24"/>
              </w:rPr>
              <w:t>脱吸塔脱除溶解在优等品硫酸中的微量SO</w:t>
            </w:r>
            <w:r>
              <w:rPr>
                <w:rFonts w:hint="eastAsia"/>
                <w:b w:val="0"/>
                <w:bCs/>
                <w:sz w:val="24"/>
                <w:szCs w:val="24"/>
                <w:vertAlign w:val="subscript"/>
              </w:rPr>
              <w:t>2</w:t>
            </w:r>
            <w:r>
              <w:rPr>
                <w:rFonts w:hint="eastAsia"/>
                <w:b w:val="0"/>
                <w:bCs/>
                <w:sz w:val="24"/>
                <w:szCs w:val="24"/>
              </w:rPr>
              <w:t>气体后经产品分析合格后送成品槽等待灌装销售。</w:t>
            </w:r>
          </w:p>
          <w:p w14:paraId="1A8B52FD">
            <w:pPr>
              <w:keepNext w:val="0"/>
              <w:keepLines w:val="0"/>
              <w:pageBreakBefore w:val="0"/>
              <w:widowControl/>
              <w:kinsoku/>
              <w:wordWrap/>
              <w:overflowPunct/>
              <w:topLinePunct w:val="0"/>
              <w:autoSpaceDE/>
              <w:autoSpaceDN/>
              <w:bidi w:val="0"/>
              <w:adjustRightInd/>
              <w:snapToGrid/>
              <w:ind w:firstLine="480" w:firstLineChars="200"/>
              <w:jc w:val="left"/>
              <w:textAlignment w:val="auto"/>
              <w:rPr>
                <w:rFonts w:hint="eastAsia"/>
                <w:b w:val="0"/>
                <w:bCs/>
                <w:sz w:val="24"/>
                <w:szCs w:val="24"/>
              </w:rPr>
            </w:pPr>
            <w:r>
              <w:rPr>
                <w:rFonts w:hint="eastAsia"/>
                <w:b w:val="0"/>
                <w:bCs/>
                <w:sz w:val="24"/>
                <w:szCs w:val="24"/>
              </w:rPr>
              <w:t>开工母酸置换过程未达到指标的98%酸，通过管道送回到现有年产24万吨硫精矿制酸生产线作为98%销售。</w:t>
            </w:r>
          </w:p>
          <w:p w14:paraId="783797B1">
            <w:pPr>
              <w:keepNext w:val="0"/>
              <w:keepLines w:val="0"/>
              <w:pageBreakBefore w:val="0"/>
              <w:widowControl/>
              <w:kinsoku/>
              <w:wordWrap/>
              <w:overflowPunct/>
              <w:topLinePunct w:val="0"/>
              <w:autoSpaceDE/>
              <w:autoSpaceDN/>
              <w:bidi w:val="0"/>
              <w:adjustRightInd/>
              <w:snapToGrid/>
              <w:ind w:firstLine="480" w:firstLineChars="200"/>
              <w:jc w:val="left"/>
              <w:textAlignment w:val="auto"/>
              <w:rPr>
                <w:rFonts w:hint="eastAsia"/>
                <w:b w:val="0"/>
                <w:bCs/>
                <w:sz w:val="24"/>
                <w:szCs w:val="24"/>
              </w:rPr>
            </w:pPr>
            <w:r>
              <w:rPr>
                <w:rFonts w:hint="eastAsia"/>
                <w:b w:val="0"/>
                <w:bCs/>
                <w:sz w:val="24"/>
                <w:szCs w:val="24"/>
              </w:rPr>
              <w:t>冷却水使用循环冷却水，由现有年产24万吨硫精矿制酸生产线主装置循环水装置提供。工艺配酸用水使用现有年产24万吨硫精矿制酸生产线的脱盐水装置提供的脱盐水，利用管道连接打到优等品硫酸生产装置中的纯水高槽，再添加到优等品硫酸循环槽中。</w:t>
            </w:r>
          </w:p>
          <w:p w14:paraId="0463C738">
            <w:pPr>
              <w:keepNext w:val="0"/>
              <w:keepLines w:val="0"/>
              <w:pageBreakBefore w:val="0"/>
              <w:widowControl/>
              <w:kinsoku/>
              <w:wordWrap/>
              <w:overflowPunct/>
              <w:topLinePunct w:val="0"/>
              <w:autoSpaceDE/>
              <w:autoSpaceDN/>
              <w:bidi w:val="0"/>
              <w:adjustRightInd/>
              <w:snapToGrid/>
              <w:ind w:firstLine="480" w:firstLineChars="200"/>
              <w:jc w:val="left"/>
              <w:textAlignment w:val="auto"/>
              <w:rPr>
                <w:rFonts w:hint="eastAsia"/>
                <w:b w:val="0"/>
                <w:bCs/>
                <w:sz w:val="24"/>
                <w:szCs w:val="24"/>
              </w:rPr>
            </w:pPr>
            <w:r>
              <w:rPr>
                <w:rFonts w:hint="eastAsia"/>
                <w:b w:val="0"/>
                <w:bCs/>
                <w:sz w:val="24"/>
                <w:szCs w:val="24"/>
              </w:rPr>
              <w:t>优等品硫酸装置中SO</w:t>
            </w:r>
            <w:r>
              <w:rPr>
                <w:rFonts w:hint="eastAsia"/>
                <w:b w:val="0"/>
                <w:bCs/>
                <w:sz w:val="24"/>
                <w:szCs w:val="24"/>
                <w:vertAlign w:val="subscript"/>
              </w:rPr>
              <w:t>2</w:t>
            </w:r>
            <w:r>
              <w:rPr>
                <w:rFonts w:hint="eastAsia"/>
                <w:b w:val="0"/>
                <w:bCs/>
                <w:sz w:val="24"/>
                <w:szCs w:val="24"/>
              </w:rPr>
              <w:t>脱气塔采用净化后的空气脱除，空气由引风机装置送入脱气塔，经精密净化器除去空气中的杂质，通过SO</w:t>
            </w:r>
            <w:r>
              <w:rPr>
                <w:rFonts w:hint="eastAsia"/>
                <w:b w:val="0"/>
                <w:bCs/>
                <w:sz w:val="24"/>
                <w:szCs w:val="24"/>
                <w:vertAlign w:val="subscript"/>
              </w:rPr>
              <w:t>2</w:t>
            </w:r>
            <w:r>
              <w:rPr>
                <w:rFonts w:hint="eastAsia"/>
                <w:b w:val="0"/>
                <w:bCs/>
                <w:sz w:val="24"/>
                <w:szCs w:val="24"/>
              </w:rPr>
              <w:t>脱气塔吹脱优等品硫酸中溶解的微量SO</w:t>
            </w:r>
            <w:r>
              <w:rPr>
                <w:rFonts w:hint="eastAsia"/>
                <w:b w:val="0"/>
                <w:bCs/>
                <w:sz w:val="24"/>
                <w:szCs w:val="24"/>
                <w:vertAlign w:val="subscript"/>
              </w:rPr>
              <w:t>2</w:t>
            </w:r>
            <w:r>
              <w:rPr>
                <w:rFonts w:hint="eastAsia"/>
                <w:b w:val="0"/>
                <w:bCs/>
                <w:sz w:val="24"/>
                <w:szCs w:val="24"/>
              </w:rPr>
              <w:t>，气体通过管道连接返回到现有年产24万吨硫精矿制酸生产线，进入到生产系统。</w:t>
            </w:r>
          </w:p>
          <w:p w14:paraId="23481AF5">
            <w:pPr>
              <w:keepNext w:val="0"/>
              <w:keepLines w:val="0"/>
              <w:pageBreakBefore w:val="0"/>
              <w:widowControl/>
              <w:kinsoku/>
              <w:wordWrap/>
              <w:overflowPunct/>
              <w:topLinePunct w:val="0"/>
              <w:autoSpaceDE/>
              <w:autoSpaceDN/>
              <w:bidi w:val="0"/>
              <w:adjustRightInd/>
              <w:snapToGrid/>
              <w:ind w:firstLine="480" w:firstLineChars="200"/>
              <w:jc w:val="left"/>
              <w:textAlignment w:val="auto"/>
              <w:rPr>
                <w:b w:val="0"/>
                <w:bCs/>
                <w:sz w:val="24"/>
                <w:szCs w:val="24"/>
              </w:rPr>
            </w:pPr>
            <w:r>
              <w:rPr>
                <w:rFonts w:hint="eastAsia"/>
                <w:b w:val="0"/>
                <w:bCs/>
                <w:sz w:val="24"/>
                <w:szCs w:val="24"/>
              </w:rPr>
              <w:t>各槽罐在生产过程中产生的酸性气体通过主装置负压进入原系统，无排放物产生。</w:t>
            </w:r>
          </w:p>
          <w:p w14:paraId="0240F373">
            <w:pPr>
              <w:bidi w:val="0"/>
              <w:ind w:firstLine="532" w:firstLineChars="0"/>
              <w:jc w:val="left"/>
              <w:rPr>
                <w:rFonts w:hint="eastAsia"/>
                <w:b/>
                <w:bCs/>
                <w:szCs w:val="28"/>
                <w:lang w:val="en-US" w:eastAsia="zh-CN"/>
              </w:rPr>
            </w:pPr>
          </w:p>
        </w:tc>
      </w:tr>
      <w:tr w14:paraId="1BF15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606" w:type="dxa"/>
            <w:tcBorders>
              <w:tl2br w:val="nil"/>
              <w:tr2bl w:val="nil"/>
            </w:tcBorders>
            <w:shd w:val="clear" w:color="auto" w:fill="FFFFFF"/>
            <w:vAlign w:val="center"/>
          </w:tcPr>
          <w:p w14:paraId="3409B03F">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9014" w:type="dxa"/>
            <w:gridSpan w:val="4"/>
            <w:tcBorders>
              <w:tl2br w:val="nil"/>
              <w:tr2bl w:val="nil"/>
            </w:tcBorders>
            <w:shd w:val="clear" w:color="auto" w:fill="FFFFFF"/>
            <w:vAlign w:val="center"/>
          </w:tcPr>
          <w:p w14:paraId="7EFBC9DB">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5D345BA6">
      <w:pPr>
        <w:rPr>
          <w:rFonts w:hint="eastAsia" w:eastAsia="宋体"/>
          <w:lang w:eastAsia="zh-CN"/>
        </w:rPr>
      </w:pPr>
      <w:r>
        <w:br w:type="page"/>
      </w:r>
    </w:p>
    <w:p w14:paraId="43C137D6">
      <w:pPr>
        <w:rPr>
          <w:rFonts w:hint="eastAsia" w:eastAsia="宋体"/>
          <w:lang w:eastAsia="zh-CN"/>
        </w:rPr>
        <w:sectPr>
          <w:pgSz w:w="11906" w:h="16838"/>
          <w:pgMar w:top="1440" w:right="1800" w:bottom="1440" w:left="1800" w:header="851" w:footer="992" w:gutter="0"/>
          <w:cols w:space="720" w:num="1"/>
          <w:docGrid w:type="lines" w:linePitch="312" w:charSpace="0"/>
        </w:sectPr>
      </w:pPr>
    </w:p>
    <w:p w14:paraId="2A9DFABB">
      <w:r>
        <w:drawing>
          <wp:inline distT="0" distB="0" distL="114300" distR="114300">
            <wp:extent cx="5259070" cy="7450455"/>
            <wp:effectExtent l="0" t="0" r="17780" b="171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a:stretch>
                      <a:fillRect/>
                    </a:stretch>
                  </pic:blipFill>
                  <pic:spPr>
                    <a:xfrm>
                      <a:off x="0" y="0"/>
                      <a:ext cx="5259070" cy="7450455"/>
                    </a:xfrm>
                    <a:prstGeom prst="rect">
                      <a:avLst/>
                    </a:prstGeom>
                    <a:noFill/>
                    <a:ln>
                      <a:noFill/>
                    </a:ln>
                  </pic:spPr>
                </pic:pic>
              </a:graphicData>
            </a:graphic>
          </wp:inline>
        </w:drawing>
      </w:r>
      <w:r>
        <w:br w:type="page"/>
      </w:r>
      <w:r>
        <w:drawing>
          <wp:inline distT="0" distB="0" distL="114300" distR="114300">
            <wp:extent cx="5259070" cy="7450455"/>
            <wp:effectExtent l="0" t="0" r="17780" b="171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a:stretch>
                      <a:fillRect/>
                    </a:stretch>
                  </pic:blipFill>
                  <pic:spPr>
                    <a:xfrm>
                      <a:off x="0" y="0"/>
                      <a:ext cx="5259070" cy="7450455"/>
                    </a:xfrm>
                    <a:prstGeom prst="rect">
                      <a:avLst/>
                    </a:prstGeom>
                    <a:noFill/>
                    <a:ln>
                      <a:noFill/>
                    </a:ln>
                  </pic:spPr>
                </pic:pic>
              </a:graphicData>
            </a:graphic>
          </wp:inline>
        </w:drawing>
      </w:r>
      <w:r>
        <w:br w:type="page"/>
      </w:r>
    </w:p>
    <w:p w14:paraId="15BAEE2D">
      <w:pPr>
        <w:pStyle w:val="2"/>
      </w:pPr>
    </w:p>
    <w:p w14:paraId="7B5ED8B3">
      <w:pPr>
        <w:rPr>
          <w:rFonts w:hint="eastAsia" w:eastAsia="宋体"/>
          <w:lang w:eastAsia="zh-CN"/>
        </w:rPr>
      </w:pPr>
      <w:r>
        <w:rPr>
          <w:rFonts w:hint="eastAsia" w:eastAsia="宋体"/>
          <w:lang w:eastAsia="zh-CN"/>
        </w:rPr>
        <w:drawing>
          <wp:inline distT="0" distB="0" distL="114300" distR="114300">
            <wp:extent cx="5246370" cy="6995160"/>
            <wp:effectExtent l="0" t="0" r="11430" b="15240"/>
            <wp:docPr id="6" name="图片 6" descr="IMG_20260203_12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60203_125958"/>
                    <pic:cNvPicPr>
                      <a:picLocks noChangeAspect="1"/>
                    </pic:cNvPicPr>
                  </pic:nvPicPr>
                  <pic:blipFill>
                    <a:blip r:embed="rId6"/>
                    <a:stretch>
                      <a:fillRect/>
                    </a:stretch>
                  </pic:blipFill>
                  <pic:spPr>
                    <a:xfrm>
                      <a:off x="0" y="0"/>
                      <a:ext cx="5246370" cy="6995160"/>
                    </a:xfrm>
                    <a:prstGeom prst="rect">
                      <a:avLst/>
                    </a:prstGeom>
                  </pic:spPr>
                </pic:pic>
              </a:graphicData>
            </a:graphic>
          </wp:inline>
        </w:drawing>
      </w:r>
      <w:r>
        <w:drawing>
          <wp:inline distT="0" distB="0" distL="114300" distR="114300">
            <wp:extent cx="5246370" cy="6995160"/>
            <wp:effectExtent l="0" t="0" r="11430" b="15240"/>
            <wp:docPr id="7" name="图片 7" descr="IMG_20260203_12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60203_125134"/>
                    <pic:cNvPicPr>
                      <a:picLocks noChangeAspect="1"/>
                    </pic:cNvPicPr>
                  </pic:nvPicPr>
                  <pic:blipFill>
                    <a:blip r:embed="rId7"/>
                    <a:stretch>
                      <a:fillRect/>
                    </a:stretch>
                  </pic:blipFill>
                  <pic:spPr>
                    <a:xfrm>
                      <a:off x="0" y="0"/>
                      <a:ext cx="5246370" cy="6995160"/>
                    </a:xfrm>
                    <a:prstGeom prst="rect">
                      <a:avLst/>
                    </a:prstGeom>
                  </pic:spPr>
                </pic:pic>
              </a:graphicData>
            </a:graphic>
          </wp:inline>
        </w:drawing>
      </w:r>
      <w:r>
        <w:br w:type="page"/>
      </w:r>
    </w:p>
    <w:p w14:paraId="76F6EF7C">
      <w:r>
        <w:drawing>
          <wp:inline distT="0" distB="0" distL="114300" distR="114300">
            <wp:extent cx="5271135" cy="7453630"/>
            <wp:effectExtent l="0" t="0" r="5715"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71135" cy="7453630"/>
                    </a:xfrm>
                    <a:prstGeom prst="rect">
                      <a:avLst/>
                    </a:prstGeom>
                    <a:noFill/>
                    <a:ln>
                      <a:noFill/>
                    </a:ln>
                  </pic:spPr>
                </pic:pic>
              </a:graphicData>
            </a:graphic>
          </wp:inline>
        </w:drawing>
      </w:r>
    </w:p>
    <w:p w14:paraId="3063B77D">
      <w:r>
        <w:br w:type="page"/>
      </w:r>
    </w:p>
    <w:p w14:paraId="16D620A9">
      <w:pPr>
        <w:pStyle w:val="2"/>
      </w:pPr>
      <w:r>
        <w:drawing>
          <wp:inline distT="0" distB="0" distL="114300" distR="114300">
            <wp:extent cx="5259070" cy="7450455"/>
            <wp:effectExtent l="0" t="0" r="17780"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59070" cy="7450455"/>
                    </a:xfrm>
                    <a:prstGeom prst="rect">
                      <a:avLst/>
                    </a:prstGeom>
                    <a:noFill/>
                    <a:ln>
                      <a:noFill/>
                    </a:ln>
                  </pic:spPr>
                </pic:pic>
              </a:graphicData>
            </a:graphic>
          </wp:inline>
        </w:drawing>
      </w:r>
    </w:p>
    <w:p w14:paraId="21C9E949">
      <w:r>
        <w:br w:type="page"/>
      </w:r>
    </w:p>
    <w:p w14:paraId="79870BEA">
      <w:pPr>
        <w:rPr>
          <w:rFonts w:hint="eastAsia"/>
          <w:lang w:eastAsia="zh-CN"/>
        </w:rPr>
      </w:pPr>
      <w:r>
        <w:drawing>
          <wp:inline distT="0" distB="0" distL="114300" distR="114300">
            <wp:extent cx="5259070" cy="7450455"/>
            <wp:effectExtent l="0" t="0" r="17780" b="171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59070" cy="7450455"/>
                    </a:xfrm>
                    <a:prstGeom prst="rect">
                      <a:avLst/>
                    </a:prstGeom>
                    <a:noFill/>
                    <a:ln>
                      <a:noFill/>
                    </a:ln>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183855F"/>
    <w:multiLevelType w:val="singleLevel"/>
    <w:tmpl w:val="5183855F"/>
    <w:lvl w:ilvl="0" w:tentative="0">
      <w:start w:val="1"/>
      <w:numFmt w:val="chineseCounting"/>
      <w:pStyle w:val="46"/>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JmYThmZTViOGE1ZWVkN2ZmYjcyMzk1NTlmNjQ2YjIifQ=="/>
    <w:docVar w:name="KSO_WPS_MARK_KEY" w:val="f0c94484-18bf-41d0-a894-232196517eb0"/>
  </w:docVars>
  <w:rsids>
    <w:rsidRoot w:val="00E3751A"/>
    <w:rsid w:val="00047227"/>
    <w:rsid w:val="00303C12"/>
    <w:rsid w:val="003A7C06"/>
    <w:rsid w:val="004340C8"/>
    <w:rsid w:val="004D1AF7"/>
    <w:rsid w:val="005858BE"/>
    <w:rsid w:val="00756850"/>
    <w:rsid w:val="007A2261"/>
    <w:rsid w:val="00802085"/>
    <w:rsid w:val="008F01AE"/>
    <w:rsid w:val="00C75118"/>
    <w:rsid w:val="00C82162"/>
    <w:rsid w:val="00D40559"/>
    <w:rsid w:val="00E3751A"/>
    <w:rsid w:val="00FF47EE"/>
    <w:rsid w:val="01381A2C"/>
    <w:rsid w:val="030516AD"/>
    <w:rsid w:val="03463A74"/>
    <w:rsid w:val="03C37305"/>
    <w:rsid w:val="04334FFF"/>
    <w:rsid w:val="04543719"/>
    <w:rsid w:val="045937F4"/>
    <w:rsid w:val="04664971"/>
    <w:rsid w:val="04714B20"/>
    <w:rsid w:val="04D11406"/>
    <w:rsid w:val="04E23328"/>
    <w:rsid w:val="050505ED"/>
    <w:rsid w:val="056B2B55"/>
    <w:rsid w:val="057E7A8F"/>
    <w:rsid w:val="059D6561"/>
    <w:rsid w:val="06007F0A"/>
    <w:rsid w:val="062E2CC9"/>
    <w:rsid w:val="06EF6353"/>
    <w:rsid w:val="07D32EB9"/>
    <w:rsid w:val="07E46E00"/>
    <w:rsid w:val="0814540D"/>
    <w:rsid w:val="08300409"/>
    <w:rsid w:val="08302FF8"/>
    <w:rsid w:val="08E81855"/>
    <w:rsid w:val="08ED0200"/>
    <w:rsid w:val="096769A3"/>
    <w:rsid w:val="096F1B10"/>
    <w:rsid w:val="09806C85"/>
    <w:rsid w:val="0A0E1339"/>
    <w:rsid w:val="0A173A74"/>
    <w:rsid w:val="0A4F7A65"/>
    <w:rsid w:val="0BC750FD"/>
    <w:rsid w:val="0D073DB5"/>
    <w:rsid w:val="0D081033"/>
    <w:rsid w:val="0E564C35"/>
    <w:rsid w:val="0EC817E1"/>
    <w:rsid w:val="0F1C6141"/>
    <w:rsid w:val="0F2A5ABA"/>
    <w:rsid w:val="0FFD1618"/>
    <w:rsid w:val="10806817"/>
    <w:rsid w:val="10A546BD"/>
    <w:rsid w:val="10AE1BD9"/>
    <w:rsid w:val="10D96D50"/>
    <w:rsid w:val="13FA1B12"/>
    <w:rsid w:val="141C622E"/>
    <w:rsid w:val="147F5532"/>
    <w:rsid w:val="156C314D"/>
    <w:rsid w:val="15CB68F5"/>
    <w:rsid w:val="16B10157"/>
    <w:rsid w:val="172B1294"/>
    <w:rsid w:val="17505468"/>
    <w:rsid w:val="17550DB0"/>
    <w:rsid w:val="17810296"/>
    <w:rsid w:val="17C601C4"/>
    <w:rsid w:val="18301429"/>
    <w:rsid w:val="188D103C"/>
    <w:rsid w:val="190E35A0"/>
    <w:rsid w:val="191A70DD"/>
    <w:rsid w:val="19992B53"/>
    <w:rsid w:val="19CE23A1"/>
    <w:rsid w:val="19D014C8"/>
    <w:rsid w:val="19F45335"/>
    <w:rsid w:val="1A4E76A5"/>
    <w:rsid w:val="1ADA1B6B"/>
    <w:rsid w:val="1B63147C"/>
    <w:rsid w:val="1C3244B8"/>
    <w:rsid w:val="1C461987"/>
    <w:rsid w:val="1C4B6410"/>
    <w:rsid w:val="1C67088B"/>
    <w:rsid w:val="1C970306"/>
    <w:rsid w:val="1CD13F56"/>
    <w:rsid w:val="1CD14F1F"/>
    <w:rsid w:val="1CEA3399"/>
    <w:rsid w:val="1DA60EEB"/>
    <w:rsid w:val="1ED50FA6"/>
    <w:rsid w:val="1F0F5E71"/>
    <w:rsid w:val="1F142A61"/>
    <w:rsid w:val="1F2A023E"/>
    <w:rsid w:val="1F642D26"/>
    <w:rsid w:val="1FAC2BD1"/>
    <w:rsid w:val="1FF45CE7"/>
    <w:rsid w:val="2107263D"/>
    <w:rsid w:val="214C4107"/>
    <w:rsid w:val="21A13C43"/>
    <w:rsid w:val="22366385"/>
    <w:rsid w:val="224031F6"/>
    <w:rsid w:val="2282270A"/>
    <w:rsid w:val="229735F9"/>
    <w:rsid w:val="22AD2D70"/>
    <w:rsid w:val="23532900"/>
    <w:rsid w:val="23B37411"/>
    <w:rsid w:val="242E50EF"/>
    <w:rsid w:val="244E33BB"/>
    <w:rsid w:val="24775815"/>
    <w:rsid w:val="24BD596D"/>
    <w:rsid w:val="24D12D46"/>
    <w:rsid w:val="25FB3FD9"/>
    <w:rsid w:val="271635D9"/>
    <w:rsid w:val="27280E94"/>
    <w:rsid w:val="27F61196"/>
    <w:rsid w:val="28814447"/>
    <w:rsid w:val="297A3C20"/>
    <w:rsid w:val="298C1931"/>
    <w:rsid w:val="29925FE1"/>
    <w:rsid w:val="29C972C6"/>
    <w:rsid w:val="2AB26CD9"/>
    <w:rsid w:val="2BD9110B"/>
    <w:rsid w:val="2C9D3BC7"/>
    <w:rsid w:val="2CF2686E"/>
    <w:rsid w:val="2E925474"/>
    <w:rsid w:val="2E9E272A"/>
    <w:rsid w:val="2EAE6403"/>
    <w:rsid w:val="31055C5A"/>
    <w:rsid w:val="3256187C"/>
    <w:rsid w:val="3259568C"/>
    <w:rsid w:val="32A66941"/>
    <w:rsid w:val="334B2415"/>
    <w:rsid w:val="339918AA"/>
    <w:rsid w:val="33BD2F62"/>
    <w:rsid w:val="341F407D"/>
    <w:rsid w:val="34A214B2"/>
    <w:rsid w:val="34BD4A82"/>
    <w:rsid w:val="351530F3"/>
    <w:rsid w:val="35211925"/>
    <w:rsid w:val="35524794"/>
    <w:rsid w:val="35583A15"/>
    <w:rsid w:val="36577381"/>
    <w:rsid w:val="366115C7"/>
    <w:rsid w:val="37285AB1"/>
    <w:rsid w:val="375C6F30"/>
    <w:rsid w:val="3781684D"/>
    <w:rsid w:val="3823766B"/>
    <w:rsid w:val="396748BA"/>
    <w:rsid w:val="3A751F6D"/>
    <w:rsid w:val="3AB6680E"/>
    <w:rsid w:val="3AD61658"/>
    <w:rsid w:val="3ADD7367"/>
    <w:rsid w:val="3AF50232"/>
    <w:rsid w:val="3B251FB8"/>
    <w:rsid w:val="3B3712DA"/>
    <w:rsid w:val="3B622014"/>
    <w:rsid w:val="3C7D28D5"/>
    <w:rsid w:val="3CE43836"/>
    <w:rsid w:val="3D027FC2"/>
    <w:rsid w:val="3D3D4FC4"/>
    <w:rsid w:val="3D4729D1"/>
    <w:rsid w:val="3DEB4A20"/>
    <w:rsid w:val="3E2D53F7"/>
    <w:rsid w:val="3EB62D94"/>
    <w:rsid w:val="3EEC7F81"/>
    <w:rsid w:val="3FA71C20"/>
    <w:rsid w:val="3FDA2F9E"/>
    <w:rsid w:val="40606FB3"/>
    <w:rsid w:val="408A0869"/>
    <w:rsid w:val="40995D81"/>
    <w:rsid w:val="40DC28F6"/>
    <w:rsid w:val="416C231C"/>
    <w:rsid w:val="41B906C9"/>
    <w:rsid w:val="41C84509"/>
    <w:rsid w:val="421E5E45"/>
    <w:rsid w:val="42305ED2"/>
    <w:rsid w:val="42355182"/>
    <w:rsid w:val="42A00721"/>
    <w:rsid w:val="43120BD6"/>
    <w:rsid w:val="43B14016"/>
    <w:rsid w:val="43F50190"/>
    <w:rsid w:val="4432163F"/>
    <w:rsid w:val="44476729"/>
    <w:rsid w:val="4546743F"/>
    <w:rsid w:val="45A13141"/>
    <w:rsid w:val="46966FC2"/>
    <w:rsid w:val="47EE36B2"/>
    <w:rsid w:val="485E76F8"/>
    <w:rsid w:val="48AF6D87"/>
    <w:rsid w:val="49CE6C17"/>
    <w:rsid w:val="4A4F2E96"/>
    <w:rsid w:val="4CDE060B"/>
    <w:rsid w:val="4E3D5914"/>
    <w:rsid w:val="4E461B89"/>
    <w:rsid w:val="4F4C1097"/>
    <w:rsid w:val="4F540982"/>
    <w:rsid w:val="4F844CD5"/>
    <w:rsid w:val="4FF32FA8"/>
    <w:rsid w:val="50EA0B03"/>
    <w:rsid w:val="512A57AB"/>
    <w:rsid w:val="515A3854"/>
    <w:rsid w:val="5276471A"/>
    <w:rsid w:val="52CC47C0"/>
    <w:rsid w:val="52E07D49"/>
    <w:rsid w:val="534122A6"/>
    <w:rsid w:val="5374510A"/>
    <w:rsid w:val="53F5005F"/>
    <w:rsid w:val="54BA1C16"/>
    <w:rsid w:val="561327C0"/>
    <w:rsid w:val="56183FCE"/>
    <w:rsid w:val="563D2137"/>
    <w:rsid w:val="56836AB2"/>
    <w:rsid w:val="56BC2DE3"/>
    <w:rsid w:val="56D42C4D"/>
    <w:rsid w:val="57301D47"/>
    <w:rsid w:val="57487036"/>
    <w:rsid w:val="575D6537"/>
    <w:rsid w:val="577B3C9E"/>
    <w:rsid w:val="57800B40"/>
    <w:rsid w:val="57CD2DFE"/>
    <w:rsid w:val="5815058C"/>
    <w:rsid w:val="58244FE5"/>
    <w:rsid w:val="584B13F6"/>
    <w:rsid w:val="59217B49"/>
    <w:rsid w:val="59656964"/>
    <w:rsid w:val="59D926D2"/>
    <w:rsid w:val="5A034680"/>
    <w:rsid w:val="5AA52A54"/>
    <w:rsid w:val="5BC05975"/>
    <w:rsid w:val="5BD743DE"/>
    <w:rsid w:val="5D63281F"/>
    <w:rsid w:val="5D706898"/>
    <w:rsid w:val="5D731EE5"/>
    <w:rsid w:val="5D7C7100"/>
    <w:rsid w:val="5D89238E"/>
    <w:rsid w:val="5D8C28DB"/>
    <w:rsid w:val="5DA30A1C"/>
    <w:rsid w:val="5E3F6556"/>
    <w:rsid w:val="5E4A7A0E"/>
    <w:rsid w:val="5E8C3C37"/>
    <w:rsid w:val="5EBC6D64"/>
    <w:rsid w:val="5ED03402"/>
    <w:rsid w:val="5F182B4A"/>
    <w:rsid w:val="5FD163AE"/>
    <w:rsid w:val="60057BEA"/>
    <w:rsid w:val="60B44CEE"/>
    <w:rsid w:val="60B460AF"/>
    <w:rsid w:val="619747AF"/>
    <w:rsid w:val="621C336D"/>
    <w:rsid w:val="62A05F08"/>
    <w:rsid w:val="62EA5BC6"/>
    <w:rsid w:val="630737FB"/>
    <w:rsid w:val="63C25DAA"/>
    <w:rsid w:val="64126CC6"/>
    <w:rsid w:val="648F0582"/>
    <w:rsid w:val="64F540D9"/>
    <w:rsid w:val="6559245A"/>
    <w:rsid w:val="65622F6B"/>
    <w:rsid w:val="658C415A"/>
    <w:rsid w:val="65BD6D5B"/>
    <w:rsid w:val="66C53C4A"/>
    <w:rsid w:val="673B297E"/>
    <w:rsid w:val="678F323C"/>
    <w:rsid w:val="68233EA0"/>
    <w:rsid w:val="68A30209"/>
    <w:rsid w:val="68C86C57"/>
    <w:rsid w:val="6A3C5D07"/>
    <w:rsid w:val="6AA57F27"/>
    <w:rsid w:val="6B185020"/>
    <w:rsid w:val="6CC37EB5"/>
    <w:rsid w:val="6D1139EB"/>
    <w:rsid w:val="6D3457FF"/>
    <w:rsid w:val="6E2A4841"/>
    <w:rsid w:val="6EEF19E2"/>
    <w:rsid w:val="6F272686"/>
    <w:rsid w:val="6F3D1DEF"/>
    <w:rsid w:val="6F963F3C"/>
    <w:rsid w:val="6FE54B28"/>
    <w:rsid w:val="71276AD1"/>
    <w:rsid w:val="7160445C"/>
    <w:rsid w:val="71697143"/>
    <w:rsid w:val="716C6A50"/>
    <w:rsid w:val="7207397B"/>
    <w:rsid w:val="729E3A33"/>
    <w:rsid w:val="72C43B37"/>
    <w:rsid w:val="737D1DEA"/>
    <w:rsid w:val="748B2EA1"/>
    <w:rsid w:val="74AE0F56"/>
    <w:rsid w:val="76391AC6"/>
    <w:rsid w:val="7672193D"/>
    <w:rsid w:val="770403EE"/>
    <w:rsid w:val="771C50B0"/>
    <w:rsid w:val="771E190D"/>
    <w:rsid w:val="77832F9B"/>
    <w:rsid w:val="77C519A6"/>
    <w:rsid w:val="784004D1"/>
    <w:rsid w:val="78725E9B"/>
    <w:rsid w:val="7877129B"/>
    <w:rsid w:val="79302291"/>
    <w:rsid w:val="797D7F1B"/>
    <w:rsid w:val="799B33AA"/>
    <w:rsid w:val="79FE7AE0"/>
    <w:rsid w:val="7A083C89"/>
    <w:rsid w:val="7AA15E8B"/>
    <w:rsid w:val="7AC314B7"/>
    <w:rsid w:val="7B424553"/>
    <w:rsid w:val="7BB96559"/>
    <w:rsid w:val="7C210095"/>
    <w:rsid w:val="7C304A31"/>
    <w:rsid w:val="7C6520EB"/>
    <w:rsid w:val="7D1943FF"/>
    <w:rsid w:val="7D7347EF"/>
    <w:rsid w:val="7D9B14E2"/>
    <w:rsid w:val="7DB761A8"/>
    <w:rsid w:val="7DD52B5A"/>
    <w:rsid w:val="7E522673"/>
    <w:rsid w:val="7FE74340"/>
    <w:rsid w:val="7FFF0A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autoRedefine/>
    <w:qFormat/>
    <w:uiPriority w:val="0"/>
    <w:pPr>
      <w:spacing w:before="100" w:beforeAutospacing="1" w:after="100" w:afterAutospacing="1"/>
      <w:jc w:val="left"/>
      <w:outlineLvl w:val="0"/>
    </w:pPr>
    <w:rPr>
      <w:rFonts w:hint="eastAsia" w:ascii="宋体" w:hAnsi="宋体"/>
      <w:b/>
      <w:kern w:val="44"/>
      <w:sz w:val="48"/>
      <w:szCs w:val="48"/>
    </w:rPr>
  </w:style>
  <w:style w:type="paragraph" w:styleId="4">
    <w:name w:val="heading 2"/>
    <w:basedOn w:val="1"/>
    <w:next w:val="1"/>
    <w:autoRedefine/>
    <w:qFormat/>
    <w:uiPriority w:val="0"/>
    <w:pPr>
      <w:keepNext/>
      <w:keepLines/>
      <w:snapToGrid w:val="0"/>
      <w:spacing w:beforeLines="50" w:afterLines="50"/>
      <w:outlineLvl w:val="1"/>
    </w:pPr>
    <w:rPr>
      <w:rFonts w:eastAsia="楷体_GB2312" w:cs="MS Gothic"/>
      <w:snapToGrid w:val="0"/>
      <w:kern w:val="0"/>
      <w:sz w:val="32"/>
      <w:szCs w:val="28"/>
    </w:rPr>
  </w:style>
  <w:style w:type="paragraph" w:styleId="5">
    <w:name w:val="heading 3"/>
    <w:basedOn w:val="1"/>
    <w:next w:val="1"/>
    <w:autoRedefine/>
    <w:unhideWhenUsed/>
    <w:qFormat/>
    <w:uiPriority w:val="0"/>
    <w:pPr>
      <w:outlineLvl w:val="2"/>
    </w:pPr>
    <w:rPr>
      <w:rFonts w:asciiTheme="majorHAnsi" w:hAnsiTheme="majorHAnsi" w:eastAsiaTheme="majorEastAsia" w:cstheme="majorBidi"/>
      <w:b/>
      <w:bCs/>
      <w:sz w:val="28"/>
      <w:szCs w:val="32"/>
    </w:rPr>
  </w:style>
  <w:style w:type="paragraph" w:styleId="6">
    <w:name w:val="heading 4"/>
    <w:basedOn w:val="1"/>
    <w:next w:val="1"/>
    <w:autoRedefine/>
    <w:unhideWhenUsed/>
    <w:qFormat/>
    <w:uiPriority w:val="0"/>
    <w:pPr>
      <w:keepNext/>
      <w:keepLines/>
      <w:outlineLvl w:val="3"/>
    </w:pPr>
    <w:rPr>
      <w:b/>
    </w:rPr>
  </w:style>
  <w:style w:type="character" w:default="1" w:styleId="24">
    <w:name w:val="Default Paragraph Font"/>
    <w:autoRedefine/>
    <w:semiHidden/>
    <w:unhideWhenUsed/>
    <w:qFormat/>
    <w:uiPriority w:val="1"/>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1"/>
    <w:autoRedefine/>
    <w:qFormat/>
    <w:uiPriority w:val="99"/>
    <w:rPr>
      <w:sz w:val="28"/>
      <w:szCs w:val="28"/>
    </w:rPr>
  </w:style>
  <w:style w:type="paragraph" w:styleId="7">
    <w:name w:val="Normal Indent"/>
    <w:basedOn w:val="1"/>
    <w:autoRedefine/>
    <w:qFormat/>
    <w:uiPriority w:val="0"/>
    <w:pPr>
      <w:adjustRightInd w:val="0"/>
      <w:spacing w:line="360" w:lineRule="atLeast"/>
      <w:ind w:firstLine="420"/>
      <w:jc w:val="left"/>
      <w:textAlignment w:val="baseline"/>
    </w:pPr>
    <w:rPr>
      <w:rFonts w:eastAsia="仿宋_GB2312"/>
      <w:kern w:val="0"/>
      <w:sz w:val="28"/>
      <w:szCs w:val="20"/>
    </w:rPr>
  </w:style>
  <w:style w:type="paragraph" w:styleId="8">
    <w:name w:val="annotation text"/>
    <w:basedOn w:val="1"/>
    <w:qFormat/>
    <w:uiPriority w:val="0"/>
    <w:pPr>
      <w:jc w:val="left"/>
    </w:pPr>
  </w:style>
  <w:style w:type="paragraph" w:styleId="9">
    <w:name w:val="Body Text Indent"/>
    <w:basedOn w:val="1"/>
    <w:next w:val="2"/>
    <w:autoRedefine/>
    <w:unhideWhenUsed/>
    <w:qFormat/>
    <w:uiPriority w:val="99"/>
    <w:pPr>
      <w:spacing w:after="120"/>
      <w:ind w:left="420" w:leftChars="200"/>
    </w:pPr>
  </w:style>
  <w:style w:type="paragraph" w:styleId="10">
    <w:name w:val="toc 5"/>
    <w:basedOn w:val="1"/>
    <w:next w:val="1"/>
    <w:autoRedefine/>
    <w:semiHidden/>
    <w:qFormat/>
    <w:uiPriority w:val="0"/>
    <w:pPr>
      <w:ind w:left="1120"/>
      <w:jc w:val="left"/>
    </w:pPr>
    <w:rPr>
      <w:sz w:val="18"/>
      <w:szCs w:val="18"/>
    </w:rPr>
  </w:style>
  <w:style w:type="paragraph" w:styleId="11">
    <w:name w:val="Plain Text"/>
    <w:basedOn w:val="1"/>
    <w:autoRedefine/>
    <w:qFormat/>
    <w:uiPriority w:val="0"/>
    <w:rPr>
      <w:rFonts w:ascii="宋体" w:hAnsi="Courier New" w:cs="Courier New"/>
      <w:szCs w:val="21"/>
    </w:rPr>
  </w:style>
  <w:style w:type="paragraph" w:styleId="12">
    <w:name w:val="Date"/>
    <w:basedOn w:val="1"/>
    <w:next w:val="1"/>
    <w:link w:val="50"/>
    <w:autoRedefine/>
    <w:qFormat/>
    <w:uiPriority w:val="0"/>
    <w:pPr>
      <w:ind w:left="100" w:leftChars="2500"/>
    </w:pPr>
    <w:rPr>
      <w:rFonts w:ascii="Times New Roman" w:hAnsi="Times New Roman"/>
      <w:b/>
      <w:bCs/>
      <w:sz w:val="28"/>
    </w:rPr>
  </w:style>
  <w:style w:type="paragraph" w:styleId="13">
    <w:name w:val="Body Text Indent 2"/>
    <w:basedOn w:val="1"/>
    <w:autoRedefine/>
    <w:qFormat/>
    <w:uiPriority w:val="0"/>
    <w:pPr>
      <w:ind w:firstLine="538" w:firstLineChars="192"/>
    </w:pPr>
    <w:rPr>
      <w:rFonts w:ascii="宋体" w:hAnsi="宋体"/>
      <w:sz w:val="28"/>
    </w:rPr>
  </w:style>
  <w:style w:type="paragraph" w:styleId="14">
    <w:name w:val="Balloon Text"/>
    <w:basedOn w:val="1"/>
    <w:link w:val="36"/>
    <w:autoRedefine/>
    <w:qFormat/>
    <w:uiPriority w:val="0"/>
    <w:rPr>
      <w:sz w:val="18"/>
      <w:szCs w:val="18"/>
    </w:rPr>
  </w:style>
  <w:style w:type="paragraph" w:styleId="15">
    <w:name w:val="footer"/>
    <w:basedOn w:val="1"/>
    <w:autoRedefine/>
    <w:qFormat/>
    <w:uiPriority w:val="99"/>
    <w:pPr>
      <w:tabs>
        <w:tab w:val="center" w:pos="4153"/>
        <w:tab w:val="right" w:pos="8306"/>
      </w:tabs>
      <w:snapToGrid w:val="0"/>
    </w:pPr>
    <w:rPr>
      <w:sz w:val="18"/>
      <w:szCs w:val="18"/>
    </w:rPr>
  </w:style>
  <w:style w:type="paragraph" w:styleId="16">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autoRedefine/>
    <w:qFormat/>
    <w:uiPriority w:val="39"/>
    <w:pPr>
      <w:jc w:val="left"/>
    </w:pPr>
    <w:rPr>
      <w:rFonts w:ascii="宋体"/>
      <w:b/>
      <w:bCs/>
      <w:caps/>
      <w:sz w:val="20"/>
      <w:szCs w:val="20"/>
    </w:rPr>
  </w:style>
  <w:style w:type="paragraph" w:styleId="18">
    <w:name w:val="Body Text Indent 3"/>
    <w:basedOn w:val="1"/>
    <w:autoRedefine/>
    <w:qFormat/>
    <w:uiPriority w:val="0"/>
    <w:pPr>
      <w:ind w:firstLine="630"/>
    </w:pPr>
    <w:rPr>
      <w:rFonts w:ascii="Times New Roman" w:hAnsi="Times New Roman" w:eastAsia="仿宋_GB2312"/>
      <w:sz w:val="28"/>
    </w:rPr>
  </w:style>
  <w:style w:type="paragraph" w:styleId="19">
    <w:name w:val="Normal (Web)"/>
    <w:basedOn w:val="1"/>
    <w:next w:val="20"/>
    <w:autoRedefine/>
    <w:qFormat/>
    <w:uiPriority w:val="0"/>
    <w:pPr>
      <w:spacing w:before="100" w:beforeAutospacing="1" w:after="100" w:afterAutospacing="1"/>
      <w:jc w:val="left"/>
    </w:pPr>
    <w:rPr>
      <w:kern w:val="0"/>
      <w:sz w:val="24"/>
    </w:rPr>
  </w:style>
  <w:style w:type="paragraph" w:customStyle="1" w:styleId="20">
    <w:name w:val="toc 84"/>
    <w:next w:val="1"/>
    <w:autoRedefine/>
    <w:qFormat/>
    <w:uiPriority w:val="0"/>
    <w:pPr>
      <w:wordWrap w:val="0"/>
      <w:ind w:left="2975"/>
      <w:jc w:val="both"/>
    </w:pPr>
    <w:rPr>
      <w:rFonts w:ascii="Times New Roman" w:hAnsi="Times New Roman" w:eastAsia="宋体" w:cs="Times New Roman"/>
      <w:sz w:val="21"/>
      <w:szCs w:val="22"/>
      <w:lang w:val="en-US" w:eastAsia="zh-CN" w:bidi="ar-SA"/>
    </w:rPr>
  </w:style>
  <w:style w:type="paragraph" w:styleId="21">
    <w:name w:val="Body Text First Indent"/>
    <w:basedOn w:val="2"/>
    <w:autoRedefine/>
    <w:qFormat/>
    <w:uiPriority w:val="0"/>
    <w:pPr>
      <w:spacing w:after="120"/>
      <w:ind w:firstLine="420" w:firstLineChars="100"/>
    </w:pPr>
  </w:style>
  <w:style w:type="paragraph" w:styleId="22">
    <w:name w:val="Body Text First Indent 2"/>
    <w:basedOn w:val="2"/>
    <w:next w:val="1"/>
    <w:autoRedefine/>
    <w:unhideWhenUsed/>
    <w:qFormat/>
    <w:uiPriority w:val="99"/>
    <w:pPr>
      <w:ind w:firstLine="420" w:firstLineChars="200"/>
    </w:pPr>
  </w:style>
  <w:style w:type="character" w:styleId="25">
    <w:name w:val="annotation reference"/>
    <w:qFormat/>
    <w:uiPriority w:val="0"/>
    <w:rPr>
      <w:sz w:val="21"/>
      <w:szCs w:val="21"/>
    </w:rPr>
  </w:style>
  <w:style w:type="paragraph" w:customStyle="1" w:styleId="26">
    <w:name w:val="Default1"/>
    <w:basedOn w:val="27"/>
    <w:next w:val="1"/>
    <w:autoRedefine/>
    <w:qFormat/>
    <w:uiPriority w:val="0"/>
    <w:pPr>
      <w:widowControl w:val="0"/>
      <w:autoSpaceDE w:val="0"/>
      <w:autoSpaceDN w:val="0"/>
      <w:adjustRightInd w:val="0"/>
    </w:pPr>
    <w:rPr>
      <w:rFonts w:ascii="宋体" w:cs="宋体"/>
      <w:color w:val="000000"/>
      <w:sz w:val="24"/>
      <w:szCs w:val="24"/>
      <w:lang w:val="en-US" w:eastAsia="zh-CN"/>
    </w:rPr>
  </w:style>
  <w:style w:type="paragraph" w:customStyle="1" w:styleId="27">
    <w:name w:val="Normal_14_0"/>
    <w:autoRedefine/>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28">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
    <w:name w:val="Default"/>
    <w:basedOn w:val="30"/>
    <w:next w:val="22"/>
    <w:autoRedefine/>
    <w:qFormat/>
    <w:uiPriority w:val="0"/>
    <w:pPr>
      <w:autoSpaceDE w:val="0"/>
      <w:autoSpaceDN w:val="0"/>
    </w:pPr>
    <w:rPr>
      <w:rFonts w:hint="eastAsia" w:ascii="宋体"/>
      <w:sz w:val="24"/>
    </w:rPr>
  </w:style>
  <w:style w:type="paragraph" w:customStyle="1" w:styleId="30">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31">
    <w:name w:val="正文2"/>
    <w:basedOn w:val="1"/>
    <w:autoRedefine/>
    <w:qFormat/>
    <w:uiPriority w:val="0"/>
    <w:pPr>
      <w:spacing w:line="440" w:lineRule="atLeast"/>
      <w:ind w:firstLine="567"/>
    </w:pPr>
    <w:rPr>
      <w:sz w:val="24"/>
      <w:szCs w:val="20"/>
    </w:rPr>
  </w:style>
  <w:style w:type="paragraph" w:customStyle="1" w:styleId="32">
    <w:name w:val="样式 首行缩进:  2 字符"/>
    <w:basedOn w:val="1"/>
    <w:next w:val="1"/>
    <w:autoRedefine/>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33">
    <w:name w:val="li_正文"/>
    <w:basedOn w:val="1"/>
    <w:autoRedefine/>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34">
    <w:name w:val="样式 标题 2"/>
    <w:basedOn w:val="4"/>
    <w:autoRedefine/>
    <w:qFormat/>
    <w:uiPriority w:val="0"/>
    <w:pPr>
      <w:spacing w:beforeLines="0" w:afterLines="0"/>
    </w:pPr>
    <w:rPr>
      <w:rFonts w:ascii="Arial" w:hAnsi="Arial" w:eastAsia="宋体" w:cs="宋体"/>
      <w:snapToGrid/>
      <w:kern w:val="2"/>
      <w:szCs w:val="32"/>
      <w:lang w:val="zh-CN"/>
    </w:rPr>
  </w:style>
  <w:style w:type="paragraph" w:customStyle="1" w:styleId="35">
    <w:name w:val="p0"/>
    <w:basedOn w:val="1"/>
    <w:autoRedefine/>
    <w:qFormat/>
    <w:uiPriority w:val="0"/>
    <w:pPr>
      <w:widowControl/>
    </w:pPr>
    <w:rPr>
      <w:kern w:val="0"/>
      <w:szCs w:val="21"/>
    </w:rPr>
  </w:style>
  <w:style w:type="character" w:customStyle="1" w:styleId="36">
    <w:name w:val="批注框文本 字符"/>
    <w:basedOn w:val="24"/>
    <w:link w:val="14"/>
    <w:autoRedefine/>
    <w:qFormat/>
    <w:uiPriority w:val="0"/>
    <w:rPr>
      <w:rFonts w:ascii="Calibri" w:hAnsi="Calibri"/>
      <w:kern w:val="2"/>
      <w:sz w:val="18"/>
      <w:szCs w:val="18"/>
    </w:rPr>
  </w:style>
  <w:style w:type="paragraph" w:customStyle="1" w:styleId="37">
    <w:name w:val="111"/>
    <w:basedOn w:val="1"/>
    <w:autoRedefine/>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8">
    <w:name w:val="表头 Char Char Char"/>
    <w:basedOn w:val="24"/>
    <w:autoRedefine/>
    <w:qFormat/>
    <w:uiPriority w:val="0"/>
    <w:rPr>
      <w:rFonts w:ascii="宋体" w:hAnsi="Tahoma" w:eastAsia="宋体"/>
      <w:snapToGrid w:val="0"/>
      <w:spacing w:val="6"/>
      <w:kern w:val="10"/>
      <w:sz w:val="24"/>
    </w:rPr>
  </w:style>
  <w:style w:type="paragraph" w:customStyle="1" w:styleId="39">
    <w:name w:val="表格居中"/>
    <w:basedOn w:val="40"/>
    <w:autoRedefine/>
    <w:qFormat/>
    <w:uiPriority w:val="0"/>
    <w:pPr>
      <w:jc w:val="center"/>
    </w:pPr>
  </w:style>
  <w:style w:type="paragraph" w:customStyle="1" w:styleId="40">
    <w:name w:val="表格一"/>
    <w:basedOn w:val="1"/>
    <w:autoRedefine/>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41">
    <w:name w:val="伟灿工贸-表格文字"/>
    <w:basedOn w:val="1"/>
    <w:autoRedefine/>
    <w:qFormat/>
    <w:uiPriority w:val="0"/>
    <w:pPr>
      <w:jc w:val="center"/>
    </w:pPr>
    <w:rPr>
      <w:rFonts w:hint="eastAsia" w:ascii="宋体" w:hAnsi="宋体" w:cs="宋体"/>
      <w:szCs w:val="21"/>
    </w:rPr>
  </w:style>
  <w:style w:type="paragraph" w:customStyle="1" w:styleId="42">
    <w:name w:val="QQ表正文"/>
    <w:basedOn w:val="1"/>
    <w:autoRedefine/>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43">
    <w:name w:val="表名、图名"/>
    <w:basedOn w:val="1"/>
    <w:next w:val="1"/>
    <w:autoRedefine/>
    <w:qFormat/>
    <w:uiPriority w:val="0"/>
    <w:pPr>
      <w:jc w:val="center"/>
    </w:pPr>
    <w:rPr>
      <w:b/>
      <w:bCs/>
    </w:rPr>
  </w:style>
  <w:style w:type="paragraph" w:customStyle="1" w:styleId="44">
    <w:name w:val="标题 三"/>
    <w:basedOn w:val="1"/>
    <w:autoRedefine/>
    <w:qFormat/>
    <w:uiPriority w:val="0"/>
    <w:pPr>
      <w:tabs>
        <w:tab w:val="left" w:pos="3544"/>
      </w:tabs>
      <w:snapToGrid w:val="0"/>
      <w:spacing w:line="360" w:lineRule="auto"/>
      <w:outlineLvl w:val="2"/>
    </w:pPr>
    <w:rPr>
      <w:rFonts w:ascii="宋体" w:hAnsi="宋体"/>
      <w:b/>
      <w:bCs/>
      <w:sz w:val="28"/>
      <w:szCs w:val="28"/>
    </w:rPr>
  </w:style>
  <w:style w:type="paragraph" w:customStyle="1" w:styleId="45">
    <w:name w:val="ENFI正文"/>
    <w:basedOn w:val="1"/>
    <w:autoRedefine/>
    <w:qFormat/>
    <w:uiPriority w:val="0"/>
    <w:pPr>
      <w:adjustRightInd w:val="0"/>
      <w:snapToGrid w:val="0"/>
      <w:ind w:firstLine="567"/>
    </w:pPr>
    <w:rPr>
      <w:rFonts w:eastAsia="仿宋_GB2312"/>
      <w:snapToGrid w:val="0"/>
      <w:color w:val="000000"/>
      <w:kern w:val="0"/>
      <w:sz w:val="28"/>
    </w:rPr>
  </w:style>
  <w:style w:type="paragraph" w:customStyle="1" w:styleId="46">
    <w:name w:val="工艺序号"/>
    <w:basedOn w:val="1"/>
    <w:autoRedefine/>
    <w:qFormat/>
    <w:uiPriority w:val="0"/>
    <w:pPr>
      <w:numPr>
        <w:ilvl w:val="0"/>
        <w:numId w:val="1"/>
      </w:numPr>
    </w:pPr>
    <w:rPr>
      <w:b/>
      <w:bCs/>
    </w:rPr>
  </w:style>
  <w:style w:type="paragraph" w:customStyle="1" w:styleId="47">
    <w:name w:val="伟灿-表格文字"/>
    <w:basedOn w:val="1"/>
    <w:autoRedefine/>
    <w:qFormat/>
    <w:uiPriority w:val="0"/>
    <w:pPr>
      <w:jc w:val="center"/>
    </w:pPr>
    <w:rPr>
      <w:rFonts w:hint="eastAsia" w:ascii="宋体" w:hAnsi="宋体" w:cs="宋体"/>
      <w:szCs w:val="21"/>
    </w:rPr>
  </w:style>
  <w:style w:type="paragraph" w:styleId="48">
    <w:name w:val="List Paragraph"/>
    <w:basedOn w:val="1"/>
    <w:autoRedefine/>
    <w:qFormat/>
    <w:uiPriority w:val="99"/>
    <w:pPr>
      <w:ind w:firstLine="420" w:firstLineChars="200"/>
    </w:pPr>
  </w:style>
  <w:style w:type="paragraph" w:customStyle="1" w:styleId="49">
    <w:name w:val="表格1（标题）"/>
    <w:basedOn w:val="1"/>
    <w:autoRedefine/>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50">
    <w:name w:val="日期 字符"/>
    <w:basedOn w:val="24"/>
    <w:link w:val="12"/>
    <w:autoRedefine/>
    <w:qFormat/>
    <w:uiPriority w:val="0"/>
    <w:rPr>
      <w:b/>
      <w:bCs/>
      <w:kern w:val="2"/>
      <w:sz w:val="28"/>
      <w:szCs w:val="24"/>
    </w:rPr>
  </w:style>
  <w:style w:type="paragraph" w:customStyle="1" w:styleId="51">
    <w:name w:val="AAA"/>
    <w:basedOn w:val="1"/>
    <w:qFormat/>
    <w:uiPriority w:val="0"/>
    <w:pPr>
      <w:ind w:firstLine="200" w:firstLineChars="200"/>
      <w:contextualSpacing/>
    </w:pPr>
    <w:rPr>
      <w:color w:val="000000"/>
      <w:szCs w:val="24"/>
    </w:rPr>
  </w:style>
  <w:style w:type="paragraph" w:customStyle="1" w:styleId="52">
    <w:name w:val="BBB"/>
    <w:qFormat/>
    <w:uiPriority w:val="99"/>
    <w:pPr>
      <w:spacing w:after="160" w:line="278" w:lineRule="auto"/>
      <w:jc w:val="center"/>
    </w:pPr>
    <w:rPr>
      <w:rFonts w:ascii="宋体" w:hAnsi="宋体" w:eastAsia="宋体" w:cs="Times New Roman"/>
      <w:bCs/>
      <w:color w:val="000000"/>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9</Pages>
  <Words>1729</Words>
  <Characters>2029</Characters>
  <Lines>8</Lines>
  <Paragraphs>2</Paragraphs>
  <TotalTime>3</TotalTime>
  <ScaleCrop>false</ScaleCrop>
  <LinksUpToDate>false</LinksUpToDate>
  <CharactersWithSpaces>2037</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2026-04-10T08:21:26Z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71D44C01956F4759934B6BDC8C483888_13</vt:lpwstr>
  </property>
  <property fmtid="{D5CDD505-2E9C-101B-9397-08002B2CF9AE}" pid="4" name="KSOTemplateDocerSaveRecord">
    <vt:lpwstr>eyJoZGlkIjoiYzJmYThmZTViOGE1ZWVkN2ZmYjcyMzk1NTlmNjQ2YjIiLCJ1c2VySWQiOiI0OTA1OTA4NjAifQ==</vt:lpwstr>
  </property>
</Properties>
</file>