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820F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2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51838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15BF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CB966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弋阳县中大化学有限责任公司在役生产装置安全现状评价报告</w:t>
            </w:r>
          </w:p>
        </w:tc>
      </w:tr>
      <w:tr w14:paraId="61D7B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43347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7610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5FF18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192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7FA98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61548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A9DF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F5E5E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C346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062A2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D236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1DFA60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053FE3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57CF88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018803</w:t>
            </w:r>
          </w:p>
        </w:tc>
      </w:tr>
      <w:tr w14:paraId="638EF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A906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4DDA0B8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周巧云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448743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20231004632000007942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BA6B83B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32240386462</w:t>
            </w:r>
          </w:p>
        </w:tc>
      </w:tr>
      <w:tr w14:paraId="4EC89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28C2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2768C7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49EEE5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9C02C5C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020045</w:t>
            </w:r>
          </w:p>
        </w:tc>
      </w:tr>
      <w:tr w14:paraId="748FD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DA3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F0677A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于志勇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946F14C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2014033230330000003310230030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7B1D9F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51190209624</w:t>
            </w:r>
          </w:p>
        </w:tc>
      </w:tr>
      <w:tr w14:paraId="6F995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A1EB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26B7FD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cs="宋体"/>
                <w:color w:val="000000"/>
                <w:sz w:val="24"/>
                <w:szCs w:val="24"/>
                <w:lang w:val="en-US" w:eastAsia="zh-CN"/>
              </w:rPr>
              <w:t>乔贯德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BF5D069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1700000000300087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35FE290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030797</w:t>
            </w:r>
          </w:p>
        </w:tc>
      </w:tr>
      <w:tr w14:paraId="7D0B3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3B02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5B5C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972B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E95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FB8D9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cs="宋体"/>
                <w:color w:val="000000"/>
                <w:sz w:val="24"/>
                <w:szCs w:val="24"/>
                <w:lang w:val="en-US" w:eastAsia="zh-CN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5.11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</w:tr>
      <w:tr w14:paraId="51439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0545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6F07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cs="宋体"/>
                <w:color w:val="000000"/>
                <w:sz w:val="24"/>
                <w:szCs w:val="24"/>
                <w:lang w:val="en-US" w:eastAsia="zh-CN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>1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</w:tr>
      <w:tr w14:paraId="402D4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F8751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849B55F">
            <w:pPr>
              <w:ind w:firstLine="560"/>
              <w:rPr>
                <w:rFonts w:hint="eastAsia"/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 xml:space="preserve">弋阳县中大化学有限责任公司成立于2005年9月29日，属于有限责任公司（自然人投资或控股），注册资本100万元，注册地址为江西省上饶市弋阳县圭峰镇上张村，法定代表人：章京林，经营范围为安息香生产、销售。（依法须经批准的项目，经相关部门批准后方可开展经营活动）。 </w:t>
            </w:r>
          </w:p>
          <w:p w14:paraId="7DC5BD97">
            <w:pPr>
              <w:ind w:firstLine="560"/>
              <w:rPr>
                <w:rFonts w:hint="eastAsia"/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该公司厂区总占地8106.17㎡（约12.2亩），全厂现有员工18人。该公司于2009年建成投产至今专业从事安息香生产、销售，规模为600t/a，该产品不属于危险化学品。</w:t>
            </w:r>
          </w:p>
          <w:p w14:paraId="468E5EAB">
            <w:pPr>
              <w:ind w:firstLine="560"/>
              <w:rPr>
                <w:rFonts w:hint="eastAsia"/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该公司在役生产装置涉及的危险化学品有氰化钠、乙醇、氮气、柴油，其中氰化钠属于监控化学品、剧毒化学品、高毒物品、重点监管的危险化学品、特别管控危险化学品，乙醇属于特别管控危险化学品，不涉及易制毒化学品、易制爆危险化学品，不涉及重点监管危险化工工艺，危险化学品的生产单元和储存单元均未构成危险化学品重大危险源。</w:t>
            </w:r>
          </w:p>
          <w:p w14:paraId="07A856E3">
            <w:pPr>
              <w:ind w:firstLine="560"/>
              <w:rPr>
                <w:rFonts w:hint="default" w:eastAsia="宋体"/>
                <w:snapToGrid w:val="0"/>
                <w:lang w:val="en-US"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在生产过程中存在火灾爆炸、中毒和窒息、灼烫、触电、容器爆炸、锅炉爆炸、机械伤害、车辆伤害、高处坠落、物体打击、坍塌、淹溺、其他伤害等危险因素，最主要的危险因素是火灾爆炸、中毒和窒息。</w:t>
            </w:r>
          </w:p>
        </w:tc>
      </w:tr>
      <w:tr w14:paraId="2E5E8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7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B52857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4E327EC9">
            <w:pPr>
              <w:ind w:firstLine="560"/>
            </w:pPr>
            <w:r>
              <w:rPr>
                <w:rFonts w:hint="eastAsia"/>
                <w:lang w:val="en-US"/>
              </w:rPr>
              <w:t>1、</w:t>
            </w:r>
            <w:r>
              <w:rPr>
                <w:rFonts w:hint="eastAsia"/>
              </w:rPr>
              <w:t>生产工艺流程</w:t>
            </w:r>
            <w:r>
              <w:t>简述：</w:t>
            </w:r>
          </w:p>
          <w:p w14:paraId="14C75A55">
            <w:pPr>
              <w:ind w:firstLine="560"/>
              <w:jc w:val="left"/>
            </w:pPr>
            <w:r>
              <w:rPr>
                <w:rFonts w:hint="eastAsia"/>
              </w:rPr>
              <w:t>以苯甲醛为原料，用水作溶剂，氰化钠和十二烷基二甲基苄基氯化铵（简称1227）作为催化剂，通过加热产生双分子缩合反应，经过加热缩合（母液循环使用）、冷却过滤、洗涤、离心、烘干等工序生产出安息香产品。</w:t>
            </w:r>
          </w:p>
          <w:p w14:paraId="1C1AAD74">
            <w:pPr>
              <w:ind w:firstLine="560"/>
              <w:jc w:val="left"/>
            </w:pPr>
            <w:r>
              <w:rPr>
                <w:rFonts w:hint="eastAsia"/>
              </w:rPr>
              <w:t>人工投入氰化钠，关闭投料孔，真空将水抽入反应釜，真空抽入1227（十二烷基二甲基苄基氯化胺）作为催化剂，真空抽入苯甲醛，打开蒸汽加温至70℃开始反应，关闭蒸汽，自然反应升温至100℃左右，保温1小时，反应完成后打开冷却水降温至50℃后，开始放料至抽滤槽，下层母液放至母液地槽，上层晶体用乙醇进行洗涤，洗涤用的乙醇使用防爆型隔膜泵抽入</w:t>
            </w:r>
            <w:r>
              <w:rPr>
                <w:rFonts w:hint="eastAsia"/>
                <w:lang w:val="en-US"/>
              </w:rPr>
              <w:t>乙醇</w:t>
            </w:r>
            <w:r>
              <w:rPr>
                <w:rFonts w:hint="eastAsia"/>
              </w:rPr>
              <w:t>中转釜</w:t>
            </w:r>
            <w:r>
              <w:rPr>
                <w:rFonts w:hint="eastAsia"/>
                <w:lang w:val="en-US"/>
              </w:rPr>
              <w:t>或备用釜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/>
              </w:rPr>
              <w:t>充氮保护</w:t>
            </w:r>
            <w:r>
              <w:rPr>
                <w:rFonts w:hint="eastAsia"/>
              </w:rPr>
              <w:t>）后进行使用，洗涤液放至洗涤液地槽，晶体放入离心机（</w:t>
            </w:r>
            <w:r>
              <w:rPr>
                <w:rFonts w:hint="eastAsia"/>
                <w:lang w:val="en-US"/>
              </w:rPr>
              <w:t>充氮保护</w:t>
            </w:r>
            <w:r>
              <w:rPr>
                <w:rFonts w:hint="eastAsia"/>
              </w:rPr>
              <w:t>）进行离心，离心液流至离心液地槽，晶体转移至烘干车间进行烘干包装。</w:t>
            </w:r>
          </w:p>
          <w:p w14:paraId="0A1EC5C9">
            <w:pPr>
              <w:ind w:firstLine="560"/>
              <w:jc w:val="left"/>
            </w:pPr>
            <w:r>
              <w:rPr>
                <w:rFonts w:hint="eastAsia"/>
              </w:rPr>
              <w:t>母液地槽内的母液抽至母液储存罐，母液储存罐内的母液放入蒸发装置的抽滤母液槽内，抽滤母液槽的母液泵入蒸发器进行加温至100℃蒸发水份，蒸发时长约1小时左右，浓缩母液回收至合成反应釜。</w:t>
            </w:r>
          </w:p>
          <w:p w14:paraId="230708A6">
            <w:pPr>
              <w:ind w:firstLine="560"/>
              <w:jc w:val="left"/>
            </w:pPr>
            <w:r>
              <w:rPr>
                <w:rFonts w:hint="eastAsia"/>
              </w:rPr>
              <w:t>离心液和洗涤液用于回收乙醇，进行委外处理。</w:t>
            </w:r>
          </w:p>
          <w:p w14:paraId="30D2A5C1">
            <w:pPr>
              <w:ind w:firstLine="560"/>
              <w:jc w:val="left"/>
            </w:pPr>
            <w:r>
              <w:rPr>
                <w:rFonts w:hint="eastAsia"/>
              </w:rPr>
              <w:t>车间尾气由引风机抽入吸风罩，经尾气管排至喷淋塔，经水喷淋后排空。</w:t>
            </w:r>
          </w:p>
          <w:p w14:paraId="5BA32C65">
            <w:pPr>
              <w:ind w:firstLine="560"/>
              <w:textAlignment w:val="baseline"/>
            </w:pPr>
            <w:r>
              <w:rPr>
                <w:lang w:val="en-US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348615</wp:posOffset>
                  </wp:positionV>
                  <wp:extent cx="3698875" cy="586105"/>
                  <wp:effectExtent l="0" t="0" r="15875" b="4445"/>
                  <wp:wrapTopAndBottom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87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2、化学反应方程式</w:t>
            </w:r>
          </w:p>
          <w:p w14:paraId="546FF909">
            <w:pPr>
              <w:ind w:firstLine="560"/>
              <w:textAlignment w:val="baseline"/>
            </w:pPr>
            <w:r>
              <w:rPr>
                <w:rFonts w:hint="eastAsia"/>
              </w:rPr>
              <w:t>3、工艺流程框图</w:t>
            </w:r>
          </w:p>
          <w:p w14:paraId="6BE44613">
            <w:pPr>
              <w:ind w:firstLine="560"/>
              <w:rPr>
                <w:rFonts w:ascii="宋体" w:hAnsi="宋体" w:cs="宋体"/>
                <w:snapToGrid w:val="0"/>
                <w:kern w:val="0"/>
                <w:szCs w:val="21"/>
              </w:rPr>
            </w:pPr>
            <w:r>
              <w:rPr>
                <w:lang w:val="en-US" w:bidi="ar-SA"/>
              </w:rPr>
              <w:drawing>
                <wp:inline distT="0" distB="0" distL="114300" distR="114300">
                  <wp:extent cx="4448175" cy="3695700"/>
                  <wp:effectExtent l="0" t="0" r="9525" b="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53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2B2FC86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FAFB09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44164A8A">
      <w:r>
        <w:rPr>
          <w:rFonts w:hint="eastAsia"/>
        </w:rPr>
        <w:br w:type="page"/>
      </w:r>
    </w:p>
    <w:p w14:paraId="4136FB9F">
      <w:r>
        <w:rPr>
          <w:rFonts w:hint="eastAsia" w:ascii="楷体" w:hAnsi="楷体" w:eastAsia="楷体" w:cs="楷体"/>
          <w:sz w:val="32"/>
          <w:szCs w:val="32"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118745</wp:posOffset>
            </wp:positionV>
            <wp:extent cx="5419725" cy="4885690"/>
            <wp:effectExtent l="0" t="0" r="9525" b="10160"/>
            <wp:wrapNone/>
            <wp:docPr id="14" name="图片 14" descr="IMG_20251018_16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1018_162222"/>
                    <pic:cNvPicPr>
                      <a:picLocks noChangeAspect="1"/>
                    </pic:cNvPicPr>
                  </pic:nvPicPr>
                  <pic:blipFill>
                    <a:blip r:embed="rId6"/>
                    <a:srcRect t="14912" b="1262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3821D"/>
    <w:p w14:paraId="0ACD4F6F"/>
    <w:p w14:paraId="77680E70">
      <w:pPr>
        <w:jc w:val="both"/>
      </w:pPr>
    </w:p>
    <w:p w14:paraId="284F31F8"/>
    <w:p w14:paraId="04CF224C">
      <w:pPr>
        <w:rPr>
          <w:rFonts w:hint="eastAsia" w:eastAsia="宋体"/>
          <w:lang w:eastAsia="zh-CN"/>
        </w:rPr>
      </w:pPr>
      <w:r>
        <w:br w:type="page"/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现场核查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现场核查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918CB30">
      <w:pPr>
        <w:jc w:val="both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8595" cy="7075170"/>
            <wp:effectExtent l="0" t="0" r="825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2983">
      <w:pPr>
        <w:jc w:val="both"/>
      </w:pPr>
    </w:p>
    <w:p w14:paraId="4397E254">
      <w:pPr>
        <w:jc w:val="both"/>
      </w:pPr>
    </w:p>
    <w:p w14:paraId="0D180275">
      <w:pPr>
        <w:jc w:val="both"/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</w:pPr>
    </w:p>
    <w:p w14:paraId="7320BAFF"/>
    <w:p w14:paraId="3B579254"/>
    <w:p w14:paraId="4A9043E7"/>
    <w:p w14:paraId="051B9FA4">
      <w:r>
        <w:drawing>
          <wp:inline distT="0" distB="0" distL="114300" distR="114300">
            <wp:extent cx="5790565" cy="7851775"/>
            <wp:effectExtent l="0" t="0" r="635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7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BB6A"/>
    <w:p w14:paraId="2926565F"/>
    <w:p w14:paraId="2D1CD838"/>
    <w:p w14:paraId="15764499"/>
    <w:p w14:paraId="54AFC77D"/>
    <w:p w14:paraId="7B0A4E30">
      <w:r>
        <w:drawing>
          <wp:inline distT="0" distB="0" distL="114300" distR="114300">
            <wp:extent cx="5833745" cy="8562975"/>
            <wp:effectExtent l="0" t="0" r="14605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6E29"/>
    <w:p w14:paraId="1EE5D497">
      <w:r>
        <w:drawing>
          <wp:inline distT="0" distB="0" distL="114300" distR="114300">
            <wp:extent cx="6028055" cy="7816215"/>
            <wp:effectExtent l="0" t="0" r="10795" b="133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907A"/>
    <w:p w14:paraId="62D015E7"/>
    <w:p w14:paraId="4FFCB8E6">
      <w:pPr>
        <w:pStyle w:val="9"/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951B3ABD"/>
    <w:multiLevelType w:val="singleLevel"/>
    <w:tmpl w:val="951B3ABD"/>
    <w:lvl w:ilvl="0" w:tentative="0">
      <w:start w:val="1"/>
      <w:numFmt w:val="decimal"/>
      <w:pStyle w:val="48"/>
      <w:suff w:val="nothing"/>
      <w:lvlText w:val="%1）"/>
      <w:lvlJc w:val="left"/>
      <w:pPr>
        <w:tabs>
          <w:tab w:val="left" w:pos="0"/>
        </w:tabs>
      </w:pPr>
      <w:rPr>
        <w:rFonts w:hint="default" w:ascii="Times New Roman" w:hAnsi="Times New Roman" w:eastAsia="宋体" w:cs="Times New Roman"/>
        <w:sz w:val="28"/>
        <w:szCs w:val="28"/>
      </w:rPr>
    </w:lvl>
  </w:abstractNum>
  <w:abstractNum w:abstractNumId="2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jN2U3YjgwYmFiODFhZWM5YTkwNDFlYjJiYWFlOTQ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0F6837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1E74B7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2731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2F72E00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5EA6222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5E1FF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C93DF7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2E60EA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B33C3A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ED0745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9"/>
    <w:unhideWhenUsed/>
    <w:qFormat/>
    <w:uiPriority w:val="99"/>
    <w:pPr>
      <w:spacing w:after="120"/>
      <w:ind w:left="420" w:leftChars="200"/>
    </w:pPr>
  </w:style>
  <w:style w:type="paragraph" w:styleId="9">
    <w:name w:val="Body Text First Indent 2"/>
    <w:basedOn w:val="8"/>
    <w:next w:val="7"/>
    <w:unhideWhenUsed/>
    <w:qFormat/>
    <w:uiPriority w:val="99"/>
    <w:pPr>
      <w:ind w:firstLine="420" w:firstLineChars="200"/>
    </w:pPr>
  </w:style>
  <w:style w:type="paragraph" w:styleId="10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1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3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4">
    <w:name w:val="Balloon Text"/>
    <w:basedOn w:val="1"/>
    <w:link w:val="33"/>
    <w:qFormat/>
    <w:uiPriority w:val="0"/>
    <w:rPr>
      <w:sz w:val="18"/>
      <w:szCs w:val="18"/>
    </w:rPr>
  </w:style>
  <w:style w:type="paragraph" w:styleId="15">
    <w:name w:val="footer"/>
    <w:basedOn w:val="1"/>
    <w:next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Normal (Web)"/>
    <w:basedOn w:val="1"/>
    <w:next w:val="17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7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0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1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customStyle="1" w:styleId="24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5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6">
    <w:name w:val="样式 首行缩进:  2 字符"/>
    <w:basedOn w:val="1"/>
    <w:next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7">
    <w:name w:val="Default"/>
    <w:basedOn w:val="28"/>
    <w:next w:val="9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8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0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字符"/>
    <w:basedOn w:val="23"/>
    <w:link w:val="1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34">
    <w:name w:val="表头 Char Char Char"/>
    <w:basedOn w:val="23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3"/>
    <w:link w:val="12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  <w:style w:type="paragraph" w:customStyle="1" w:styleId="48">
    <w:name w:val="k-正文一级序列k"/>
    <w:basedOn w:val="1"/>
    <w:qFormat/>
    <w:uiPriority w:val="0"/>
    <w:pPr>
      <w:numPr>
        <w:ilvl w:val="0"/>
        <w:numId w:val="3"/>
      </w:numPr>
      <w:tabs>
        <w:tab w:val="left" w:pos="312"/>
        <w:tab w:val="clear" w:pos="0"/>
      </w:tabs>
      <w:jc w:val="both"/>
    </w:pPr>
    <w:rPr>
      <w:rFonts w:hint="eastAsia"/>
      <w:szCs w:val="28"/>
    </w:rPr>
  </w:style>
  <w:style w:type="paragraph" w:customStyle="1" w:styleId="49">
    <w:name w:val="k-图名、表名k"/>
    <w:basedOn w:val="1"/>
    <w:qFormat/>
    <w:uiPriority w:val="0"/>
    <w:pPr>
      <w:ind w:firstLine="0" w:firstLineChars="0"/>
      <w:jc w:val="center"/>
    </w:pPr>
    <w:rPr>
      <w:rFonts w:ascii="宋体" w:hAnsi="宋体" w:eastAsia="宋体"/>
      <w:b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1095</Words>
  <Characters>1283</Characters>
  <Lines>8</Lines>
  <Paragraphs>2</Paragraphs>
  <TotalTime>2</TotalTime>
  <ScaleCrop>false</ScaleCrop>
  <LinksUpToDate>false</LinksUpToDate>
  <CharactersWithSpaces>1284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2026-03-23T03:45:54Z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DF8838ED3FCC40EDA87D519F4E4824F3_13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