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Microsoft_Visio_2003-2010___1.vsd" ContentType="application/vnd.visio"/>
  <Override PartName="/word/embeddings/Microsoft_Visio_2003-2010___2.vsd" ContentType="application/vnd.visio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A3474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6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5"/>
        <w:gridCol w:w="1052"/>
        <w:gridCol w:w="4755"/>
        <w:gridCol w:w="2508"/>
      </w:tblGrid>
      <w:tr w14:paraId="76507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82FB0B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31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1A650F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eastAsia="zh-CN"/>
              </w:rPr>
              <w:t>信丰县新田加油站经营（零售）成品油项目安全现状评价报告</w:t>
            </w:r>
          </w:p>
        </w:tc>
      </w:tr>
      <w:tr w14:paraId="54265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2A0674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31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D6A2948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AD87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620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EE647F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316E0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9347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5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6FDDF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7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DE2DD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A34EE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29A83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B23008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0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565DEB">
            <w:pPr>
              <w:spacing w:before="156" w:beforeLines="50" w:after="156" w:afterLines="50" w:line="400" w:lineRule="exact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蓝家财</w:t>
            </w:r>
          </w:p>
        </w:tc>
        <w:tc>
          <w:tcPr>
            <w:tcW w:w="47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4203271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zh-TW"/>
              </w:rPr>
            </w:pPr>
            <w:r>
              <w:rPr>
                <w:rFonts w:ascii="宋体" w:hAnsi="宋体" w:cs="宋体"/>
                <w:sz w:val="24"/>
                <w:lang w:bidi="zh-TW"/>
              </w:rPr>
              <w:t>CAWS530000230200862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EA9A323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zh-TW"/>
              </w:rPr>
            </w:pPr>
            <w:r>
              <w:rPr>
                <w:rFonts w:ascii="宋体" w:hAnsi="宋体" w:cs="宋体"/>
                <w:sz w:val="24"/>
                <w:lang w:bidi="zh-TW"/>
              </w:rPr>
              <w:t>042916</w:t>
            </w:r>
          </w:p>
        </w:tc>
      </w:tr>
      <w:tr w14:paraId="42A37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305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4D7CC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05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D36C39E">
            <w:pPr>
              <w:spacing w:before="156" w:beforeLines="50" w:after="156" w:afterLines="50"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4"/>
              </w:rPr>
              <w:t>乔贯德</w:t>
            </w:r>
          </w:p>
        </w:tc>
        <w:tc>
          <w:tcPr>
            <w:tcW w:w="47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2AFC5A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4"/>
                <w:lang w:val="en-US" w:eastAsia="zh-CN" w:bidi="zh-TW"/>
              </w:rPr>
            </w:pPr>
            <w:r>
              <w:rPr>
                <w:rFonts w:hint="eastAsia" w:ascii="宋体" w:hAnsi="宋体" w:eastAsia="宋体" w:cs="宋体"/>
                <w:sz w:val="24"/>
                <w:lang w:bidi="zh-TW"/>
              </w:rPr>
              <w:t>1700000000300087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5B3950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4"/>
                <w:lang w:val="en-US" w:eastAsia="zh-CN" w:bidi="zh-TW"/>
              </w:rPr>
            </w:pPr>
            <w:r>
              <w:rPr>
                <w:rFonts w:hint="eastAsia" w:ascii="宋体" w:hAnsi="宋体" w:eastAsia="宋体" w:cs="宋体"/>
                <w:sz w:val="24"/>
                <w:lang w:bidi="zh-TW"/>
              </w:rPr>
              <w:t>030797</w:t>
            </w:r>
          </w:p>
        </w:tc>
      </w:tr>
      <w:tr w14:paraId="594F2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05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894849F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5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9331A7">
            <w:pPr>
              <w:spacing w:before="156" w:beforeLines="50" w:after="156" w:afterLines="50" w:line="400" w:lineRule="exact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刘卫国</w:t>
            </w:r>
          </w:p>
        </w:tc>
        <w:tc>
          <w:tcPr>
            <w:tcW w:w="47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E4AF7D5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4"/>
                <w:lang w:val="en-US" w:eastAsia="zh-CN" w:bidi="zh-TW"/>
              </w:rPr>
            </w:pPr>
            <w:r>
              <w:rPr>
                <w:rFonts w:hint="eastAsia" w:ascii="宋体" w:hAnsi="宋体" w:eastAsia="宋体" w:cs="宋体"/>
                <w:sz w:val="24"/>
                <w:lang w:bidi="zh-TW"/>
              </w:rPr>
              <w:t>0800000000203440</w:t>
            </w:r>
            <w:r>
              <w:rPr>
                <w:rFonts w:ascii="宋体" w:hAnsi="宋体" w:eastAsia="宋体" w:cs="宋体"/>
                <w:sz w:val="24"/>
                <w:lang w:bidi="zh-TW"/>
              </w:rPr>
              <w:t xml:space="preserve">  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7E9CF2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4"/>
                <w:lang w:val="en-US" w:eastAsia="zh-CN" w:bidi="zh-TW"/>
              </w:rPr>
            </w:pPr>
            <w:r>
              <w:rPr>
                <w:rFonts w:hint="eastAsia" w:ascii="宋体" w:hAnsi="宋体" w:eastAsia="宋体" w:cs="宋体"/>
                <w:sz w:val="24"/>
                <w:lang w:bidi="zh-TW"/>
              </w:rPr>
              <w:t>009370</w:t>
            </w:r>
          </w:p>
        </w:tc>
      </w:tr>
      <w:tr w14:paraId="75184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05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8282FC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5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C8D395">
            <w:pPr>
              <w:spacing w:before="156" w:beforeLines="50" w:after="156" w:afterLines="50"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4"/>
              </w:rPr>
              <w:t>赵云峰</w:t>
            </w:r>
          </w:p>
        </w:tc>
        <w:tc>
          <w:tcPr>
            <w:tcW w:w="47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79760F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4"/>
                <w:lang w:val="en-US" w:eastAsia="zh-CN" w:bidi="zh-TW"/>
              </w:rPr>
            </w:pPr>
            <w:r>
              <w:rPr>
                <w:rFonts w:hint="default" w:ascii="宋体" w:hAnsi="宋体" w:eastAsia="宋体" w:cs="宋体"/>
                <w:sz w:val="24"/>
                <w:lang w:val="en-US" w:eastAsia="zh-CN" w:bidi="zh-TW"/>
              </w:rPr>
              <w:t>1600000000200809</w:t>
            </w:r>
            <w:bookmarkStart w:id="14" w:name="_GoBack"/>
            <w:bookmarkEnd w:id="14"/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5E42F8E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4"/>
                <w:lang w:val="en-US" w:eastAsia="zh-CN" w:bidi="zh-TW"/>
              </w:rPr>
            </w:pPr>
            <w:r>
              <w:rPr>
                <w:rFonts w:hint="eastAsia" w:ascii="宋体" w:hAnsi="宋体" w:eastAsia="宋体" w:cs="宋体"/>
                <w:sz w:val="24"/>
                <w:lang w:bidi="zh-TW"/>
              </w:rPr>
              <w:t>030095</w:t>
            </w:r>
          </w:p>
        </w:tc>
      </w:tr>
      <w:tr w14:paraId="3B195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05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FC19D6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5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13DC72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刘二平</w:t>
            </w:r>
          </w:p>
        </w:tc>
        <w:tc>
          <w:tcPr>
            <w:tcW w:w="47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94E59E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03320241036000000887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DD07733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37250438462</w:t>
            </w:r>
          </w:p>
        </w:tc>
      </w:tr>
      <w:tr w14:paraId="1968C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93FDA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31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BC571F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4F7E4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D6B3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31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9BD943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>蓝家财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、</w:t>
            </w:r>
            <w:r>
              <w:rPr>
                <w:rFonts w:ascii="宋体" w:hAnsi="宋体" w:eastAsia="宋体" w:cs="宋体"/>
                <w:sz w:val="24"/>
                <w:szCs w:val="24"/>
              </w:rPr>
              <w:t>刘二平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  <w:lang w:val="en-US" w:eastAsia="zh-CN"/>
              </w:rPr>
              <w:t>2025年12月9日</w:t>
            </w:r>
          </w:p>
        </w:tc>
      </w:tr>
      <w:tr w14:paraId="0A655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16803F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31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C6652F1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>蓝家财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、</w:t>
            </w:r>
            <w:r>
              <w:rPr>
                <w:rFonts w:ascii="宋体" w:hAnsi="宋体" w:eastAsia="宋体" w:cs="宋体"/>
                <w:sz w:val="24"/>
                <w:szCs w:val="24"/>
              </w:rPr>
              <w:t>刘二平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  <w:lang w:val="en-US" w:eastAsia="zh-CN"/>
              </w:rPr>
              <w:t>2026年1月22日</w:t>
            </w:r>
          </w:p>
        </w:tc>
      </w:tr>
      <w:tr w14:paraId="7F3ED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FDD196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31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2A8EECB3">
            <w:pPr>
              <w:pStyle w:val="8"/>
              <w:ind w:firstLine="480" w:firstLineChars="200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信丰县新田加油站是从事成品油储存、经营的企业，位于江西省信丰县新田镇新田村，投资人：缪金财。本站设有3台双枪单油品加油机；非承重埋地卧式SF双层油罐2台，其中50m392#、95#汽油隔仓储罐1台（92#汽油30m³，95#汽油20m³），50m30#柴油1台，油罐总容积为100m³，柴油折半计入汽油后为75m³，该加油站经营规模为二级加油站。</w:t>
            </w:r>
          </w:p>
          <w:p w14:paraId="10620622">
            <w:pPr>
              <w:pStyle w:val="8"/>
              <w:ind w:firstLine="480" w:firstLineChars="20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2023年04月24日，该加油站换发了信丰县行政审批局颁发的《危险化学品经营许可证》，证书编号：（赣）信丰审危许字[2023]003号，有效期2023年04月24日至2026年04月23日。许可经营范围：汽油、柴油。经营方式：零售（带有储存设施经营）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  <w:p w14:paraId="5C423716">
            <w:pPr>
              <w:ind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根据《中华人民共和国安全生产法》（中华人民共和国主席令13号令，[2021]第88号修订），《危险化学品安全管理条例》（国务院第591号令、645号修订），《危险化学品经营许可证管理办法》（原国家安全生产监督管理总局第55号令）和原江西省安全生产监督管理局分别下发的《关于做好危险化学品经营许可证换证工作的通知》的要求，经营成品油企业的危险化学品经营许可证到期后须申请延期换证，必须经过有资质的安全评价机构进行安全评价，延期换证后方可营业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</w:tc>
      </w:tr>
      <w:tr w14:paraId="7E28E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1" w:hRule="atLeast"/>
          <w:jc w:val="center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0115CC1">
            <w:pPr>
              <w:widowControl/>
              <w:spacing w:after="150"/>
              <w:jc w:val="center"/>
            </w:pPr>
            <w:r>
              <w:rPr>
                <w:rFonts w:hint="eastAsia"/>
                <w:color w:val="FF0000"/>
                <w:sz w:val="24"/>
              </w:rPr>
              <w:t>工艺流程</w:t>
            </w:r>
          </w:p>
        </w:tc>
        <w:tc>
          <w:tcPr>
            <w:tcW w:w="831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686E564E">
            <w:pPr>
              <w:keepNext/>
              <w:keepLines/>
              <w:widowControl w:val="0"/>
              <w:adjustRightInd w:val="0"/>
              <w:snapToGrid w:val="0"/>
              <w:spacing w:line="500" w:lineRule="exact"/>
              <w:ind w:firstLine="602" w:firstLineChars="200"/>
              <w:jc w:val="both"/>
              <w:outlineLvl w:val="1"/>
              <w:rPr>
                <w:sz w:val="24"/>
                <w:szCs w:val="24"/>
              </w:rPr>
            </w:pPr>
            <w:bookmarkStart w:id="0" w:name="_Toc368911559"/>
            <w:bookmarkStart w:id="1" w:name="_Toc30506"/>
            <w:bookmarkStart w:id="2" w:name="_Toc23857"/>
            <w:bookmarkStart w:id="3" w:name="_Toc3663"/>
            <w:bookmarkStart w:id="4" w:name="_Toc29040"/>
            <w:bookmarkStart w:id="5" w:name="_Toc8309"/>
            <w:bookmarkStart w:id="6" w:name="_Toc5488"/>
            <w:bookmarkStart w:id="7" w:name="_Toc15323"/>
            <w:bookmarkStart w:id="8" w:name="_Toc6669"/>
            <w:bookmarkStart w:id="9" w:name="_Toc380744559"/>
            <w:bookmarkStart w:id="10" w:name="_Toc240859955"/>
            <w:r>
              <w:rPr>
                <w:rFonts w:hint="eastAsia" w:ascii="黑体" w:hAnsi="黑体" w:eastAsia="宋体" w:cs="Times New Roman"/>
                <w:b/>
                <w:bCs/>
                <w:kern w:val="2"/>
                <w:sz w:val="30"/>
                <w:szCs w:val="32"/>
                <w:lang w:val="en-US" w:eastAsia="zh-CN" w:bidi="ar-SA"/>
              </w:rPr>
              <w:t>2.9工艺流程</w:t>
            </w:r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</w:p>
          <w:p w14:paraId="79F98B5A">
            <w:pPr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加油站经营</w:t>
            </w:r>
            <w:r>
              <w:rPr>
                <w:rFonts w:hint="eastAsia"/>
                <w:sz w:val="24"/>
                <w:szCs w:val="24"/>
              </w:rPr>
              <w:t>的</w:t>
            </w:r>
            <w:r>
              <w:rPr>
                <w:sz w:val="24"/>
                <w:szCs w:val="24"/>
              </w:rPr>
              <w:t>汽油</w:t>
            </w:r>
            <w:r>
              <w:rPr>
                <w:rFonts w:hint="eastAsia"/>
                <w:sz w:val="24"/>
                <w:szCs w:val="24"/>
              </w:rPr>
              <w:t>、柴油</w:t>
            </w:r>
            <w:r>
              <w:rPr>
                <w:sz w:val="24"/>
                <w:szCs w:val="24"/>
              </w:rPr>
              <w:t>，其来料运输由专业</w:t>
            </w:r>
            <w:r>
              <w:rPr>
                <w:rFonts w:hint="eastAsia"/>
                <w:sz w:val="24"/>
                <w:szCs w:val="24"/>
              </w:rPr>
              <w:t>柴油、</w:t>
            </w:r>
            <w:r>
              <w:rPr>
                <w:sz w:val="24"/>
                <w:szCs w:val="24"/>
              </w:rPr>
              <w:t>汽油运输单位及车辆负责到站，加油站不负责化学品（汽油</w:t>
            </w:r>
            <w:r>
              <w:rPr>
                <w:rFonts w:hint="eastAsia"/>
                <w:sz w:val="24"/>
                <w:szCs w:val="24"/>
              </w:rPr>
              <w:t>、柴油</w:t>
            </w:r>
            <w:r>
              <w:rPr>
                <w:sz w:val="24"/>
                <w:szCs w:val="24"/>
              </w:rPr>
              <w:t>）的道路运输。其经营工艺如下：</w:t>
            </w:r>
          </w:p>
          <w:bookmarkEnd w:id="10"/>
          <w:p w14:paraId="44C116DC">
            <w:pPr>
              <w:pStyle w:val="4"/>
              <w:ind w:firstLine="562"/>
            </w:pPr>
            <w:bookmarkStart w:id="11" w:name="_Toc16334"/>
            <w:r>
              <w:rPr>
                <w:rFonts w:hint="eastAsia"/>
              </w:rPr>
              <w:t>2.9.</w:t>
            </w:r>
            <w:r>
              <w:t>1卸油工艺</w:t>
            </w:r>
            <w:r>
              <w:rPr>
                <w:rFonts w:hint="eastAsia"/>
              </w:rPr>
              <w:t>流程</w:t>
            </w:r>
            <w:bookmarkEnd w:id="11"/>
          </w:p>
          <w:p w14:paraId="308CDAA4">
            <w:pPr>
              <w:ind w:firstLine="56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该站采用密闭自流卸油方式。先检查静电接地装置是否完好，当油品用油罐车拉到加油站后，在卸油口附近停稳熄火，先用加油站的静电接地导线与油罐车的静电导出接点跨接在一起，静置5分钟后导除静电。然后用快速接头将油罐车的卸油软管与储油罐的快速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密闭卸油口连接在一起（汽油要同步连接油气回收软管），开始卸油。油品卸完后</w:t>
            </w:r>
            <w:r>
              <w:rPr>
                <w:rFonts w:hint="eastAsia" w:ascii="宋体" w:hAnsi="宋体" w:cs="宋体"/>
                <w:sz w:val="24"/>
                <w:szCs w:val="24"/>
              </w:rPr>
              <w:t>，先关闭油罐车的阀门，再拆除连通软管及静电接地装置。检查没有溢油、漏油后，人工封闭好卸油口，静置5分钟以后发动油品罐车缓慢离开油罐区。卸油中注意观察管线、阀门等相关设备的运行情况。卸油结束时，检查并确认没有溢油、漏油后，关好阀门，断开卸油快速接头，盖好口盖，清理现场。卸油过程采用卸油油气回收系统。</w:t>
            </w:r>
          </w:p>
          <w:p w14:paraId="188ACA3F">
            <w:pPr>
              <w:ind w:firstLine="56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汽油卸油工艺框图如下：</w:t>
            </w:r>
          </w:p>
          <w:p w14:paraId="506CC067">
            <w:pPr>
              <w:suppressAutoHyphens/>
              <w:spacing w:line="360" w:lineRule="auto"/>
              <w:ind w:firstLine="480"/>
              <w:textAlignment w:val="center"/>
              <w:rPr>
                <w:rFonts w:ascii="宋体" w:hAnsi="宋体" w:cs="宋体"/>
                <w:snapToGrid w:val="0"/>
                <w:kern w:val="0"/>
                <w:sz w:val="24"/>
              </w:rPr>
            </w:pPr>
            <w:r>
              <w:rPr>
                <w:snapToGrid w:val="0"/>
                <w:kern w:val="0"/>
                <w:sz w:val="24"/>
                <w:lang w:val="zh-CN"/>
              </w:rPr>
              <w:object>
                <v:shape id="_x0000_i1025" o:spt="75" type="#_x0000_t75" style="height:74.8pt;width:345.5pt;" o:ole="t" filled="f" o:preferrelative="t" stroked="f" coordsize="21600,21600">
                  <v:path/>
                  <v:fill on="f" focussize="0,0"/>
                  <v:stroke on="f"/>
                  <v:imagedata r:id="rId5" o:title=""/>
                  <o:lock v:ext="edit" aspectratio="f"/>
                  <w10:wrap type="none"/>
                  <w10:anchorlock/>
                </v:shape>
                <o:OLEObject Type="Embed" ProgID="Visio.Drawing.11" ShapeID="_x0000_i1025" DrawAspect="Content" ObjectID="_1468075725" r:id="rId4">
                  <o:LockedField>false</o:LockedField>
                </o:OLEObject>
              </w:object>
            </w:r>
          </w:p>
          <w:p w14:paraId="0CC9D692">
            <w:pPr>
              <w:spacing w:after="240" w:afterLines="100"/>
              <w:ind w:firstLine="560"/>
            </w:pPr>
            <w:r>
              <w:rPr>
                <w:rFonts w:hint="eastAsia"/>
                <w:sz w:val="24"/>
                <w:szCs w:val="24"/>
              </w:rPr>
              <w:t>柴油卸油工艺框图如下：</w:t>
            </w:r>
          </w:p>
          <w:p w14:paraId="1F476B73">
            <w:pPr>
              <w:suppressAutoHyphens/>
              <w:ind w:firstLine="560"/>
              <w:jc w:val="center"/>
              <w:textAlignment w:val="center"/>
              <w:rPr>
                <w:rFonts w:ascii="宋体" w:hAnsi="宋体" w:cs="Tahoma"/>
                <w:kern w:val="28"/>
              </w:rPr>
            </w:pPr>
            <w:bookmarkStart w:id="12" w:name="_Toc240859956"/>
            <w:r>
              <w:drawing>
                <wp:inline distT="0" distB="0" distL="0" distR="0">
                  <wp:extent cx="4518025" cy="370205"/>
                  <wp:effectExtent l="0" t="0" r="15875" b="10795"/>
                  <wp:docPr id="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02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36A2E">
            <w:pPr>
              <w:pStyle w:val="4"/>
              <w:ind w:firstLine="562"/>
              <w:rPr>
                <w:sz w:val="24"/>
                <w:szCs w:val="24"/>
              </w:rPr>
            </w:pPr>
            <w:bookmarkStart w:id="13" w:name="_Toc13879"/>
            <w:r>
              <w:rPr>
                <w:rFonts w:hint="eastAsia"/>
                <w:sz w:val="24"/>
                <w:szCs w:val="24"/>
              </w:rPr>
              <w:t>2.9.2</w:t>
            </w:r>
            <w:bookmarkEnd w:id="12"/>
            <w:r>
              <w:rPr>
                <w:rFonts w:hint="eastAsia"/>
                <w:sz w:val="24"/>
                <w:szCs w:val="24"/>
              </w:rPr>
              <w:t>加油工艺流程</w:t>
            </w:r>
            <w:bookmarkEnd w:id="13"/>
          </w:p>
          <w:p w14:paraId="316E0682">
            <w:pPr>
              <w:spacing w:after="240" w:afterLines="100"/>
              <w:ind w:firstLine="560"/>
              <w:rPr>
                <w:sz w:val="24"/>
                <w:szCs w:val="24"/>
              </w:rPr>
            </w:pPr>
            <w:r>
              <w:pict>
                <v:shape id="Object 117" o:spid="_x0000_s2050" o:spt="75" type="#_x0000_t75" style="position:absolute;left:0pt;margin-left:12.25pt;margin-top:47.8pt;height:162.45pt;width:336.85pt;z-index:251661312;mso-width-relative:page;mso-height-relative:page;" o:ole="t" filled="f" o:preferrelative="t" stroked="f" coordsize="21600,21600">
                  <v:path/>
                  <v:fill on="f" focussize="0,0"/>
                  <v:stroke on="f"/>
                  <v:imagedata r:id="rId8" o:title=""/>
                  <o:lock v:ext="edit" aspectratio="f"/>
                </v:shape>
                <o:OLEObject Type="Embed" ProgID="Visio.Drawing.11" ShapeID="Object 117" DrawAspect="Content" ObjectID="_1468075726" r:id="rId7">
                  <o:LockedField>false</o:LockedField>
                </o:OLEObject>
              </w:pict>
            </w:r>
            <w:r>
              <w:rPr>
                <w:rFonts w:hint="eastAsia"/>
                <w:sz w:val="24"/>
                <w:szCs w:val="24"/>
              </w:rPr>
              <w:t>加油作业时，采用潜油泵提供的动力，油品通过加油管道至加油机，油品通过加油管道至加油机，进入受油容器。同时，加汽油作业时，设有油气回收系统，汽油蒸汽通过油气回收管道回至汽油罐。</w:t>
            </w:r>
          </w:p>
          <w:p w14:paraId="0EDD7B6A">
            <w:pPr>
              <w:ind w:firstLine="560"/>
            </w:pPr>
          </w:p>
          <w:p w14:paraId="1E60116E">
            <w:pPr>
              <w:ind w:firstLine="560"/>
            </w:pPr>
          </w:p>
          <w:p w14:paraId="3C39E34E">
            <w:pPr>
              <w:pStyle w:val="15"/>
              <w:ind w:firstLine="360"/>
            </w:pPr>
          </w:p>
          <w:p w14:paraId="459F98FE">
            <w:pPr>
              <w:pStyle w:val="16"/>
              <w:ind w:firstLine="480"/>
            </w:pPr>
          </w:p>
          <w:p w14:paraId="065358C5">
            <w:pPr>
              <w:pStyle w:val="17"/>
            </w:pPr>
          </w:p>
          <w:p w14:paraId="6EE59CE1">
            <w:pPr>
              <w:ind w:firstLine="560"/>
            </w:pPr>
          </w:p>
          <w:p w14:paraId="0FAEAA2B">
            <w:pPr>
              <w:pStyle w:val="15"/>
              <w:ind w:firstLine="360"/>
            </w:pPr>
          </w:p>
          <w:p w14:paraId="12D94F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Arial" w:hAnsi="Arial" w:eastAsia="Arial" w:cs="Arial"/>
                <w:snapToGrid w:val="0"/>
                <w:color w:val="auto"/>
                <w:kern w:val="0"/>
                <w:szCs w:val="21"/>
              </w:rPr>
            </w:pPr>
          </w:p>
          <w:p w14:paraId="263E53D8">
            <w:pPr>
              <w:pStyle w:val="9"/>
              <w:ind w:left="0" w:leftChars="0" w:firstLine="0" w:firstLineChars="0"/>
            </w:pPr>
          </w:p>
        </w:tc>
      </w:tr>
      <w:tr w14:paraId="1BF15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09B03F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31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FBC9DB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5D345BA6">
      <w:pPr>
        <w:rPr>
          <w:rFonts w:hint="eastAsia" w:eastAsia="宋体"/>
          <w:lang w:eastAsia="zh-CN"/>
        </w:rPr>
      </w:pPr>
      <w:r>
        <w:br w:type="page"/>
      </w:r>
    </w:p>
    <w:p w14:paraId="58D3CBC5">
      <w:pPr>
        <w:rPr>
          <w:rFonts w:hint="eastAsia"/>
          <w:lang w:eastAsia="zh-CN"/>
        </w:rPr>
      </w:pPr>
    </w:p>
    <w:p w14:paraId="0A2220E2">
      <w:pPr>
        <w:rPr>
          <w:rFonts w:hint="eastAsia" w:eastAsia="宋体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9" name="图片 9" descr="IMG_20251203_13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1203_1341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10" name="图片 10" descr="IMG_20251203_13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1203_1341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DC4E"/>
    <w:p w14:paraId="413FB4A9"/>
    <w:p w14:paraId="09638BF0">
      <w:r>
        <w:br w:type="page"/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-365760</wp:posOffset>
            </wp:positionV>
            <wp:extent cx="5259070" cy="7450455"/>
            <wp:effectExtent l="0" t="0" r="17780" b="17145"/>
            <wp:wrapNone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221B3D">
      <w:pPr>
        <w:rPr>
          <w:rFonts w:hint="eastAsia" w:eastAsia="宋体"/>
          <w:lang w:eastAsia="zh-CN"/>
        </w:rPr>
      </w:pPr>
    </w:p>
    <w:p w14:paraId="6593C92C">
      <w:r>
        <w:drawing>
          <wp:inline distT="0" distB="0" distL="114300" distR="114300">
            <wp:extent cx="5259070" cy="7450455"/>
            <wp:effectExtent l="0" t="0" r="17780" b="1714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26B7B">
      <w:r>
        <w:br w:type="page"/>
      </w:r>
    </w:p>
    <w:p w14:paraId="012FAA69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835025</wp:posOffset>
            </wp:positionV>
            <wp:extent cx="5718175" cy="7063740"/>
            <wp:effectExtent l="0" t="0" r="15875" b="3810"/>
            <wp:wrapNone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l="1853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6236FC4C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85725</wp:posOffset>
            </wp:positionV>
            <wp:extent cx="6036945" cy="8552815"/>
            <wp:effectExtent l="0" t="0" r="1905" b="635"/>
            <wp:wrapNone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85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E6BE4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3063B77D"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974715" cy="8465820"/>
            <wp:effectExtent l="0" t="0" r="6985" b="1143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6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mYThmZTViOGE1ZWVkN2ZmYjcyMzk1NTlmNjQ2YjI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756850"/>
    <w:rsid w:val="007A2261"/>
    <w:rsid w:val="00802085"/>
    <w:rsid w:val="008F01AE"/>
    <w:rsid w:val="00C75118"/>
    <w:rsid w:val="00C82162"/>
    <w:rsid w:val="00D40559"/>
    <w:rsid w:val="00E3751A"/>
    <w:rsid w:val="00FF47EE"/>
    <w:rsid w:val="01381A2C"/>
    <w:rsid w:val="030516AD"/>
    <w:rsid w:val="03463A74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57E7A8F"/>
    <w:rsid w:val="06007F0A"/>
    <w:rsid w:val="062E2CC9"/>
    <w:rsid w:val="06EF6353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806C85"/>
    <w:rsid w:val="0A0E1339"/>
    <w:rsid w:val="0A173A74"/>
    <w:rsid w:val="0A4F7A65"/>
    <w:rsid w:val="0BC750FD"/>
    <w:rsid w:val="0D073DB5"/>
    <w:rsid w:val="0D081033"/>
    <w:rsid w:val="0E564C35"/>
    <w:rsid w:val="0EC817E1"/>
    <w:rsid w:val="0F1C6141"/>
    <w:rsid w:val="0F2A5ABA"/>
    <w:rsid w:val="0FFD1618"/>
    <w:rsid w:val="10806817"/>
    <w:rsid w:val="10A546BD"/>
    <w:rsid w:val="10AE1BD9"/>
    <w:rsid w:val="10D96D50"/>
    <w:rsid w:val="13FA1B12"/>
    <w:rsid w:val="141C622E"/>
    <w:rsid w:val="147F5532"/>
    <w:rsid w:val="156C314D"/>
    <w:rsid w:val="15CB68F5"/>
    <w:rsid w:val="16B10157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ED50FA6"/>
    <w:rsid w:val="1F0F5E71"/>
    <w:rsid w:val="1F142A61"/>
    <w:rsid w:val="1F2A023E"/>
    <w:rsid w:val="1F3127E0"/>
    <w:rsid w:val="1F642D26"/>
    <w:rsid w:val="1FAC2BD1"/>
    <w:rsid w:val="1FF45CE7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BD596D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AB26CD9"/>
    <w:rsid w:val="2BD9110B"/>
    <w:rsid w:val="2C9D3BC7"/>
    <w:rsid w:val="2CF2686E"/>
    <w:rsid w:val="2E9E272A"/>
    <w:rsid w:val="2EAE6403"/>
    <w:rsid w:val="31055C5A"/>
    <w:rsid w:val="3256187C"/>
    <w:rsid w:val="3259568C"/>
    <w:rsid w:val="32A66941"/>
    <w:rsid w:val="334B2415"/>
    <w:rsid w:val="339918AA"/>
    <w:rsid w:val="33BD2F62"/>
    <w:rsid w:val="341F407D"/>
    <w:rsid w:val="34A214B2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4729D1"/>
    <w:rsid w:val="3DEB4A20"/>
    <w:rsid w:val="3E2D53F7"/>
    <w:rsid w:val="3EB62D94"/>
    <w:rsid w:val="3EEC7F81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7EE36B2"/>
    <w:rsid w:val="485E76F8"/>
    <w:rsid w:val="48AF6D87"/>
    <w:rsid w:val="49CE6C17"/>
    <w:rsid w:val="4CDE060B"/>
    <w:rsid w:val="4D6F4915"/>
    <w:rsid w:val="4E3D5914"/>
    <w:rsid w:val="4E461B89"/>
    <w:rsid w:val="4F4C1097"/>
    <w:rsid w:val="4F540982"/>
    <w:rsid w:val="4F844CD5"/>
    <w:rsid w:val="4FF32FA8"/>
    <w:rsid w:val="50EA0B03"/>
    <w:rsid w:val="512A57AB"/>
    <w:rsid w:val="515A3854"/>
    <w:rsid w:val="5276471A"/>
    <w:rsid w:val="52CC47C0"/>
    <w:rsid w:val="52E07D49"/>
    <w:rsid w:val="5374510A"/>
    <w:rsid w:val="53F5005F"/>
    <w:rsid w:val="54BA1C16"/>
    <w:rsid w:val="561327C0"/>
    <w:rsid w:val="563D2137"/>
    <w:rsid w:val="56836AB2"/>
    <w:rsid w:val="56BC2DE3"/>
    <w:rsid w:val="56D42C4D"/>
    <w:rsid w:val="57301D47"/>
    <w:rsid w:val="57487036"/>
    <w:rsid w:val="575D6537"/>
    <w:rsid w:val="577B3C9E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D63281F"/>
    <w:rsid w:val="5D706898"/>
    <w:rsid w:val="5D731EE5"/>
    <w:rsid w:val="5D7C7100"/>
    <w:rsid w:val="5D89238E"/>
    <w:rsid w:val="5D8C28DB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9402126"/>
    <w:rsid w:val="6A3C5D07"/>
    <w:rsid w:val="6AA57F27"/>
    <w:rsid w:val="6B185020"/>
    <w:rsid w:val="6CC37EB5"/>
    <w:rsid w:val="6D1139EB"/>
    <w:rsid w:val="6D3457FF"/>
    <w:rsid w:val="6E2A4841"/>
    <w:rsid w:val="6EEF19E2"/>
    <w:rsid w:val="6F272686"/>
    <w:rsid w:val="6F3D1DEF"/>
    <w:rsid w:val="6F963F3C"/>
    <w:rsid w:val="6FE54B28"/>
    <w:rsid w:val="71276AD1"/>
    <w:rsid w:val="7160445C"/>
    <w:rsid w:val="71697143"/>
    <w:rsid w:val="716C6A50"/>
    <w:rsid w:val="7207397B"/>
    <w:rsid w:val="729E3A33"/>
    <w:rsid w:val="72C43B37"/>
    <w:rsid w:val="737D1DEA"/>
    <w:rsid w:val="73961102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9B33AA"/>
    <w:rsid w:val="79FE7AE0"/>
    <w:rsid w:val="7A083C89"/>
    <w:rsid w:val="7AA15E8B"/>
    <w:rsid w:val="7AC314B7"/>
    <w:rsid w:val="7B424553"/>
    <w:rsid w:val="7BB96559"/>
    <w:rsid w:val="7C210095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  <w:rsid w:val="7FFF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autoRedefine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autoRedefine/>
    <w:semiHidden/>
    <w:unhideWhenUsed/>
    <w:qFormat/>
    <w:uiPriority w:val="1"/>
  </w:style>
  <w:style w:type="table" w:default="1" w:styleId="2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Body Text"/>
    <w:basedOn w:val="1"/>
    <w:next w:val="1"/>
    <w:autoRedefine/>
    <w:qFormat/>
    <w:uiPriority w:val="99"/>
    <w:rPr>
      <w:sz w:val="28"/>
      <w:szCs w:val="28"/>
    </w:rPr>
  </w:style>
  <w:style w:type="paragraph" w:styleId="9">
    <w:name w:val="Body Text Indent"/>
    <w:basedOn w:val="1"/>
    <w:next w:val="8"/>
    <w:autoRedefine/>
    <w:unhideWhenUsed/>
    <w:qFormat/>
    <w:uiPriority w:val="99"/>
    <w:pPr>
      <w:spacing w:after="120"/>
      <w:ind w:left="420" w:leftChars="200"/>
    </w:pPr>
  </w:style>
  <w:style w:type="paragraph" w:styleId="10">
    <w:name w:val="toc 5"/>
    <w:basedOn w:val="1"/>
    <w:next w:val="1"/>
    <w:autoRedefine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1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12">
    <w:name w:val="Date"/>
    <w:basedOn w:val="1"/>
    <w:next w:val="1"/>
    <w:link w:val="50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3">
    <w:name w:val="Body Text Indent 2"/>
    <w:basedOn w:val="1"/>
    <w:autoRedefine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4">
    <w:name w:val="Balloon Text"/>
    <w:basedOn w:val="1"/>
    <w:link w:val="36"/>
    <w:autoRedefine/>
    <w:qFormat/>
    <w:uiPriority w:val="0"/>
    <w:rPr>
      <w:sz w:val="18"/>
      <w:szCs w:val="18"/>
    </w:rPr>
  </w:style>
  <w:style w:type="paragraph" w:styleId="15">
    <w:name w:val="footer"/>
    <w:basedOn w:val="1"/>
    <w:next w:val="16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Normal (Web)"/>
    <w:basedOn w:val="1"/>
    <w:next w:val="17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7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20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1">
    <w:name w:val="Body Text First Indent"/>
    <w:basedOn w:val="8"/>
    <w:autoRedefine/>
    <w:qFormat/>
    <w:uiPriority w:val="0"/>
    <w:pPr>
      <w:spacing w:after="120"/>
      <w:ind w:firstLine="420" w:firstLineChars="100"/>
    </w:pPr>
  </w:style>
  <w:style w:type="paragraph" w:styleId="22">
    <w:name w:val="Body Text First Indent 2"/>
    <w:basedOn w:val="8"/>
    <w:next w:val="1"/>
    <w:autoRedefine/>
    <w:unhideWhenUsed/>
    <w:qFormat/>
    <w:uiPriority w:val="99"/>
    <w:pPr>
      <w:ind w:firstLine="420" w:firstLineChars="200"/>
    </w:pPr>
  </w:style>
  <w:style w:type="character" w:styleId="25">
    <w:name w:val="annotation reference"/>
    <w:qFormat/>
    <w:uiPriority w:val="0"/>
    <w:rPr>
      <w:sz w:val="21"/>
      <w:szCs w:val="21"/>
    </w:rPr>
  </w:style>
  <w:style w:type="paragraph" w:customStyle="1" w:styleId="26">
    <w:name w:val="Default1"/>
    <w:basedOn w:val="27"/>
    <w:next w:val="1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  <w:lang w:val="en-US" w:eastAsia="zh-CN"/>
    </w:rPr>
  </w:style>
  <w:style w:type="paragraph" w:customStyle="1" w:styleId="27">
    <w:name w:val="Normal_14_0"/>
    <w:autoRedefine/>
    <w:qFormat/>
    <w:uiPriority w:val="0"/>
    <w:pPr>
      <w:spacing w:before="120" w:after="240"/>
      <w:jc w:val="both"/>
    </w:pPr>
    <w:rPr>
      <w:rFonts w:ascii="Times New Roman" w:hAnsi="Times New Roman" w:eastAsia="Calibri" w:cs="Times New Roman"/>
      <w:sz w:val="22"/>
      <w:szCs w:val="22"/>
      <w:lang w:val="ru-RU" w:eastAsia="en-US" w:bidi="ar-SA"/>
    </w:rPr>
  </w:style>
  <w:style w:type="paragraph" w:customStyle="1" w:styleId="28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Default"/>
    <w:basedOn w:val="30"/>
    <w:next w:val="22"/>
    <w:autoRedefine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30">
    <w:name w:val="批注文字1"/>
    <w:autoRedefine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31">
    <w:name w:val="正文2"/>
    <w:basedOn w:val="1"/>
    <w:autoRedefine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32">
    <w:name w:val="样式 首行缩进:  2 字符"/>
    <w:basedOn w:val="1"/>
    <w:next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33">
    <w:name w:val="li_正文"/>
    <w:basedOn w:val="1"/>
    <w:autoRedefine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4">
    <w:name w:val="样式 标题 2"/>
    <w:basedOn w:val="3"/>
    <w:autoRedefine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5">
    <w:name w:val="p0"/>
    <w:basedOn w:val="1"/>
    <w:autoRedefine/>
    <w:qFormat/>
    <w:uiPriority w:val="0"/>
    <w:pPr>
      <w:widowControl/>
    </w:pPr>
    <w:rPr>
      <w:kern w:val="0"/>
      <w:szCs w:val="21"/>
    </w:rPr>
  </w:style>
  <w:style w:type="character" w:customStyle="1" w:styleId="36">
    <w:name w:val="批注框文本 字符"/>
    <w:basedOn w:val="24"/>
    <w:link w:val="14"/>
    <w:autoRedefine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7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8">
    <w:name w:val="表头 Char Char Char"/>
    <w:basedOn w:val="24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9">
    <w:name w:val="表格居中"/>
    <w:basedOn w:val="40"/>
    <w:autoRedefine/>
    <w:qFormat/>
    <w:uiPriority w:val="0"/>
    <w:pPr>
      <w:jc w:val="center"/>
    </w:pPr>
  </w:style>
  <w:style w:type="paragraph" w:customStyle="1" w:styleId="40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41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42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3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4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5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6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7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8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49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50">
    <w:name w:val="日期 字符"/>
    <w:basedOn w:val="24"/>
    <w:link w:val="12"/>
    <w:autoRedefine/>
    <w:qFormat/>
    <w:uiPriority w:val="0"/>
    <w:rPr>
      <w:b/>
      <w:bCs/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emf"/><Relationship Id="rId7" Type="http://schemas.openxmlformats.org/officeDocument/2006/relationships/oleObject" Target="embeddings/Microsoft_Visio_2003-2010___2.vsd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Microsoft_Visio_2003-2010___1.vsd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8</Pages>
  <Words>1118</Words>
  <Characters>1323</Characters>
  <Lines>8</Lines>
  <Paragraphs>2</Paragraphs>
  <TotalTime>0</TotalTime>
  <ScaleCrop>false</ScaleCrop>
  <LinksUpToDate>false</LinksUpToDate>
  <CharactersWithSpaces>1327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2026-02-11T02:59:22Z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D82D12BD384F4B2AB4F929BAE3945747_13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