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8E64BA">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14:paraId="2BAB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1FAF31B7">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50755C1B">
            <w:pPr>
              <w:widowControl/>
              <w:spacing w:after="150"/>
              <w:jc w:val="center"/>
              <w:rPr>
                <w:rFonts w:hint="eastAsia" w:ascii="宋体" w:hAnsi="宋体" w:eastAsia="宋体" w:cs="宋体"/>
                <w:sz w:val="24"/>
                <w:lang w:eastAsia="zh-CN"/>
              </w:rPr>
            </w:pPr>
            <w:bookmarkStart w:id="0" w:name="_GoBack"/>
            <w:r>
              <w:rPr>
                <w:rFonts w:hint="eastAsia" w:ascii="宋体" w:hAnsi="宋体" w:eastAsia="宋体" w:cs="宋体"/>
                <w:sz w:val="24"/>
                <w:lang w:eastAsia="zh-CN"/>
              </w:rPr>
              <w:t>吉安市丰泰林产化工有限公司3000t/a红松香项目全流程自动化控制改造安全验收评价报告</w:t>
            </w:r>
            <w:bookmarkEnd w:id="0"/>
          </w:p>
        </w:tc>
      </w:tr>
      <w:tr w14:paraId="04AF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22DDF148">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2F4C4CCD">
            <w:pPr>
              <w:widowControl/>
              <w:spacing w:after="150"/>
              <w:jc w:val="center"/>
              <w:rPr>
                <w:rFonts w:ascii="宋体" w:hAnsi="宋体" w:cs="宋体"/>
                <w:sz w:val="24"/>
              </w:rPr>
            </w:pPr>
            <w:r>
              <w:rPr>
                <w:rFonts w:hint="eastAsia" w:ascii="宋体" w:hAnsi="宋体" w:cs="宋体"/>
                <w:sz w:val="24"/>
                <w:lang w:val="en-US" w:eastAsia="zh-CN"/>
              </w:rPr>
              <w:t>2025</w:t>
            </w:r>
            <w:r>
              <w:rPr>
                <w:rFonts w:hint="eastAsia" w:ascii="宋体" w:hAnsi="宋体" w:cs="宋体"/>
                <w:sz w:val="24"/>
              </w:rPr>
              <w:t>年</w:t>
            </w:r>
            <w:r>
              <w:rPr>
                <w:rFonts w:hint="eastAsia" w:ascii="宋体" w:hAnsi="宋体" w:cs="宋体"/>
                <w:sz w:val="24"/>
                <w:lang w:val="en-US" w:eastAsia="zh-CN"/>
              </w:rPr>
              <w:t>12</w:t>
            </w:r>
            <w:r>
              <w:rPr>
                <w:rFonts w:hint="eastAsia" w:ascii="宋体" w:hAnsi="宋体" w:cs="宋体"/>
                <w:sz w:val="24"/>
              </w:rPr>
              <w:t>月</w:t>
            </w:r>
          </w:p>
        </w:tc>
      </w:tr>
      <w:tr w14:paraId="2EFF2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09C8A51D">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5190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307511B6">
            <w:pPr>
              <w:jc w:val="center"/>
              <w:rPr>
                <w:rFonts w:ascii="宋体" w:hAnsi="宋体" w:cs="宋体"/>
                <w:sz w:val="24"/>
              </w:rPr>
            </w:pPr>
          </w:p>
        </w:tc>
        <w:tc>
          <w:tcPr>
            <w:tcW w:w="1237" w:type="dxa"/>
            <w:tcBorders>
              <w:tl2br w:val="nil"/>
              <w:tr2bl w:val="nil"/>
            </w:tcBorders>
            <w:shd w:val="clear" w:color="auto" w:fill="FFFFFF"/>
            <w:vAlign w:val="center"/>
          </w:tcPr>
          <w:p w14:paraId="2B027815">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656D549A">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57404C5E">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3FC4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14:paraId="78B56D90">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15D66A6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eastAsia="zh-CN"/>
              </w:rPr>
              <w:t>熊克书</w:t>
            </w:r>
          </w:p>
        </w:tc>
        <w:tc>
          <w:tcPr>
            <w:tcW w:w="4803" w:type="dxa"/>
            <w:tcBorders>
              <w:tl2br w:val="nil"/>
              <w:tr2bl w:val="nil"/>
            </w:tcBorders>
            <w:shd w:val="clear" w:color="auto" w:fill="FFFFFF"/>
            <w:vAlign w:val="center"/>
          </w:tcPr>
          <w:p w14:paraId="2E3657A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eastAsia="zh-CN"/>
              </w:rPr>
              <w:t>S011035000110192001546</w:t>
            </w:r>
          </w:p>
        </w:tc>
        <w:tc>
          <w:tcPr>
            <w:tcW w:w="2115" w:type="dxa"/>
            <w:tcBorders>
              <w:tl2br w:val="nil"/>
              <w:tr2bl w:val="nil"/>
            </w:tcBorders>
            <w:shd w:val="clear" w:color="auto" w:fill="FFFFFF"/>
            <w:vAlign w:val="center"/>
          </w:tcPr>
          <w:p w14:paraId="1D907D16">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027024</w:t>
            </w:r>
          </w:p>
        </w:tc>
      </w:tr>
      <w:tr w14:paraId="01A4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14:paraId="2F69E342">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1E222049">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eastAsia="zh-CN"/>
              </w:rPr>
              <w:t>舒斌</w:t>
            </w:r>
          </w:p>
        </w:tc>
        <w:tc>
          <w:tcPr>
            <w:tcW w:w="4803" w:type="dxa"/>
            <w:tcBorders>
              <w:tl2br w:val="nil"/>
              <w:tr2bl w:val="nil"/>
            </w:tcBorders>
            <w:shd w:val="clear" w:color="auto" w:fill="FFFFFF"/>
            <w:vAlign w:val="center"/>
          </w:tcPr>
          <w:p w14:paraId="2AF7BD6E">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eastAsia="zh-CN"/>
              </w:rPr>
              <w:t>0800000000205889</w:t>
            </w:r>
          </w:p>
        </w:tc>
        <w:tc>
          <w:tcPr>
            <w:tcW w:w="2115" w:type="dxa"/>
            <w:tcBorders>
              <w:tl2br w:val="nil"/>
              <w:tr2bl w:val="nil"/>
            </w:tcBorders>
            <w:shd w:val="clear" w:color="auto" w:fill="FFFFFF"/>
            <w:vAlign w:val="center"/>
          </w:tcPr>
          <w:p w14:paraId="135FF85F">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eastAsia="zh-CN"/>
              </w:rPr>
              <w:t>013031</w:t>
            </w:r>
          </w:p>
        </w:tc>
      </w:tr>
      <w:tr w14:paraId="0F2B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E6D1793">
            <w:pPr>
              <w:jc w:val="center"/>
              <w:rPr>
                <w:rFonts w:ascii="宋体" w:hAnsi="宋体" w:cs="宋体"/>
                <w:sz w:val="24"/>
              </w:rPr>
            </w:pPr>
          </w:p>
        </w:tc>
        <w:tc>
          <w:tcPr>
            <w:tcW w:w="1237" w:type="dxa"/>
            <w:tcBorders>
              <w:tl2br w:val="nil"/>
              <w:tr2bl w:val="nil"/>
            </w:tcBorders>
            <w:shd w:val="clear" w:color="auto" w:fill="FFFFFF"/>
            <w:vAlign w:val="center"/>
          </w:tcPr>
          <w:p w14:paraId="3731B40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eastAsia="zh-CN"/>
              </w:rPr>
              <w:t>张晋慧</w:t>
            </w:r>
          </w:p>
        </w:tc>
        <w:tc>
          <w:tcPr>
            <w:tcW w:w="4803" w:type="dxa"/>
            <w:tcBorders>
              <w:tl2br w:val="nil"/>
              <w:tr2bl w:val="nil"/>
            </w:tcBorders>
            <w:shd w:val="clear" w:color="auto" w:fill="FFFFFF"/>
            <w:vAlign w:val="center"/>
          </w:tcPr>
          <w:p w14:paraId="5E54EC4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eastAsia="zh-CN"/>
              </w:rPr>
              <w:t>1100000000302946</w:t>
            </w:r>
          </w:p>
        </w:tc>
        <w:tc>
          <w:tcPr>
            <w:tcW w:w="2115" w:type="dxa"/>
            <w:tcBorders>
              <w:tl2br w:val="nil"/>
              <w:tr2bl w:val="nil"/>
            </w:tcBorders>
            <w:shd w:val="clear" w:color="auto" w:fill="FFFFFF"/>
            <w:vAlign w:val="center"/>
          </w:tcPr>
          <w:p w14:paraId="0EA3FFA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eastAsia="zh-CN"/>
              </w:rPr>
              <w:t>0</w:t>
            </w:r>
            <w:r>
              <w:rPr>
                <w:rFonts w:hint="eastAsia" w:ascii="Times New Roman" w:hAnsi="Times New Roman" w:eastAsia="宋体" w:cs="Times New Roman"/>
                <w:sz w:val="24"/>
                <w:lang w:val="en-US" w:eastAsia="zh-CN"/>
              </w:rPr>
              <w:t>20045</w:t>
            </w:r>
          </w:p>
        </w:tc>
      </w:tr>
      <w:tr w14:paraId="011B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5AB04B7">
            <w:pPr>
              <w:jc w:val="center"/>
              <w:rPr>
                <w:rFonts w:ascii="宋体" w:hAnsi="宋体" w:cs="宋体"/>
                <w:sz w:val="24"/>
              </w:rPr>
            </w:pPr>
          </w:p>
        </w:tc>
        <w:tc>
          <w:tcPr>
            <w:tcW w:w="1237" w:type="dxa"/>
            <w:tcBorders>
              <w:tl2br w:val="nil"/>
              <w:tr2bl w:val="nil"/>
            </w:tcBorders>
            <w:shd w:val="clear" w:color="auto" w:fill="FFFFFF"/>
            <w:vAlign w:val="center"/>
          </w:tcPr>
          <w:p w14:paraId="4F50823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赵云峰</w:t>
            </w:r>
          </w:p>
        </w:tc>
        <w:tc>
          <w:tcPr>
            <w:tcW w:w="4803" w:type="dxa"/>
            <w:tcBorders>
              <w:tl2br w:val="nil"/>
              <w:tr2bl w:val="nil"/>
            </w:tcBorders>
            <w:shd w:val="clear" w:color="auto" w:fill="FFFFFF"/>
            <w:vAlign w:val="center"/>
          </w:tcPr>
          <w:p w14:paraId="0E1A694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1600000000200809</w:t>
            </w:r>
          </w:p>
        </w:tc>
        <w:tc>
          <w:tcPr>
            <w:tcW w:w="2115" w:type="dxa"/>
            <w:tcBorders>
              <w:tl2br w:val="nil"/>
              <w:tr2bl w:val="nil"/>
            </w:tcBorders>
            <w:shd w:val="clear" w:color="auto" w:fill="FFFFFF"/>
            <w:vAlign w:val="center"/>
          </w:tcPr>
          <w:p w14:paraId="34039BB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030095</w:t>
            </w:r>
          </w:p>
        </w:tc>
      </w:tr>
      <w:tr w14:paraId="4F9C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3F542EE4">
            <w:pPr>
              <w:jc w:val="center"/>
              <w:rPr>
                <w:rFonts w:ascii="宋体" w:hAnsi="宋体" w:cs="宋体"/>
                <w:sz w:val="24"/>
              </w:rPr>
            </w:pPr>
          </w:p>
        </w:tc>
        <w:tc>
          <w:tcPr>
            <w:tcW w:w="1237" w:type="dxa"/>
            <w:tcBorders>
              <w:tl2br w:val="nil"/>
              <w:tr2bl w:val="nil"/>
            </w:tcBorders>
            <w:shd w:val="clear" w:color="auto" w:fill="FFFFFF"/>
            <w:vAlign w:val="center"/>
          </w:tcPr>
          <w:p w14:paraId="4320B2A6">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谢雨飞</w:t>
            </w:r>
          </w:p>
        </w:tc>
        <w:tc>
          <w:tcPr>
            <w:tcW w:w="4803" w:type="dxa"/>
            <w:tcBorders>
              <w:tl2br w:val="nil"/>
              <w:tr2bl w:val="nil"/>
            </w:tcBorders>
            <w:shd w:val="clear" w:color="auto" w:fill="FFFFFF"/>
            <w:vAlign w:val="center"/>
          </w:tcPr>
          <w:p w14:paraId="70C9750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CAWS350000230200227</w:t>
            </w:r>
          </w:p>
        </w:tc>
        <w:tc>
          <w:tcPr>
            <w:tcW w:w="2115" w:type="dxa"/>
            <w:tcBorders>
              <w:tl2br w:val="nil"/>
              <w:tr2bl w:val="nil"/>
            </w:tcBorders>
            <w:shd w:val="clear" w:color="auto" w:fill="FFFFFF"/>
            <w:vAlign w:val="center"/>
          </w:tcPr>
          <w:p w14:paraId="2C5E2BF3">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043378</w:t>
            </w:r>
          </w:p>
        </w:tc>
      </w:tr>
      <w:tr w14:paraId="0664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45419EC2">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63155A62">
            <w:pPr>
              <w:jc w:val="center"/>
              <w:rPr>
                <w:rFonts w:ascii="宋体" w:hAnsi="宋体" w:cs="宋体"/>
                <w:sz w:val="24"/>
              </w:rPr>
            </w:pPr>
            <w:r>
              <w:rPr>
                <w:rFonts w:hint="eastAsia" w:ascii="宋体" w:hAnsi="宋体" w:cs="宋体"/>
                <w:sz w:val="24"/>
              </w:rPr>
              <w:t>/</w:t>
            </w:r>
          </w:p>
        </w:tc>
      </w:tr>
      <w:tr w14:paraId="7701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14:paraId="5781712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2A5711E2">
            <w:pPr>
              <w:widowControl/>
              <w:spacing w:after="150"/>
              <w:jc w:val="center"/>
              <w:rPr>
                <w:rFonts w:hint="default" w:ascii="Times New Roman" w:hAnsi="Times New Roman" w:eastAsia="宋体"/>
                <w:sz w:val="24"/>
                <w:lang w:val="en-US" w:eastAsia="zh-CN"/>
              </w:rPr>
            </w:pPr>
            <w:r>
              <w:rPr>
                <w:rFonts w:hint="eastAsia" w:ascii="Times New Roman" w:hAnsi="Times New Roman"/>
                <w:sz w:val="24"/>
              </w:rPr>
              <w:t>熊克书</w:t>
            </w:r>
            <w:r>
              <w:rPr>
                <w:rFonts w:hint="eastAsia" w:ascii="Times New Roman" w:hAnsi="Times New Roman"/>
                <w:sz w:val="24"/>
                <w:lang w:eastAsia="zh-CN"/>
              </w:rPr>
              <w:t>、</w:t>
            </w:r>
            <w:r>
              <w:rPr>
                <w:rFonts w:hint="eastAsia" w:ascii="Times New Roman" w:hAnsi="Times New Roman"/>
                <w:sz w:val="24"/>
                <w:lang w:val="en-US" w:eastAsia="zh-CN"/>
              </w:rPr>
              <w:t>谢雨飞</w:t>
            </w:r>
            <w:r>
              <w:rPr>
                <w:rFonts w:hint="eastAsia"/>
                <w:b w:val="0"/>
                <w:bCs w:val="0"/>
                <w:sz w:val="24"/>
                <w:szCs w:val="22"/>
                <w:lang w:eastAsia="zh-CN"/>
              </w:rPr>
              <w:t>2025年</w:t>
            </w:r>
            <w:r>
              <w:rPr>
                <w:rFonts w:hint="eastAsia"/>
                <w:b w:val="0"/>
                <w:bCs w:val="0"/>
                <w:sz w:val="24"/>
                <w:szCs w:val="22"/>
                <w:lang w:val="en-US" w:eastAsia="zh-CN"/>
              </w:rPr>
              <w:t>6</w:t>
            </w:r>
            <w:r>
              <w:rPr>
                <w:rFonts w:hint="eastAsia"/>
                <w:b w:val="0"/>
                <w:bCs w:val="0"/>
                <w:sz w:val="24"/>
                <w:szCs w:val="22"/>
                <w:lang w:eastAsia="zh-CN"/>
              </w:rPr>
              <w:t>月</w:t>
            </w:r>
          </w:p>
        </w:tc>
      </w:tr>
      <w:tr w14:paraId="699D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14:paraId="00480C70">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76100CE6">
            <w:pPr>
              <w:widowControl/>
              <w:spacing w:after="150"/>
              <w:jc w:val="center"/>
              <w:rPr>
                <w:rFonts w:hint="default" w:ascii="Times New Roman" w:hAnsi="Times New Roman" w:eastAsia="宋体"/>
                <w:color w:val="FF0000"/>
                <w:sz w:val="24"/>
                <w:lang w:val="en-US" w:eastAsia="zh-CN"/>
              </w:rPr>
            </w:pPr>
            <w:r>
              <w:rPr>
                <w:rFonts w:hint="eastAsia" w:ascii="Times New Roman" w:hAnsi="Times New Roman"/>
                <w:sz w:val="24"/>
              </w:rPr>
              <w:t>熊克书</w:t>
            </w:r>
            <w:r>
              <w:rPr>
                <w:rFonts w:hint="eastAsia" w:ascii="Times New Roman" w:hAnsi="Times New Roman"/>
                <w:sz w:val="24"/>
                <w:lang w:eastAsia="zh-CN"/>
              </w:rPr>
              <w:t>、</w:t>
            </w:r>
            <w:r>
              <w:rPr>
                <w:rFonts w:hint="eastAsia" w:ascii="Times New Roman" w:hAnsi="Times New Roman"/>
                <w:sz w:val="24"/>
                <w:lang w:val="en-US" w:eastAsia="zh-CN"/>
              </w:rPr>
              <w:t>谢雨飞2025年7月</w:t>
            </w:r>
          </w:p>
        </w:tc>
      </w:tr>
      <w:tr w14:paraId="47F8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2F28975A">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07C1FB5F">
            <w:pPr>
              <w:spacing w:line="240" w:lineRule="auto"/>
              <w:ind w:firstLine="560"/>
              <w:rPr>
                <w:rFonts w:hint="eastAsia" w:cs="宋体"/>
                <w:spacing w:val="-6"/>
                <w:lang w:val="en-US" w:eastAsia="zh-CN"/>
              </w:rPr>
            </w:pPr>
            <w:r>
              <w:rPr>
                <w:rFonts w:hint="eastAsia" w:cs="宋体"/>
                <w:spacing w:val="-6"/>
                <w:lang w:val="en-US" w:eastAsia="zh-CN"/>
              </w:rPr>
              <w:t>吉安市丰泰林产化工有限公司成立于2006年8月24日，注册地址：江西省吉安市井冈山经济技术开发区河东经济开发区富滩工业园B区，厂区占地面积12900m2。注册资金：肆佰玖拾捌万元整；法定代表人：吴时平，公司类型：有限责任公司（自然人投资或控股），经营范围：一般项目：林产品采集，专用化学产品制造(不含危险化学品专用化学产品销售(不含危险化学品)(除依法须经批准的项目外，凭营业执照依法自主开展经营活动)。</w:t>
            </w:r>
          </w:p>
          <w:p w14:paraId="7A80B4A8">
            <w:pPr>
              <w:spacing w:line="240" w:lineRule="auto"/>
              <w:ind w:firstLine="560"/>
              <w:rPr>
                <w:rFonts w:hint="eastAsia" w:cs="宋体"/>
                <w:spacing w:val="-6"/>
                <w:lang w:val="en-US" w:eastAsia="zh-CN"/>
              </w:rPr>
            </w:pPr>
            <w:r>
              <w:rPr>
                <w:rFonts w:hint="eastAsia" w:cs="宋体"/>
                <w:spacing w:val="-6"/>
                <w:lang w:val="en-US" w:eastAsia="zh-CN"/>
              </w:rPr>
              <w:t>该企业于2020年4月29日办理了名称变更，由吉安市青原区丰泰实业有限公司（原公司名称）变更为吉安市丰泰林产化工有限公司。</w:t>
            </w:r>
          </w:p>
          <w:p w14:paraId="02AEE699">
            <w:pPr>
              <w:spacing w:line="240" w:lineRule="auto"/>
              <w:ind w:firstLine="560"/>
              <w:rPr>
                <w:rFonts w:hint="eastAsia" w:cs="宋体"/>
                <w:spacing w:val="-6"/>
                <w:lang w:val="en-US" w:eastAsia="zh-CN"/>
              </w:rPr>
            </w:pPr>
            <w:r>
              <w:rPr>
                <w:rFonts w:hint="eastAsia" w:cs="宋体"/>
                <w:spacing w:val="-6"/>
                <w:lang w:val="en-US" w:eastAsia="zh-CN"/>
              </w:rPr>
              <w:t>吉安市丰泰林产化工有限公司于2021年11月和2024年11月焕发了安全生产许可证换证，许可证编号为：（赣）WH安许证字[2012]0710号，许可范围：松香（3000t/a）、松节油（800t/a），有效期至2027年11月8日。</w:t>
            </w:r>
          </w:p>
          <w:p w14:paraId="6D260F43">
            <w:pPr>
              <w:spacing w:line="240" w:lineRule="auto"/>
              <w:ind w:firstLine="560"/>
              <w:rPr>
                <w:rFonts w:hint="eastAsia" w:cs="宋体"/>
                <w:spacing w:val="-6"/>
                <w:lang w:val="en-US" w:eastAsia="zh-CN"/>
              </w:rPr>
            </w:pPr>
            <w:r>
              <w:rPr>
                <w:rFonts w:hint="eastAsia" w:cs="宋体"/>
                <w:spacing w:val="-6"/>
                <w:lang w:val="en-US" w:eastAsia="zh-CN"/>
              </w:rPr>
              <w:t>根据江西省应急管理厅关于印发《江西省危险化学品建设项目安全监督管理实施细则》（试行）的通知（赣应急字〔2021〕100号）、江西省应急管理厅关于印发《江西省化工企业自动化提升实施方案》（试行）的通知（赣应急字〔2021〕190号）、《江西省应急厅办公室关于进一步推动危险化学品（化工）企业自动化改造提升工作的通知》（赣应急办字〔2023〕77号）等相关规范、规定、标准及文件的要求，本次评价为该公司吉安市丰泰林产化工有限公司3000t/a红松香项目全流程自动化控制改造安全验收评价报告。</w:t>
            </w:r>
          </w:p>
          <w:p w14:paraId="3705DFEB">
            <w:pPr>
              <w:spacing w:line="240" w:lineRule="auto"/>
              <w:ind w:firstLine="560"/>
              <w:rPr>
                <w:rFonts w:hint="eastAsia" w:cs="宋体"/>
                <w:spacing w:val="-6"/>
                <w:lang w:val="en-US" w:eastAsia="zh-CN"/>
              </w:rPr>
            </w:pPr>
            <w:r>
              <w:rPr>
                <w:rFonts w:hint="eastAsia" w:cs="宋体"/>
                <w:spacing w:val="-6"/>
                <w:lang w:val="en-US" w:eastAsia="zh-CN"/>
              </w:rPr>
              <w:t>2022年7月，吉安市丰泰林产化工有限公司已委托黑龙江龙维化学工程设计有限公司对3000t/a红松香项目进行全流程自动化控制诊断，并编制出具了《吉安市丰泰林产化工有限公司3000t/a红松香项目全流程自动化控制诊断报告》。</w:t>
            </w:r>
          </w:p>
          <w:p w14:paraId="656923CF">
            <w:pPr>
              <w:spacing w:line="240" w:lineRule="auto"/>
              <w:ind w:firstLine="560"/>
              <w:rPr>
                <w:rFonts w:hint="eastAsia" w:cs="宋体"/>
                <w:spacing w:val="-6"/>
                <w:lang w:val="en-US" w:eastAsia="zh-CN"/>
              </w:rPr>
            </w:pPr>
            <w:r>
              <w:rPr>
                <w:rFonts w:hint="eastAsia" w:cs="宋体"/>
                <w:spacing w:val="-6"/>
                <w:lang w:val="en-US" w:eastAsia="zh-CN"/>
              </w:rPr>
              <w:t>2022年11月，吉安市丰泰林产化工有限公司委托黑龙江龙维化学工程设计有限公司编制了《吉安市丰泰林产化工有限公司3000t/a红松香项目危险与可操作性(HAZOP)分析报告》；2022年11月委托黑龙江龙维化学工程设计有限公司编制了《吉安市丰泰林产化工有限公司3000t/a红松香项目安全完整性评估（SIL）定级报告》。</w:t>
            </w:r>
          </w:p>
          <w:p w14:paraId="47F2F942">
            <w:pPr>
              <w:spacing w:line="240" w:lineRule="auto"/>
              <w:ind w:firstLine="560"/>
              <w:rPr>
                <w:rFonts w:hint="eastAsia" w:cs="宋体"/>
                <w:spacing w:val="-6"/>
                <w:lang w:val="en-US" w:eastAsia="zh-CN"/>
              </w:rPr>
            </w:pPr>
            <w:r>
              <w:rPr>
                <w:rFonts w:hint="eastAsia" w:cs="宋体"/>
                <w:spacing w:val="-6"/>
                <w:lang w:val="en-US" w:eastAsia="zh-CN"/>
              </w:rPr>
              <w:t>2022年11月，黑龙江龙维化学工程设计有限公司以吉安市丰泰林产化工有限公司所提供的工艺、设备、物料、操作工况及自控联锁关系等资料为基础进行分析编制了《吉安市丰泰林产化工有限公司3000t/a红松香项目全流程自动化控制改造设计方案》，并通过了专家审查。</w:t>
            </w:r>
          </w:p>
          <w:p w14:paraId="037F1136">
            <w:pPr>
              <w:spacing w:line="240" w:lineRule="auto"/>
              <w:ind w:firstLine="560"/>
              <w:rPr>
                <w:rFonts w:hint="eastAsia"/>
                <w:snapToGrid w:val="0"/>
              </w:rPr>
            </w:pPr>
            <w:r>
              <w:rPr>
                <w:rFonts w:hint="eastAsia" w:cs="宋体"/>
                <w:spacing w:val="-6"/>
                <w:lang w:val="en-US" w:eastAsia="zh-CN"/>
              </w:rPr>
              <w:t>吉安市丰泰林产化工有限公司3000t/a红松香项目全流程自动化控制改造工程由浙江正泰中自控制工程有限公司负责安装、调试，并于2025年6月出具了《吉安市丰泰林产化工有限公司吉安市丰泰林产化工自控项目竣工报告》。</w:t>
            </w:r>
          </w:p>
        </w:tc>
      </w:tr>
      <w:tr w14:paraId="5658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60BC4E94">
            <w:pPr>
              <w:widowControl/>
              <w:spacing w:after="150"/>
              <w:jc w:val="center"/>
            </w:pPr>
            <w:r>
              <w:rPr>
                <w:rFonts w:hint="eastAsia"/>
                <w:sz w:val="24"/>
              </w:rPr>
              <w:t>工艺流程</w:t>
            </w:r>
          </w:p>
        </w:tc>
        <w:tc>
          <w:tcPr>
            <w:tcW w:w="8155" w:type="dxa"/>
            <w:gridSpan w:val="3"/>
            <w:tcBorders>
              <w:tl2br w:val="nil"/>
              <w:tr2bl w:val="nil"/>
            </w:tcBorders>
            <w:shd w:val="clear" w:color="auto" w:fill="FFFFFF"/>
          </w:tcPr>
          <w:p w14:paraId="24BED707">
            <w:pPr>
              <w:keepNext w:val="0"/>
              <w:keepLines w:val="0"/>
              <w:widowControl/>
              <w:suppressLineNumbers w:val="0"/>
              <w:ind w:left="0" w:leftChars="0" w:firstLine="218" w:firstLineChars="104"/>
              <w:jc w:val="left"/>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4378960" cy="709930"/>
                  <wp:effectExtent l="0" t="0" r="2540" b="13970"/>
                  <wp:docPr id="12" name="图片 12" descr="工艺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工艺图片"/>
                          <pic:cNvPicPr>
                            <a:picLocks noChangeAspect="1"/>
                          </pic:cNvPicPr>
                        </pic:nvPicPr>
                        <pic:blipFill>
                          <a:blip r:embed="rId4"/>
                          <a:stretch>
                            <a:fillRect/>
                          </a:stretch>
                        </pic:blipFill>
                        <pic:spPr>
                          <a:xfrm>
                            <a:off x="0" y="0"/>
                            <a:ext cx="4378960" cy="709930"/>
                          </a:xfrm>
                          <a:prstGeom prst="rect">
                            <a:avLst/>
                          </a:prstGeom>
                        </pic:spPr>
                      </pic:pic>
                    </a:graphicData>
                  </a:graphic>
                </wp:inline>
              </w:drawing>
            </w:r>
          </w:p>
          <w:p w14:paraId="7CFABCC0">
            <w:pPr>
              <w:pStyle w:val="21"/>
              <w:ind w:left="0" w:leftChars="0" w:firstLine="0" w:firstLineChars="0"/>
            </w:pPr>
          </w:p>
        </w:tc>
      </w:tr>
      <w:tr w14:paraId="2BDE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4A954F8A">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44A8D79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9419F03">
      <w:pPr>
        <w:rPr>
          <w:rFonts w:hint="eastAsia"/>
          <w:lang w:eastAsia="zh-CN"/>
        </w:rPr>
      </w:pPr>
      <w:r>
        <w:rPr>
          <w:rFonts w:hint="eastAsia"/>
          <w:lang w:eastAsia="zh-CN"/>
        </w:rPr>
        <w:br w:type="page"/>
      </w:r>
    </w:p>
    <w:p w14:paraId="4E46B583">
      <w:pPr>
        <w:rPr>
          <w:rFonts w:hint="eastAsia"/>
          <w:lang w:eastAsia="zh-CN"/>
        </w:rPr>
      </w:pPr>
      <w:r>
        <w:rPr>
          <w:rFonts w:hint="eastAsia"/>
          <w:lang w:eastAsia="zh-CN"/>
        </w:rPr>
        <w:drawing>
          <wp:inline distT="0" distB="0" distL="114300" distR="114300">
            <wp:extent cx="5268595" cy="3950335"/>
            <wp:effectExtent l="0" t="0" r="8255" b="12065"/>
            <wp:docPr id="1" name="图片 1" descr="8cfc337e4e55bc3ebdd0aa89943a8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cfc337e4e55bc3ebdd0aa89943a89c"/>
                    <pic:cNvPicPr>
                      <a:picLocks noChangeAspect="1"/>
                    </pic:cNvPicPr>
                  </pic:nvPicPr>
                  <pic:blipFill>
                    <a:blip r:embed="rId5"/>
                    <a:stretch>
                      <a:fillRect/>
                    </a:stretch>
                  </pic:blipFill>
                  <pic:spPr>
                    <a:xfrm>
                      <a:off x="0" y="0"/>
                      <a:ext cx="5268595" cy="3950335"/>
                    </a:xfrm>
                    <a:prstGeom prst="rect">
                      <a:avLst/>
                    </a:prstGeom>
                  </pic:spPr>
                </pic:pic>
              </a:graphicData>
            </a:graphic>
          </wp:inline>
        </w:drawing>
      </w:r>
    </w:p>
    <w:p w14:paraId="58FEB898">
      <w:pPr>
        <w:rPr>
          <w:rFonts w:hint="eastAsia"/>
          <w:lang w:eastAsia="zh-CN"/>
        </w:rPr>
      </w:pPr>
    </w:p>
    <w:p w14:paraId="7F3E3485">
      <w:pPr>
        <w:rPr>
          <w:rFonts w:hint="eastAsia"/>
          <w:lang w:eastAsia="zh-CN"/>
        </w:rPr>
      </w:pPr>
      <w:r>
        <w:rPr>
          <w:rFonts w:hint="eastAsia"/>
          <w:lang w:eastAsia="zh-CN"/>
        </w:rPr>
        <w:drawing>
          <wp:inline distT="0" distB="0" distL="114300" distR="114300">
            <wp:extent cx="5268595" cy="3950335"/>
            <wp:effectExtent l="0" t="0" r="8255" b="12065"/>
            <wp:docPr id="2" name="图片 2" descr="7b28679aeb6576ccf236f2a299e52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b28679aeb6576ccf236f2a299e52c3"/>
                    <pic:cNvPicPr>
                      <a:picLocks noChangeAspect="1"/>
                    </pic:cNvPicPr>
                  </pic:nvPicPr>
                  <pic:blipFill>
                    <a:blip r:embed="rId6"/>
                    <a:stretch>
                      <a:fillRect/>
                    </a:stretch>
                  </pic:blipFill>
                  <pic:spPr>
                    <a:xfrm>
                      <a:off x="0" y="0"/>
                      <a:ext cx="5268595" cy="3950335"/>
                    </a:xfrm>
                    <a:prstGeom prst="rect">
                      <a:avLst/>
                    </a:prstGeom>
                  </pic:spPr>
                </pic:pic>
              </a:graphicData>
            </a:graphic>
          </wp:inline>
        </w:drawing>
      </w:r>
    </w:p>
    <w:p w14:paraId="523DCE7C">
      <w:pPr>
        <w:rPr>
          <w:rFonts w:hint="eastAsia"/>
          <w:lang w:eastAsia="zh-CN"/>
        </w:rPr>
      </w:pPr>
      <w:r>
        <w:rPr>
          <w:rFonts w:hint="eastAsia"/>
          <w:lang w:eastAsia="zh-CN"/>
        </w:rPr>
        <w:br w:type="page"/>
      </w:r>
    </w:p>
    <w:p w14:paraId="2B1DFF98">
      <w:pPr>
        <w:pStyle w:val="21"/>
        <w:ind w:left="0" w:leftChars="0" w:firstLine="0" w:firstLineChars="0"/>
        <w:jc w:val="center"/>
        <w:rPr>
          <w:rFonts w:hint="eastAsia" w:eastAsia="宋体"/>
          <w:lang w:eastAsia="zh-CN"/>
        </w:rPr>
      </w:pPr>
      <w:r>
        <w:drawing>
          <wp:inline distT="0" distB="0" distL="114300" distR="114300">
            <wp:extent cx="5191125" cy="7353300"/>
            <wp:effectExtent l="0" t="0" r="952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191125" cy="7353300"/>
                    </a:xfrm>
                    <a:prstGeom prst="rect">
                      <a:avLst/>
                    </a:prstGeom>
                    <a:noFill/>
                    <a:ln>
                      <a:noFill/>
                    </a:ln>
                  </pic:spPr>
                </pic:pic>
              </a:graphicData>
            </a:graphic>
          </wp:inline>
        </w:drawing>
      </w:r>
      <w:r>
        <w:rPr>
          <w:rFonts w:hint="eastAsia" w:eastAsia="宋体"/>
          <w:lang w:eastAsia="zh-CN"/>
        </w:rPr>
        <w:drawing>
          <wp:inline distT="0" distB="0" distL="114300" distR="114300">
            <wp:extent cx="5266690" cy="7023735"/>
            <wp:effectExtent l="0" t="0" r="10160" b="5715"/>
            <wp:docPr id="4" name="图片 4" descr="8727a59ee9692f0763c12ceec776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727a59ee9692f0763c12ceec776e79"/>
                    <pic:cNvPicPr>
                      <a:picLocks noChangeAspect="1"/>
                    </pic:cNvPicPr>
                  </pic:nvPicPr>
                  <pic:blipFill>
                    <a:blip r:embed="rId8"/>
                    <a:stretch>
                      <a:fillRect/>
                    </a:stretch>
                  </pic:blipFill>
                  <pic:spPr>
                    <a:xfrm>
                      <a:off x="0" y="0"/>
                      <a:ext cx="5266690" cy="7023735"/>
                    </a:xfrm>
                    <a:prstGeom prst="rect">
                      <a:avLst/>
                    </a:prstGeom>
                  </pic:spPr>
                </pic:pic>
              </a:graphicData>
            </a:graphic>
          </wp:inline>
        </w:drawing>
      </w:r>
      <w:r>
        <w:rPr>
          <w:rFonts w:hint="eastAsia" w:eastAsia="宋体"/>
          <w:lang w:eastAsia="zh-CN"/>
        </w:rPr>
        <w:drawing>
          <wp:inline distT="0" distB="0" distL="114300" distR="114300">
            <wp:extent cx="5266690" cy="7023735"/>
            <wp:effectExtent l="0" t="0" r="10160" b="5715"/>
            <wp:docPr id="5" name="图片 5" descr="7bedd729e5afb23528c34a0ab4731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bedd729e5afb23528c34a0ab4731e6"/>
                    <pic:cNvPicPr>
                      <a:picLocks noChangeAspect="1"/>
                    </pic:cNvPicPr>
                  </pic:nvPicPr>
                  <pic:blipFill>
                    <a:blip r:embed="rId9"/>
                    <a:stretch>
                      <a:fillRect/>
                    </a:stretch>
                  </pic:blipFill>
                  <pic:spPr>
                    <a:xfrm>
                      <a:off x="0" y="0"/>
                      <a:ext cx="5266690" cy="7023735"/>
                    </a:xfrm>
                    <a:prstGeom prst="rect">
                      <a:avLst/>
                    </a:prstGeom>
                  </pic:spPr>
                </pic:pic>
              </a:graphicData>
            </a:graphic>
          </wp:inline>
        </w:drawing>
      </w:r>
      <w:r>
        <w:rPr>
          <w:rFonts w:hint="eastAsia" w:eastAsia="宋体"/>
          <w:lang w:eastAsia="zh-CN"/>
        </w:rPr>
        <w:drawing>
          <wp:inline distT="0" distB="0" distL="114300" distR="114300">
            <wp:extent cx="5266690" cy="7023735"/>
            <wp:effectExtent l="0" t="0" r="10160" b="5715"/>
            <wp:docPr id="6" name="图片 6" descr="b545215a80c72c008642343100ff1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545215a80c72c008642343100ff1ae"/>
                    <pic:cNvPicPr>
                      <a:picLocks noChangeAspect="1"/>
                    </pic:cNvPicPr>
                  </pic:nvPicPr>
                  <pic:blipFill>
                    <a:blip r:embed="rId10"/>
                    <a:stretch>
                      <a:fillRect/>
                    </a:stretch>
                  </pic:blipFill>
                  <pic:spPr>
                    <a:xfrm>
                      <a:off x="0" y="0"/>
                      <a:ext cx="5266690" cy="7023735"/>
                    </a:xfrm>
                    <a:prstGeom prst="rect">
                      <a:avLst/>
                    </a:prstGeom>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7"/>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2"/>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1YmJhMTRkMGU2NWU2MjE0YWI5MWU2ODcxNDk2YTgifQ=="/>
    <w:docVar w:name="KSO_WPS_MARK_KEY" w:val="f0c94484-18bf-41d0-a894-232196517eb0"/>
  </w:docVars>
  <w:rsids>
    <w:rsidRoot w:val="00E3751A"/>
    <w:rsid w:val="00047227"/>
    <w:rsid w:val="00194B7C"/>
    <w:rsid w:val="002012A2"/>
    <w:rsid w:val="00303C12"/>
    <w:rsid w:val="003A7C06"/>
    <w:rsid w:val="004340C8"/>
    <w:rsid w:val="00443349"/>
    <w:rsid w:val="004D1AF7"/>
    <w:rsid w:val="005858BE"/>
    <w:rsid w:val="00727066"/>
    <w:rsid w:val="00756850"/>
    <w:rsid w:val="00787BD2"/>
    <w:rsid w:val="007A2261"/>
    <w:rsid w:val="007C3A9A"/>
    <w:rsid w:val="00802085"/>
    <w:rsid w:val="008F01AE"/>
    <w:rsid w:val="009570B9"/>
    <w:rsid w:val="009A19ED"/>
    <w:rsid w:val="00C341C7"/>
    <w:rsid w:val="00C65B3D"/>
    <w:rsid w:val="00C75118"/>
    <w:rsid w:val="00C82162"/>
    <w:rsid w:val="00D40559"/>
    <w:rsid w:val="00D93BC0"/>
    <w:rsid w:val="00E3751A"/>
    <w:rsid w:val="00E95F3C"/>
    <w:rsid w:val="00F46A10"/>
    <w:rsid w:val="00F60933"/>
    <w:rsid w:val="00FF47EE"/>
    <w:rsid w:val="01381A2C"/>
    <w:rsid w:val="01E43C17"/>
    <w:rsid w:val="030516AD"/>
    <w:rsid w:val="03463A74"/>
    <w:rsid w:val="03A1635F"/>
    <w:rsid w:val="03C37305"/>
    <w:rsid w:val="03F01E9E"/>
    <w:rsid w:val="04334FFF"/>
    <w:rsid w:val="04543719"/>
    <w:rsid w:val="045937F4"/>
    <w:rsid w:val="04664971"/>
    <w:rsid w:val="04714B20"/>
    <w:rsid w:val="04D11406"/>
    <w:rsid w:val="04E23328"/>
    <w:rsid w:val="050505ED"/>
    <w:rsid w:val="054F4E8B"/>
    <w:rsid w:val="06007F0A"/>
    <w:rsid w:val="062E2CC9"/>
    <w:rsid w:val="06567547"/>
    <w:rsid w:val="06EF6353"/>
    <w:rsid w:val="07D32EB9"/>
    <w:rsid w:val="07E46E00"/>
    <w:rsid w:val="0814540D"/>
    <w:rsid w:val="08300409"/>
    <w:rsid w:val="08302FF8"/>
    <w:rsid w:val="0845254C"/>
    <w:rsid w:val="08E81855"/>
    <w:rsid w:val="08ED0200"/>
    <w:rsid w:val="08FD6983"/>
    <w:rsid w:val="0946657C"/>
    <w:rsid w:val="096769A3"/>
    <w:rsid w:val="096F1B10"/>
    <w:rsid w:val="09806C85"/>
    <w:rsid w:val="09A37E9F"/>
    <w:rsid w:val="0A0E1339"/>
    <w:rsid w:val="0A173A74"/>
    <w:rsid w:val="0A4F7A65"/>
    <w:rsid w:val="0BC750FD"/>
    <w:rsid w:val="0C370800"/>
    <w:rsid w:val="0D0227BA"/>
    <w:rsid w:val="0D073DB5"/>
    <w:rsid w:val="0D081033"/>
    <w:rsid w:val="0E564C35"/>
    <w:rsid w:val="0EC817E1"/>
    <w:rsid w:val="0F1C6141"/>
    <w:rsid w:val="0F423341"/>
    <w:rsid w:val="0FE07C54"/>
    <w:rsid w:val="0FFD1618"/>
    <w:rsid w:val="10806817"/>
    <w:rsid w:val="10A546BD"/>
    <w:rsid w:val="10AD0B5D"/>
    <w:rsid w:val="10AE1BD9"/>
    <w:rsid w:val="10D96D50"/>
    <w:rsid w:val="117D68B3"/>
    <w:rsid w:val="11BA5E99"/>
    <w:rsid w:val="13337B71"/>
    <w:rsid w:val="13FA1B12"/>
    <w:rsid w:val="141C622E"/>
    <w:rsid w:val="14732EA1"/>
    <w:rsid w:val="147F5532"/>
    <w:rsid w:val="14D001B2"/>
    <w:rsid w:val="156C314D"/>
    <w:rsid w:val="15CB68F5"/>
    <w:rsid w:val="16B10157"/>
    <w:rsid w:val="172B1294"/>
    <w:rsid w:val="17505468"/>
    <w:rsid w:val="1752433D"/>
    <w:rsid w:val="17550DB0"/>
    <w:rsid w:val="17810296"/>
    <w:rsid w:val="17C601C4"/>
    <w:rsid w:val="182061EA"/>
    <w:rsid w:val="18301429"/>
    <w:rsid w:val="18351C95"/>
    <w:rsid w:val="188D103C"/>
    <w:rsid w:val="190E35A0"/>
    <w:rsid w:val="191A70DD"/>
    <w:rsid w:val="19992B53"/>
    <w:rsid w:val="19CE23A1"/>
    <w:rsid w:val="19D014C8"/>
    <w:rsid w:val="19F45335"/>
    <w:rsid w:val="1A330456"/>
    <w:rsid w:val="1A4E76A5"/>
    <w:rsid w:val="1ADA1B6B"/>
    <w:rsid w:val="1AF71484"/>
    <w:rsid w:val="1B63147C"/>
    <w:rsid w:val="1C2F6387"/>
    <w:rsid w:val="1C3244B8"/>
    <w:rsid w:val="1C3E4E60"/>
    <w:rsid w:val="1C461987"/>
    <w:rsid w:val="1C4B6410"/>
    <w:rsid w:val="1C67088B"/>
    <w:rsid w:val="1C970306"/>
    <w:rsid w:val="1CD13F56"/>
    <w:rsid w:val="1CD14F1F"/>
    <w:rsid w:val="1CEA3399"/>
    <w:rsid w:val="1DA60EEB"/>
    <w:rsid w:val="1F0F5E71"/>
    <w:rsid w:val="1F142A61"/>
    <w:rsid w:val="1F373426"/>
    <w:rsid w:val="1F642D26"/>
    <w:rsid w:val="1FAC2BD1"/>
    <w:rsid w:val="1FC658C9"/>
    <w:rsid w:val="1FF45CE7"/>
    <w:rsid w:val="20176124"/>
    <w:rsid w:val="2107263D"/>
    <w:rsid w:val="21313216"/>
    <w:rsid w:val="214C4107"/>
    <w:rsid w:val="21A13C43"/>
    <w:rsid w:val="222E1FA2"/>
    <w:rsid w:val="22366385"/>
    <w:rsid w:val="224031F6"/>
    <w:rsid w:val="2282270A"/>
    <w:rsid w:val="229735F9"/>
    <w:rsid w:val="22AD2D70"/>
    <w:rsid w:val="23532900"/>
    <w:rsid w:val="2359594A"/>
    <w:rsid w:val="237962D0"/>
    <w:rsid w:val="23B37411"/>
    <w:rsid w:val="242E50EF"/>
    <w:rsid w:val="244E33BB"/>
    <w:rsid w:val="24775815"/>
    <w:rsid w:val="24D12D46"/>
    <w:rsid w:val="24FD0CF7"/>
    <w:rsid w:val="25FB3FD9"/>
    <w:rsid w:val="260B2287"/>
    <w:rsid w:val="26134134"/>
    <w:rsid w:val="271635D9"/>
    <w:rsid w:val="27280E94"/>
    <w:rsid w:val="27F61196"/>
    <w:rsid w:val="28814447"/>
    <w:rsid w:val="29283150"/>
    <w:rsid w:val="297A3C20"/>
    <w:rsid w:val="298C1931"/>
    <w:rsid w:val="29925FE1"/>
    <w:rsid w:val="29C972C6"/>
    <w:rsid w:val="2B944ACD"/>
    <w:rsid w:val="2BD9110B"/>
    <w:rsid w:val="2C9D3BC7"/>
    <w:rsid w:val="2CF2686E"/>
    <w:rsid w:val="2E9E272A"/>
    <w:rsid w:val="2EAE6403"/>
    <w:rsid w:val="2EAF6F46"/>
    <w:rsid w:val="2F5C124E"/>
    <w:rsid w:val="31055C5A"/>
    <w:rsid w:val="3256187C"/>
    <w:rsid w:val="3259568C"/>
    <w:rsid w:val="32A31CA7"/>
    <w:rsid w:val="32A66941"/>
    <w:rsid w:val="334B2415"/>
    <w:rsid w:val="339918AA"/>
    <w:rsid w:val="33BD2F62"/>
    <w:rsid w:val="33C148CD"/>
    <w:rsid w:val="33E01751"/>
    <w:rsid w:val="341F407D"/>
    <w:rsid w:val="34BD4A82"/>
    <w:rsid w:val="351530F3"/>
    <w:rsid w:val="351B1DBB"/>
    <w:rsid w:val="35211925"/>
    <w:rsid w:val="35524794"/>
    <w:rsid w:val="36577381"/>
    <w:rsid w:val="366115C7"/>
    <w:rsid w:val="368F242B"/>
    <w:rsid w:val="36E75766"/>
    <w:rsid w:val="37285AB1"/>
    <w:rsid w:val="375C6F30"/>
    <w:rsid w:val="3781684D"/>
    <w:rsid w:val="3823766B"/>
    <w:rsid w:val="396748BA"/>
    <w:rsid w:val="39AC13AD"/>
    <w:rsid w:val="3A751F6D"/>
    <w:rsid w:val="3AAA1C17"/>
    <w:rsid w:val="3AB6680E"/>
    <w:rsid w:val="3AD61658"/>
    <w:rsid w:val="3ADD7367"/>
    <w:rsid w:val="3AF50232"/>
    <w:rsid w:val="3B251FB8"/>
    <w:rsid w:val="3B3712DA"/>
    <w:rsid w:val="3B516ED3"/>
    <w:rsid w:val="3B622014"/>
    <w:rsid w:val="3BFC6477"/>
    <w:rsid w:val="3C7D28D5"/>
    <w:rsid w:val="3C9506A5"/>
    <w:rsid w:val="3CE43836"/>
    <w:rsid w:val="3D027FC2"/>
    <w:rsid w:val="3D3D4FC4"/>
    <w:rsid w:val="3D4729D1"/>
    <w:rsid w:val="3DEB4A20"/>
    <w:rsid w:val="3E2D53F7"/>
    <w:rsid w:val="3EB62D94"/>
    <w:rsid w:val="3EEC7F81"/>
    <w:rsid w:val="3F0E1560"/>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4915BF6"/>
    <w:rsid w:val="4546743F"/>
    <w:rsid w:val="45A13141"/>
    <w:rsid w:val="46966FC2"/>
    <w:rsid w:val="46F56910"/>
    <w:rsid w:val="47EE36B2"/>
    <w:rsid w:val="485E76F8"/>
    <w:rsid w:val="487A531F"/>
    <w:rsid w:val="48AF6D87"/>
    <w:rsid w:val="49CE6C17"/>
    <w:rsid w:val="4A437992"/>
    <w:rsid w:val="4A657908"/>
    <w:rsid w:val="4BE40D01"/>
    <w:rsid w:val="4CDE060B"/>
    <w:rsid w:val="4E2E60EA"/>
    <w:rsid w:val="4E3D5914"/>
    <w:rsid w:val="4E461B89"/>
    <w:rsid w:val="4E834801"/>
    <w:rsid w:val="4F4C1097"/>
    <w:rsid w:val="4F844CD5"/>
    <w:rsid w:val="4F9D18F3"/>
    <w:rsid w:val="4FB01626"/>
    <w:rsid w:val="4FF32FA8"/>
    <w:rsid w:val="50EA0B03"/>
    <w:rsid w:val="512A57AB"/>
    <w:rsid w:val="515A3854"/>
    <w:rsid w:val="5276471A"/>
    <w:rsid w:val="52B20F97"/>
    <w:rsid w:val="52CC47C0"/>
    <w:rsid w:val="52E07D49"/>
    <w:rsid w:val="5374510A"/>
    <w:rsid w:val="53B81EE5"/>
    <w:rsid w:val="53F5005F"/>
    <w:rsid w:val="550C37A2"/>
    <w:rsid w:val="563253F0"/>
    <w:rsid w:val="563D2137"/>
    <w:rsid w:val="565D015E"/>
    <w:rsid w:val="56836AB2"/>
    <w:rsid w:val="56BC2DE3"/>
    <w:rsid w:val="56D42C4D"/>
    <w:rsid w:val="56EF512A"/>
    <w:rsid w:val="57301D47"/>
    <w:rsid w:val="57487036"/>
    <w:rsid w:val="575D6537"/>
    <w:rsid w:val="57800B40"/>
    <w:rsid w:val="57CD2DFE"/>
    <w:rsid w:val="58244FE5"/>
    <w:rsid w:val="583628E4"/>
    <w:rsid w:val="584B13F6"/>
    <w:rsid w:val="59217B49"/>
    <w:rsid w:val="59656964"/>
    <w:rsid w:val="59A860E0"/>
    <w:rsid w:val="59D926D2"/>
    <w:rsid w:val="5A034680"/>
    <w:rsid w:val="5AA52A54"/>
    <w:rsid w:val="5B070568"/>
    <w:rsid w:val="5B856EE5"/>
    <w:rsid w:val="5BC05975"/>
    <w:rsid w:val="5BD743DE"/>
    <w:rsid w:val="5C3A1541"/>
    <w:rsid w:val="5CA15F65"/>
    <w:rsid w:val="5D63281F"/>
    <w:rsid w:val="5D706898"/>
    <w:rsid w:val="5D731EE5"/>
    <w:rsid w:val="5D7C7100"/>
    <w:rsid w:val="5D89238E"/>
    <w:rsid w:val="5D8C28DB"/>
    <w:rsid w:val="5DA30A1C"/>
    <w:rsid w:val="5E1A42E3"/>
    <w:rsid w:val="5E3F6556"/>
    <w:rsid w:val="5E4A7A0E"/>
    <w:rsid w:val="5E8C3C37"/>
    <w:rsid w:val="5EBC6D64"/>
    <w:rsid w:val="5ED03402"/>
    <w:rsid w:val="5F182B4A"/>
    <w:rsid w:val="5FD163AE"/>
    <w:rsid w:val="60057BEA"/>
    <w:rsid w:val="60912DAE"/>
    <w:rsid w:val="6098413C"/>
    <w:rsid w:val="60B44CEE"/>
    <w:rsid w:val="60B460AF"/>
    <w:rsid w:val="60CF38D6"/>
    <w:rsid w:val="619747AF"/>
    <w:rsid w:val="621C336D"/>
    <w:rsid w:val="62864468"/>
    <w:rsid w:val="629E5C56"/>
    <w:rsid w:val="62A05F08"/>
    <w:rsid w:val="62EA5BC6"/>
    <w:rsid w:val="630737FB"/>
    <w:rsid w:val="638C3AFD"/>
    <w:rsid w:val="63C25DAA"/>
    <w:rsid w:val="64126CC6"/>
    <w:rsid w:val="64640401"/>
    <w:rsid w:val="648F0582"/>
    <w:rsid w:val="64F540D9"/>
    <w:rsid w:val="6559245A"/>
    <w:rsid w:val="65622F6B"/>
    <w:rsid w:val="658C415A"/>
    <w:rsid w:val="65BD6D5B"/>
    <w:rsid w:val="66415650"/>
    <w:rsid w:val="66C53C4A"/>
    <w:rsid w:val="673B297E"/>
    <w:rsid w:val="678F323C"/>
    <w:rsid w:val="67F105D6"/>
    <w:rsid w:val="67FD6F7B"/>
    <w:rsid w:val="68233EA0"/>
    <w:rsid w:val="68A30209"/>
    <w:rsid w:val="68C86C57"/>
    <w:rsid w:val="69C2222A"/>
    <w:rsid w:val="6AA57F27"/>
    <w:rsid w:val="6CC37EB5"/>
    <w:rsid w:val="6D1139EB"/>
    <w:rsid w:val="6D27066C"/>
    <w:rsid w:val="6D3457FF"/>
    <w:rsid w:val="6E0E1EE1"/>
    <w:rsid w:val="6E2A4841"/>
    <w:rsid w:val="6EEF19E2"/>
    <w:rsid w:val="6F3D1DEF"/>
    <w:rsid w:val="6F963F3C"/>
    <w:rsid w:val="6FB940CF"/>
    <w:rsid w:val="6FE54B28"/>
    <w:rsid w:val="71276AD1"/>
    <w:rsid w:val="7160445C"/>
    <w:rsid w:val="71697143"/>
    <w:rsid w:val="716C6A50"/>
    <w:rsid w:val="717476DC"/>
    <w:rsid w:val="717958C4"/>
    <w:rsid w:val="71BE777B"/>
    <w:rsid w:val="7207397B"/>
    <w:rsid w:val="729E3A33"/>
    <w:rsid w:val="72C43B37"/>
    <w:rsid w:val="73670AB5"/>
    <w:rsid w:val="737D1DEA"/>
    <w:rsid w:val="74150FF5"/>
    <w:rsid w:val="748B2EA1"/>
    <w:rsid w:val="74AE0F56"/>
    <w:rsid w:val="76391AC6"/>
    <w:rsid w:val="7672193D"/>
    <w:rsid w:val="770403EE"/>
    <w:rsid w:val="771C50B0"/>
    <w:rsid w:val="771E190D"/>
    <w:rsid w:val="77832F9B"/>
    <w:rsid w:val="77C519A6"/>
    <w:rsid w:val="78063C29"/>
    <w:rsid w:val="784004D1"/>
    <w:rsid w:val="78725E9B"/>
    <w:rsid w:val="7877129B"/>
    <w:rsid w:val="787B0173"/>
    <w:rsid w:val="79302291"/>
    <w:rsid w:val="797D7F1B"/>
    <w:rsid w:val="79CB65A5"/>
    <w:rsid w:val="79F44E86"/>
    <w:rsid w:val="79FE7AE0"/>
    <w:rsid w:val="7A083C89"/>
    <w:rsid w:val="7AA15E8B"/>
    <w:rsid w:val="7B424553"/>
    <w:rsid w:val="7BB96559"/>
    <w:rsid w:val="7BF25D18"/>
    <w:rsid w:val="7C304A31"/>
    <w:rsid w:val="7C6520EB"/>
    <w:rsid w:val="7C85225C"/>
    <w:rsid w:val="7D1943FF"/>
    <w:rsid w:val="7D7347EF"/>
    <w:rsid w:val="7D9755D5"/>
    <w:rsid w:val="7D9B14E2"/>
    <w:rsid w:val="7DB761A8"/>
    <w:rsid w:val="7DD52B5A"/>
    <w:rsid w:val="7E522673"/>
    <w:rsid w:val="7E81400A"/>
    <w:rsid w:val="7EA63A70"/>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4">
    <w:name w:val="heading 2"/>
    <w:basedOn w:val="5"/>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5">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6">
    <w:name w:val="heading 4"/>
    <w:basedOn w:val="1"/>
    <w:next w:val="1"/>
    <w:unhideWhenUsed/>
    <w:qFormat/>
    <w:uiPriority w:val="0"/>
    <w:pPr>
      <w:keepNext/>
      <w:keepLines/>
      <w:outlineLvl w:val="3"/>
    </w:pPr>
    <w:rPr>
      <w:b/>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qFormat/>
    <w:uiPriority w:val="0"/>
    <w:pPr>
      <w:ind w:firstLine="538" w:firstLineChars="192"/>
    </w:pPr>
    <w:rPr>
      <w:rFonts w:ascii="宋体" w:hAnsi="宋体"/>
      <w:sz w:val="28"/>
    </w:rPr>
  </w:style>
  <w:style w:type="paragraph" w:styleId="7">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8">
    <w:name w:val="Body Text"/>
    <w:basedOn w:val="1"/>
    <w:next w:val="1"/>
    <w:qFormat/>
    <w:uiPriority w:val="99"/>
    <w:rPr>
      <w:sz w:val="28"/>
      <w:szCs w:val="28"/>
    </w:rPr>
  </w:style>
  <w:style w:type="paragraph" w:styleId="9">
    <w:name w:val="Body Text Indent"/>
    <w:basedOn w:val="1"/>
    <w:next w:val="10"/>
    <w:unhideWhenUsed/>
    <w:qFormat/>
    <w:uiPriority w:val="99"/>
    <w:pPr>
      <w:spacing w:after="120"/>
      <w:ind w:left="420" w:leftChars="200"/>
    </w:pPr>
  </w:style>
  <w:style w:type="paragraph" w:styleId="10">
    <w:name w:val="toc 5"/>
    <w:basedOn w:val="1"/>
    <w:next w:val="1"/>
    <w:semiHidden/>
    <w:qFormat/>
    <w:uiPriority w:val="0"/>
    <w:pPr>
      <w:ind w:left="1120"/>
      <w:jc w:val="left"/>
    </w:pPr>
    <w:rPr>
      <w:sz w:val="18"/>
      <w:szCs w:val="18"/>
    </w:rPr>
  </w:style>
  <w:style w:type="paragraph" w:styleId="11">
    <w:name w:val="Plain Text"/>
    <w:basedOn w:val="1"/>
    <w:qFormat/>
    <w:uiPriority w:val="0"/>
    <w:rPr>
      <w:rFonts w:ascii="宋体" w:hAnsi="Courier New" w:cs="Courier New"/>
      <w:szCs w:val="21"/>
    </w:rPr>
  </w:style>
  <w:style w:type="paragraph" w:styleId="12">
    <w:name w:val="Date"/>
    <w:basedOn w:val="1"/>
    <w:next w:val="1"/>
    <w:link w:val="46"/>
    <w:qFormat/>
    <w:uiPriority w:val="0"/>
    <w:pPr>
      <w:ind w:left="100" w:leftChars="2500"/>
    </w:pPr>
    <w:rPr>
      <w:rFonts w:ascii="Times New Roman" w:hAnsi="Times New Roman"/>
      <w:b/>
      <w:bCs/>
      <w:sz w:val="28"/>
    </w:rPr>
  </w:style>
  <w:style w:type="paragraph" w:styleId="13">
    <w:name w:val="Balloon Text"/>
    <w:basedOn w:val="1"/>
    <w:link w:val="32"/>
    <w:qFormat/>
    <w:uiPriority w:val="0"/>
    <w:rPr>
      <w:sz w:val="18"/>
      <w:szCs w:val="18"/>
    </w:rPr>
  </w:style>
  <w:style w:type="paragraph" w:styleId="14">
    <w:name w:val="footer"/>
    <w:basedOn w:val="1"/>
    <w:next w:val="15"/>
    <w:qFormat/>
    <w:uiPriority w:val="0"/>
    <w:pPr>
      <w:tabs>
        <w:tab w:val="center" w:pos="4153"/>
        <w:tab w:val="right" w:pos="8306"/>
      </w:tabs>
      <w:snapToGrid w:val="0"/>
    </w:pPr>
    <w:rPr>
      <w:sz w:val="18"/>
      <w:szCs w:val="18"/>
    </w:rPr>
  </w:style>
  <w:style w:type="paragraph" w:styleId="15">
    <w:name w:val="Normal (Web)"/>
    <w:basedOn w:val="1"/>
    <w:next w:val="16"/>
    <w:qFormat/>
    <w:uiPriority w:val="0"/>
    <w:pPr>
      <w:spacing w:before="100" w:beforeAutospacing="1" w:after="100" w:afterAutospacing="1"/>
      <w:jc w:val="left"/>
    </w:pPr>
    <w:rPr>
      <w:kern w:val="0"/>
      <w:sz w:val="24"/>
    </w:rPr>
  </w:style>
  <w:style w:type="paragraph" w:customStyle="1" w:styleId="16">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jc w:val="left"/>
    </w:pPr>
    <w:rPr>
      <w:rFonts w:ascii="宋体"/>
      <w:b/>
      <w:bCs/>
      <w:caps/>
      <w:sz w:val="20"/>
      <w:szCs w:val="20"/>
    </w:rPr>
  </w:style>
  <w:style w:type="paragraph" w:styleId="19">
    <w:name w:val="Body Text Indent 3"/>
    <w:basedOn w:val="1"/>
    <w:qFormat/>
    <w:uiPriority w:val="0"/>
    <w:pPr>
      <w:ind w:firstLine="630"/>
    </w:pPr>
    <w:rPr>
      <w:rFonts w:ascii="Times New Roman" w:hAnsi="Times New Roman" w:eastAsia="仿宋_GB2312"/>
      <w:sz w:val="28"/>
    </w:rPr>
  </w:style>
  <w:style w:type="paragraph" w:styleId="20">
    <w:name w:val="Body Text First Indent"/>
    <w:basedOn w:val="8"/>
    <w:next w:val="1"/>
    <w:qFormat/>
    <w:uiPriority w:val="0"/>
    <w:pPr>
      <w:spacing w:after="120"/>
      <w:ind w:firstLine="420" w:firstLineChars="100"/>
    </w:pPr>
  </w:style>
  <w:style w:type="paragraph" w:styleId="21">
    <w:name w:val="Body Text First Indent 2"/>
    <w:basedOn w:val="9"/>
    <w:next w:val="22"/>
    <w:unhideWhenUsed/>
    <w:qFormat/>
    <w:uiPriority w:val="99"/>
    <w:pPr>
      <w:ind w:firstLine="420" w:firstLineChars="200"/>
    </w:pPr>
  </w:style>
  <w:style w:type="paragraph" w:customStyle="1" w:styleId="22">
    <w:name w:val="正文2"/>
    <w:basedOn w:val="1"/>
    <w:qFormat/>
    <w:uiPriority w:val="0"/>
    <w:pPr>
      <w:spacing w:line="440" w:lineRule="atLeast"/>
      <w:ind w:firstLine="567"/>
    </w:pPr>
    <w:rPr>
      <w:sz w:val="24"/>
      <w:szCs w:val="20"/>
    </w:rPr>
  </w:style>
  <w:style w:type="paragraph" w:customStyle="1" w:styleId="25">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6">
    <w:name w:val="Default"/>
    <w:basedOn w:val="27"/>
    <w:next w:val="21"/>
    <w:qFormat/>
    <w:uiPriority w:val="0"/>
    <w:pPr>
      <w:autoSpaceDE w:val="0"/>
      <w:autoSpaceDN w:val="0"/>
    </w:pPr>
    <w:rPr>
      <w:rFonts w:hint="eastAsia" w:ascii="宋体"/>
      <w:sz w:val="24"/>
    </w:rPr>
  </w:style>
  <w:style w:type="paragraph" w:customStyle="1" w:styleId="2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9">
    <w:name w:val="样式 标题 2"/>
    <w:basedOn w:val="4"/>
    <w:qFormat/>
    <w:uiPriority w:val="0"/>
    <w:pPr>
      <w:spacing w:beforeLines="0" w:afterLines="0"/>
    </w:pPr>
    <w:rPr>
      <w:rFonts w:ascii="Arial" w:hAnsi="Arial" w:eastAsia="宋体" w:cs="宋体"/>
      <w:snapToGrid/>
      <w:kern w:val="2"/>
      <w:szCs w:val="32"/>
      <w:lang w:val="zh-CN"/>
    </w:rPr>
  </w:style>
  <w:style w:type="paragraph" w:customStyle="1" w:styleId="3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p0"/>
    <w:basedOn w:val="1"/>
    <w:qFormat/>
    <w:uiPriority w:val="0"/>
    <w:pPr>
      <w:widowControl/>
    </w:pPr>
    <w:rPr>
      <w:kern w:val="0"/>
      <w:szCs w:val="21"/>
    </w:rPr>
  </w:style>
  <w:style w:type="character" w:customStyle="1" w:styleId="32">
    <w:name w:val="批注框文本 字符"/>
    <w:basedOn w:val="24"/>
    <w:link w:val="13"/>
    <w:qFormat/>
    <w:uiPriority w:val="0"/>
    <w:rPr>
      <w:rFonts w:ascii="Calibri" w:hAnsi="Calibri"/>
      <w:kern w:val="2"/>
      <w:sz w:val="18"/>
      <w:szCs w:val="18"/>
    </w:rPr>
  </w:style>
  <w:style w:type="paragraph" w:customStyle="1" w:styleId="33">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4">
    <w:name w:val="表头 Char Char Char"/>
    <w:basedOn w:val="24"/>
    <w:qFormat/>
    <w:uiPriority w:val="0"/>
    <w:rPr>
      <w:rFonts w:ascii="宋体" w:hAnsi="Tahoma" w:eastAsia="宋体"/>
      <w:snapToGrid w:val="0"/>
      <w:spacing w:val="6"/>
      <w:kern w:val="10"/>
      <w:sz w:val="24"/>
    </w:rPr>
  </w:style>
  <w:style w:type="paragraph" w:customStyle="1" w:styleId="35">
    <w:name w:val="表格居中"/>
    <w:basedOn w:val="36"/>
    <w:qFormat/>
    <w:uiPriority w:val="0"/>
    <w:pPr>
      <w:jc w:val="center"/>
    </w:pPr>
  </w:style>
  <w:style w:type="paragraph" w:customStyle="1" w:styleId="36">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7">
    <w:name w:val="伟灿工贸-表格文字"/>
    <w:basedOn w:val="1"/>
    <w:qFormat/>
    <w:uiPriority w:val="0"/>
    <w:pPr>
      <w:jc w:val="center"/>
    </w:pPr>
    <w:rPr>
      <w:rFonts w:hint="eastAsia" w:ascii="宋体" w:hAnsi="宋体" w:cs="宋体"/>
      <w:szCs w:val="21"/>
    </w:rPr>
  </w:style>
  <w:style w:type="paragraph" w:customStyle="1" w:styleId="38">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9">
    <w:name w:val="表名、图名"/>
    <w:basedOn w:val="1"/>
    <w:next w:val="1"/>
    <w:qFormat/>
    <w:uiPriority w:val="0"/>
    <w:pPr>
      <w:jc w:val="center"/>
    </w:pPr>
    <w:rPr>
      <w:b/>
      <w:bCs/>
    </w:rPr>
  </w:style>
  <w:style w:type="paragraph" w:customStyle="1" w:styleId="40">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1">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2">
    <w:name w:val="工艺序号"/>
    <w:basedOn w:val="1"/>
    <w:qFormat/>
    <w:uiPriority w:val="0"/>
    <w:pPr>
      <w:numPr>
        <w:ilvl w:val="0"/>
        <w:numId w:val="1"/>
      </w:numPr>
    </w:pPr>
    <w:rPr>
      <w:b/>
      <w:bCs/>
    </w:rPr>
  </w:style>
  <w:style w:type="paragraph" w:customStyle="1" w:styleId="43">
    <w:name w:val="伟灿-表格文字"/>
    <w:basedOn w:val="1"/>
    <w:qFormat/>
    <w:uiPriority w:val="0"/>
    <w:pPr>
      <w:jc w:val="center"/>
    </w:pPr>
    <w:rPr>
      <w:rFonts w:hint="eastAsia" w:ascii="宋体" w:hAnsi="宋体" w:cs="宋体"/>
      <w:szCs w:val="21"/>
    </w:rPr>
  </w:style>
  <w:style w:type="paragraph" w:styleId="44">
    <w:name w:val="List Paragraph"/>
    <w:basedOn w:val="1"/>
    <w:qFormat/>
    <w:uiPriority w:val="99"/>
    <w:pPr>
      <w:ind w:firstLine="420" w:firstLineChars="200"/>
    </w:pPr>
  </w:style>
  <w:style w:type="paragraph" w:customStyle="1" w:styleId="45">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6">
    <w:name w:val="日期 字符"/>
    <w:basedOn w:val="24"/>
    <w:link w:val="12"/>
    <w:qFormat/>
    <w:uiPriority w:val="0"/>
    <w:rPr>
      <w:b/>
      <w:bCs/>
      <w:kern w:val="2"/>
      <w:sz w:val="28"/>
      <w:szCs w:val="24"/>
    </w:rPr>
  </w:style>
  <w:style w:type="paragraph" w:customStyle="1" w:styleId="47">
    <w:name w:val="k-正文序列"/>
    <w:basedOn w:val="1"/>
    <w:qFormat/>
    <w:uiPriority w:val="0"/>
    <w:pPr>
      <w:numPr>
        <w:ilvl w:val="0"/>
        <w:numId w:val="2"/>
      </w:numPr>
    </w:pPr>
    <w:rPr>
      <w:rFonts w:hint="eastAsia"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7</Pages>
  <Words>917</Words>
  <Characters>1136</Characters>
  <Lines>8</Lines>
  <Paragraphs>2</Paragraphs>
  <TotalTime>2</TotalTime>
  <ScaleCrop>false</ScaleCrop>
  <LinksUpToDate>false</LinksUpToDate>
  <CharactersWithSpaces>1136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Administrator</cp:lastModifiedBy>
  <dcterms:modified xsi:type="dcterms:W3CDTF">2026-01-23T10:00:20Z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7CDD15A6C2944EB68ABD6228A473C6B4_13</vt:lpwstr>
  </property>
  <property fmtid="{D5CDD505-2E9C-101B-9397-08002B2CF9AE}" pid="4" name="KSOTemplateDocerSaveRecord">
    <vt:lpwstr>eyJoZGlkIjoiYjFhMmE5ZjllNjQwMDI4YWJiOWQzOTZmZjVkOGQ1ODgiLCJ1c2VySWQiOiI5OTY2NjkzOTEifQ==</vt:lpwstr>
  </property>
</Properties>
</file>