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8E64BA">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2BA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FAF31B7">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50755C1B">
            <w:pPr>
              <w:widowControl/>
              <w:spacing w:after="150"/>
              <w:jc w:val="center"/>
              <w:rPr>
                <w:rFonts w:hint="eastAsia" w:ascii="宋体" w:hAnsi="宋体" w:eastAsia="宋体" w:cs="宋体"/>
                <w:sz w:val="24"/>
                <w:lang w:eastAsia="zh-CN"/>
              </w:rPr>
            </w:pPr>
            <w:r>
              <w:rPr>
                <w:rFonts w:hint="eastAsia"/>
                <w:sz w:val="21"/>
                <w:szCs w:val="21"/>
              </w:rPr>
              <w:t>吉安宏达秋科技有限公司年产5.5万吨新材料项目（一期一阶段）安全条件评价报告</w:t>
            </w:r>
          </w:p>
        </w:tc>
      </w:tr>
      <w:tr w14:paraId="04AF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2DDF148">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2F4C4CCD">
            <w:pPr>
              <w:widowControl/>
              <w:spacing w:after="150"/>
              <w:jc w:val="center"/>
              <w:rPr>
                <w:rFonts w:ascii="宋体" w:hAnsi="宋体" w:cs="宋体"/>
                <w:sz w:val="24"/>
              </w:rPr>
            </w:pPr>
            <w:r>
              <w:rPr>
                <w:rFonts w:hint="eastAsia" w:ascii="宋体" w:hAnsi="宋体" w:cs="宋体"/>
                <w:sz w:val="24"/>
                <w:lang w:val="en-US" w:eastAsia="zh-CN"/>
              </w:rPr>
              <w:t>2025</w:t>
            </w:r>
            <w:r>
              <w:rPr>
                <w:rFonts w:hint="eastAsia" w:ascii="宋体" w:hAnsi="宋体" w:cs="宋体"/>
                <w:sz w:val="24"/>
              </w:rPr>
              <w:t>年</w:t>
            </w:r>
            <w:r>
              <w:rPr>
                <w:rFonts w:hint="eastAsia" w:ascii="宋体" w:hAnsi="宋体" w:cs="宋体"/>
                <w:sz w:val="24"/>
                <w:lang w:val="en-US" w:eastAsia="zh-CN"/>
              </w:rPr>
              <w:t>11</w:t>
            </w:r>
            <w:r>
              <w:rPr>
                <w:rFonts w:hint="eastAsia" w:ascii="宋体" w:hAnsi="宋体" w:cs="宋体"/>
                <w:sz w:val="24"/>
              </w:rPr>
              <w:t>月</w:t>
            </w:r>
          </w:p>
        </w:tc>
      </w:tr>
      <w:tr w14:paraId="2EFF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09C8A51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190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307511B6">
            <w:pPr>
              <w:jc w:val="center"/>
              <w:rPr>
                <w:rFonts w:ascii="宋体" w:hAnsi="宋体" w:cs="宋体"/>
                <w:sz w:val="24"/>
              </w:rPr>
            </w:pPr>
          </w:p>
        </w:tc>
        <w:tc>
          <w:tcPr>
            <w:tcW w:w="1237" w:type="dxa"/>
            <w:tcBorders>
              <w:tl2br w:val="nil"/>
              <w:tr2bl w:val="nil"/>
            </w:tcBorders>
            <w:shd w:val="clear" w:color="auto" w:fill="FFFFFF"/>
            <w:vAlign w:val="center"/>
          </w:tcPr>
          <w:p w14:paraId="2B027815">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656D549A">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57404C5E">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FC45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8B56D90">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15D66A6B">
            <w:pPr>
              <w:jc w:val="center"/>
              <w:rPr>
                <w:rFonts w:hint="eastAsia" w:ascii="宋体" w:hAnsi="宋体" w:cs="宋体"/>
                <w:sz w:val="24"/>
                <w:lang w:eastAsia="zh-CN"/>
              </w:rPr>
            </w:pPr>
            <w:r>
              <w:rPr>
                <w:rFonts w:hint="eastAsia" w:ascii="宋体" w:hAnsi="宋体" w:cs="宋体"/>
                <w:sz w:val="24"/>
                <w:lang w:val="en-US" w:eastAsia="zh-CN"/>
              </w:rPr>
              <w:t>熊克书</w:t>
            </w:r>
          </w:p>
        </w:tc>
        <w:tc>
          <w:tcPr>
            <w:tcW w:w="4803" w:type="dxa"/>
            <w:tcBorders>
              <w:tl2br w:val="nil"/>
              <w:tr2bl w:val="nil"/>
            </w:tcBorders>
            <w:shd w:val="clear" w:color="auto" w:fill="FFFFFF"/>
            <w:vAlign w:val="center"/>
          </w:tcPr>
          <w:p w14:paraId="2E3657AA">
            <w:pPr>
              <w:jc w:val="center"/>
              <w:rPr>
                <w:rFonts w:hint="eastAsia" w:ascii="宋体" w:hAnsi="宋体" w:cs="宋体"/>
                <w:sz w:val="24"/>
              </w:rPr>
            </w:pPr>
            <w:r>
              <w:rPr>
                <w:rFonts w:hint="eastAsia" w:ascii="宋体" w:hAnsi="宋体" w:cs="宋体"/>
                <w:sz w:val="24"/>
              </w:rPr>
              <w:t>S011035000110192001546</w:t>
            </w:r>
          </w:p>
        </w:tc>
        <w:tc>
          <w:tcPr>
            <w:tcW w:w="2115" w:type="dxa"/>
            <w:tcBorders>
              <w:tl2br w:val="nil"/>
              <w:tr2bl w:val="nil"/>
            </w:tcBorders>
            <w:shd w:val="clear" w:color="auto" w:fill="FFFFFF"/>
            <w:vAlign w:val="center"/>
          </w:tcPr>
          <w:p w14:paraId="1D907D16">
            <w:pPr>
              <w:jc w:val="center"/>
              <w:rPr>
                <w:rFonts w:hint="eastAsia" w:ascii="宋体" w:hAnsi="宋体" w:cs="宋体"/>
                <w:sz w:val="24"/>
              </w:rPr>
            </w:pPr>
            <w:r>
              <w:rPr>
                <w:rFonts w:hint="eastAsia" w:ascii="宋体" w:hAnsi="宋体" w:cs="宋体"/>
                <w:sz w:val="24"/>
              </w:rPr>
              <w:t>027024</w:t>
            </w:r>
          </w:p>
        </w:tc>
      </w:tr>
      <w:tr w14:paraId="01A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2F69E342">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E222049">
            <w:pPr>
              <w:jc w:val="center"/>
              <w:rPr>
                <w:rFonts w:hint="eastAsia" w:ascii="宋体" w:hAnsi="宋体" w:cs="宋体"/>
                <w:sz w:val="24"/>
              </w:rPr>
            </w:pPr>
            <w:r>
              <w:rPr>
                <w:rFonts w:hint="eastAsia" w:ascii="宋体" w:hAnsi="宋体" w:cs="宋体"/>
                <w:sz w:val="24"/>
                <w:lang w:eastAsia="zh-CN"/>
              </w:rPr>
              <w:t>舒斌</w:t>
            </w:r>
          </w:p>
        </w:tc>
        <w:tc>
          <w:tcPr>
            <w:tcW w:w="4803" w:type="dxa"/>
            <w:tcBorders>
              <w:tl2br w:val="nil"/>
              <w:tr2bl w:val="nil"/>
            </w:tcBorders>
            <w:shd w:val="clear" w:color="auto" w:fill="FFFFFF"/>
            <w:vAlign w:val="center"/>
          </w:tcPr>
          <w:p w14:paraId="2AF7BD6E">
            <w:pPr>
              <w:jc w:val="center"/>
              <w:rPr>
                <w:rFonts w:hint="eastAsia" w:ascii="宋体" w:hAnsi="宋体" w:cs="宋体"/>
                <w:sz w:val="24"/>
              </w:rPr>
            </w:pPr>
            <w:r>
              <w:rPr>
                <w:rFonts w:hint="eastAsia" w:ascii="宋体" w:hAnsi="宋体" w:cs="宋体"/>
                <w:sz w:val="24"/>
                <w:lang w:eastAsia="zh-CN"/>
              </w:rPr>
              <w:t>0800000000205889</w:t>
            </w:r>
          </w:p>
        </w:tc>
        <w:tc>
          <w:tcPr>
            <w:tcW w:w="2115" w:type="dxa"/>
            <w:tcBorders>
              <w:tl2br w:val="nil"/>
              <w:tr2bl w:val="nil"/>
            </w:tcBorders>
            <w:shd w:val="clear" w:color="auto" w:fill="FFFFFF"/>
            <w:vAlign w:val="center"/>
          </w:tcPr>
          <w:p w14:paraId="135FF85F">
            <w:pPr>
              <w:jc w:val="center"/>
              <w:rPr>
                <w:rFonts w:hint="eastAsia" w:ascii="宋体" w:hAnsi="宋体" w:cs="宋体"/>
                <w:sz w:val="24"/>
              </w:rPr>
            </w:pPr>
            <w:r>
              <w:rPr>
                <w:rFonts w:hint="eastAsia" w:ascii="宋体" w:hAnsi="宋体" w:cs="宋体"/>
                <w:sz w:val="24"/>
                <w:lang w:eastAsia="zh-CN"/>
              </w:rPr>
              <w:t>013031</w:t>
            </w:r>
          </w:p>
        </w:tc>
      </w:tr>
      <w:tr w14:paraId="0F2B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E6D1793">
            <w:pPr>
              <w:jc w:val="center"/>
              <w:rPr>
                <w:rFonts w:ascii="宋体" w:hAnsi="宋体" w:cs="宋体"/>
                <w:sz w:val="24"/>
              </w:rPr>
            </w:pPr>
          </w:p>
        </w:tc>
        <w:tc>
          <w:tcPr>
            <w:tcW w:w="1237" w:type="dxa"/>
            <w:tcBorders>
              <w:tl2br w:val="nil"/>
              <w:tr2bl w:val="nil"/>
            </w:tcBorders>
            <w:shd w:val="clear" w:color="auto" w:fill="FFFFFF"/>
            <w:vAlign w:val="center"/>
          </w:tcPr>
          <w:p w14:paraId="3731B40C">
            <w:pPr>
              <w:jc w:val="center"/>
              <w:rPr>
                <w:rFonts w:hint="eastAsia" w:ascii="宋体" w:hAnsi="宋体" w:cs="宋体"/>
                <w:sz w:val="24"/>
              </w:rPr>
            </w:pPr>
            <w:r>
              <w:rPr>
                <w:rFonts w:hint="eastAsia" w:ascii="宋体" w:hAnsi="宋体" w:cs="宋体"/>
                <w:sz w:val="24"/>
                <w:lang w:eastAsia="zh-CN"/>
              </w:rPr>
              <w:t>张晋慧</w:t>
            </w:r>
          </w:p>
        </w:tc>
        <w:tc>
          <w:tcPr>
            <w:tcW w:w="4803" w:type="dxa"/>
            <w:tcBorders>
              <w:tl2br w:val="nil"/>
              <w:tr2bl w:val="nil"/>
            </w:tcBorders>
            <w:shd w:val="clear" w:color="auto" w:fill="FFFFFF"/>
            <w:vAlign w:val="center"/>
          </w:tcPr>
          <w:p w14:paraId="5E54EC41">
            <w:pPr>
              <w:jc w:val="center"/>
              <w:rPr>
                <w:rFonts w:hint="eastAsia" w:ascii="宋体" w:hAnsi="宋体" w:cs="宋体"/>
                <w:sz w:val="24"/>
              </w:rPr>
            </w:pPr>
            <w:r>
              <w:rPr>
                <w:rFonts w:hint="eastAsia" w:ascii="宋体" w:hAnsi="宋体" w:cs="宋体"/>
                <w:sz w:val="24"/>
                <w:lang w:eastAsia="zh-CN"/>
              </w:rPr>
              <w:t>1100000000302946</w:t>
            </w:r>
          </w:p>
        </w:tc>
        <w:tc>
          <w:tcPr>
            <w:tcW w:w="2115" w:type="dxa"/>
            <w:tcBorders>
              <w:tl2br w:val="nil"/>
              <w:tr2bl w:val="nil"/>
            </w:tcBorders>
            <w:shd w:val="clear" w:color="auto" w:fill="FFFFFF"/>
            <w:vAlign w:val="center"/>
          </w:tcPr>
          <w:p w14:paraId="0EA3FFA0">
            <w:pPr>
              <w:jc w:val="center"/>
              <w:rPr>
                <w:rFonts w:hint="default" w:ascii="宋体" w:hAnsi="宋体" w:cs="宋体"/>
                <w:sz w:val="24"/>
                <w:lang w:val="en-US" w:eastAsia="zh-CN"/>
              </w:rPr>
            </w:pPr>
            <w:r>
              <w:rPr>
                <w:rFonts w:hint="eastAsia" w:ascii="宋体" w:hAnsi="宋体" w:cs="宋体"/>
                <w:sz w:val="24"/>
                <w:lang w:eastAsia="zh-CN"/>
              </w:rPr>
              <w:t>0</w:t>
            </w:r>
            <w:r>
              <w:rPr>
                <w:rFonts w:hint="eastAsia" w:ascii="宋体" w:hAnsi="宋体" w:cs="宋体"/>
                <w:sz w:val="24"/>
                <w:lang w:val="en-US" w:eastAsia="zh-CN"/>
              </w:rPr>
              <w:t>20045</w:t>
            </w:r>
          </w:p>
        </w:tc>
      </w:tr>
      <w:tr w14:paraId="011B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5AB04B7">
            <w:pPr>
              <w:jc w:val="center"/>
              <w:rPr>
                <w:rFonts w:ascii="宋体" w:hAnsi="宋体" w:cs="宋体"/>
                <w:sz w:val="24"/>
              </w:rPr>
            </w:pPr>
          </w:p>
        </w:tc>
        <w:tc>
          <w:tcPr>
            <w:tcW w:w="1237" w:type="dxa"/>
            <w:tcBorders>
              <w:tl2br w:val="nil"/>
              <w:tr2bl w:val="nil"/>
            </w:tcBorders>
            <w:shd w:val="clear" w:color="auto" w:fill="FFFFFF"/>
            <w:vAlign w:val="center"/>
          </w:tcPr>
          <w:p w14:paraId="4F508235">
            <w:pPr>
              <w:jc w:val="center"/>
              <w:rPr>
                <w:rFonts w:hint="default" w:ascii="宋体" w:hAnsi="宋体" w:cs="宋体"/>
                <w:sz w:val="24"/>
                <w:lang w:val="en-US" w:eastAsia="zh-CN"/>
              </w:rPr>
            </w:pPr>
            <w:r>
              <w:rPr>
                <w:rFonts w:hint="eastAsia" w:ascii="宋体" w:hAnsi="宋体" w:cs="宋体"/>
                <w:sz w:val="24"/>
                <w:lang w:val="en-US" w:eastAsia="zh-CN"/>
              </w:rPr>
              <w:t>赵云峰</w:t>
            </w:r>
          </w:p>
        </w:tc>
        <w:tc>
          <w:tcPr>
            <w:tcW w:w="4803" w:type="dxa"/>
            <w:tcBorders>
              <w:tl2br w:val="nil"/>
              <w:tr2bl w:val="nil"/>
            </w:tcBorders>
            <w:shd w:val="clear" w:color="auto" w:fill="FFFFFF"/>
            <w:vAlign w:val="center"/>
          </w:tcPr>
          <w:p w14:paraId="0E1A6948">
            <w:pPr>
              <w:jc w:val="center"/>
              <w:rPr>
                <w:rFonts w:hint="eastAsia" w:ascii="宋体" w:hAnsi="宋体" w:cs="宋体"/>
                <w:sz w:val="24"/>
              </w:rPr>
            </w:pPr>
            <w:r>
              <w:rPr>
                <w:rFonts w:hint="eastAsia" w:ascii="宋体" w:hAnsi="宋体" w:cs="宋体"/>
                <w:sz w:val="24"/>
                <w:lang w:val="en-US" w:eastAsia="zh-CN"/>
              </w:rPr>
              <w:t>1600000000200809</w:t>
            </w:r>
          </w:p>
        </w:tc>
        <w:tc>
          <w:tcPr>
            <w:tcW w:w="2115" w:type="dxa"/>
            <w:tcBorders>
              <w:tl2br w:val="nil"/>
              <w:tr2bl w:val="nil"/>
            </w:tcBorders>
            <w:shd w:val="clear" w:color="auto" w:fill="FFFFFF"/>
            <w:vAlign w:val="center"/>
          </w:tcPr>
          <w:p w14:paraId="34039BB0">
            <w:pPr>
              <w:jc w:val="center"/>
              <w:rPr>
                <w:rFonts w:hint="default" w:ascii="宋体" w:hAnsi="宋体" w:cs="宋体"/>
                <w:sz w:val="24"/>
                <w:lang w:val="en-US" w:eastAsia="zh-CN"/>
              </w:rPr>
            </w:pPr>
            <w:r>
              <w:rPr>
                <w:rFonts w:hint="eastAsia" w:ascii="宋体" w:hAnsi="宋体" w:cs="宋体"/>
                <w:sz w:val="24"/>
                <w:lang w:val="en-US" w:eastAsia="zh-CN"/>
              </w:rPr>
              <w:t>030095</w:t>
            </w:r>
          </w:p>
        </w:tc>
      </w:tr>
      <w:tr w14:paraId="4F9C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F542EE4">
            <w:pPr>
              <w:jc w:val="center"/>
              <w:rPr>
                <w:rFonts w:ascii="宋体" w:hAnsi="宋体" w:cs="宋体"/>
                <w:sz w:val="24"/>
              </w:rPr>
            </w:pPr>
          </w:p>
        </w:tc>
        <w:tc>
          <w:tcPr>
            <w:tcW w:w="1237" w:type="dxa"/>
            <w:tcBorders>
              <w:tl2br w:val="nil"/>
              <w:tr2bl w:val="nil"/>
            </w:tcBorders>
            <w:shd w:val="clear" w:color="auto" w:fill="FFFFFF"/>
            <w:vAlign w:val="center"/>
          </w:tcPr>
          <w:p w14:paraId="4320B2A6">
            <w:pPr>
              <w:jc w:val="center"/>
              <w:rPr>
                <w:rFonts w:hint="eastAsia" w:ascii="宋体" w:hAnsi="宋体" w:cs="宋体"/>
                <w:sz w:val="24"/>
                <w:lang w:val="en-US" w:eastAsia="zh-CN"/>
              </w:rPr>
            </w:pPr>
            <w:r>
              <w:rPr>
                <w:rFonts w:hint="eastAsia" w:ascii="宋体" w:hAnsi="宋体" w:cs="宋体"/>
                <w:sz w:val="24"/>
                <w:lang w:val="en-US" w:eastAsia="zh-CN"/>
              </w:rPr>
              <w:t>谢雨飞</w:t>
            </w:r>
          </w:p>
        </w:tc>
        <w:tc>
          <w:tcPr>
            <w:tcW w:w="4803" w:type="dxa"/>
            <w:tcBorders>
              <w:tl2br w:val="nil"/>
              <w:tr2bl w:val="nil"/>
            </w:tcBorders>
            <w:shd w:val="clear" w:color="auto" w:fill="FFFFFF"/>
            <w:vAlign w:val="center"/>
          </w:tcPr>
          <w:p w14:paraId="70C9750C">
            <w:pPr>
              <w:jc w:val="center"/>
              <w:rPr>
                <w:rFonts w:hint="eastAsia" w:ascii="宋体" w:hAnsi="宋体" w:cs="宋体"/>
                <w:sz w:val="24"/>
                <w:lang w:val="en-US" w:eastAsia="zh-CN"/>
              </w:rPr>
            </w:pPr>
            <w:r>
              <w:rPr>
                <w:rFonts w:hint="eastAsia" w:ascii="宋体" w:hAnsi="宋体" w:cs="宋体"/>
                <w:sz w:val="24"/>
                <w:lang w:val="en-US" w:eastAsia="zh-CN"/>
              </w:rPr>
              <w:t>CAW</w:t>
            </w:r>
            <w:bookmarkStart w:id="0" w:name="_GoBack"/>
            <w:bookmarkEnd w:id="0"/>
            <w:r>
              <w:rPr>
                <w:rFonts w:hint="eastAsia" w:ascii="宋体" w:hAnsi="宋体" w:cs="宋体"/>
                <w:sz w:val="24"/>
                <w:lang w:val="en-US" w:eastAsia="zh-CN"/>
              </w:rPr>
              <w:t>S350000230200227</w:t>
            </w:r>
          </w:p>
        </w:tc>
        <w:tc>
          <w:tcPr>
            <w:tcW w:w="2115" w:type="dxa"/>
            <w:tcBorders>
              <w:tl2br w:val="nil"/>
              <w:tr2bl w:val="nil"/>
            </w:tcBorders>
            <w:shd w:val="clear" w:color="auto" w:fill="FFFFFF"/>
            <w:vAlign w:val="center"/>
          </w:tcPr>
          <w:p w14:paraId="2C5E2BF3">
            <w:pPr>
              <w:jc w:val="center"/>
              <w:rPr>
                <w:rFonts w:hint="eastAsia" w:ascii="宋体" w:hAnsi="宋体" w:cs="宋体"/>
                <w:sz w:val="24"/>
                <w:lang w:val="en-US" w:eastAsia="zh-CN"/>
              </w:rPr>
            </w:pPr>
            <w:r>
              <w:rPr>
                <w:rFonts w:hint="eastAsia" w:ascii="宋体" w:hAnsi="宋体" w:cs="宋体"/>
                <w:sz w:val="24"/>
                <w:lang w:val="en-US" w:eastAsia="zh-CN"/>
              </w:rPr>
              <w:t>043378</w:t>
            </w:r>
          </w:p>
        </w:tc>
      </w:tr>
      <w:tr w14:paraId="0664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5419EC2">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3155A62">
            <w:pPr>
              <w:jc w:val="center"/>
              <w:rPr>
                <w:rFonts w:ascii="宋体" w:hAnsi="宋体" w:cs="宋体"/>
                <w:sz w:val="24"/>
              </w:rPr>
            </w:pPr>
            <w:r>
              <w:rPr>
                <w:rFonts w:hint="eastAsia" w:ascii="宋体" w:hAnsi="宋体" w:cs="宋体"/>
                <w:sz w:val="24"/>
              </w:rPr>
              <w:t>/</w:t>
            </w:r>
          </w:p>
        </w:tc>
      </w:tr>
      <w:tr w14:paraId="7701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781712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2A5711E2">
            <w:pPr>
              <w:widowControl/>
              <w:spacing w:after="150"/>
              <w:jc w:val="center"/>
              <w:rPr>
                <w:rFonts w:hint="default" w:ascii="Times New Roman" w:hAnsi="Times New Roman" w:eastAsia="宋体"/>
                <w:sz w:val="24"/>
                <w:lang w:val="en-US" w:eastAsia="zh-CN"/>
              </w:rPr>
            </w:pPr>
            <w:r>
              <w:rPr>
                <w:rFonts w:hint="eastAsia" w:ascii="Times New Roman" w:hAnsi="Times New Roman"/>
                <w:sz w:val="24"/>
              </w:rPr>
              <w:t>熊克书</w:t>
            </w:r>
            <w:r>
              <w:rPr>
                <w:rFonts w:hint="eastAsia"/>
                <w:sz w:val="24"/>
                <w:lang w:val="en-US" w:eastAsia="zh-CN"/>
              </w:rPr>
              <w:t>2025年7月18日</w:t>
            </w:r>
          </w:p>
        </w:tc>
      </w:tr>
      <w:tr w14:paraId="699D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00480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76100CE6">
            <w:pPr>
              <w:widowControl/>
              <w:spacing w:after="150"/>
              <w:jc w:val="center"/>
              <w:rPr>
                <w:rFonts w:hint="default" w:ascii="Times New Roman" w:hAnsi="Times New Roman" w:eastAsia="宋体"/>
                <w:color w:val="FF0000"/>
                <w:sz w:val="24"/>
                <w:lang w:val="en-US" w:eastAsia="zh-CN"/>
              </w:rPr>
            </w:pPr>
            <w:r>
              <w:rPr>
                <w:rFonts w:hint="eastAsia" w:ascii="Times New Roman" w:hAnsi="Times New Roman"/>
                <w:sz w:val="24"/>
                <w:lang w:val="en-US" w:eastAsia="zh-CN"/>
              </w:rPr>
              <w:t>/</w:t>
            </w:r>
          </w:p>
        </w:tc>
      </w:tr>
      <w:tr w14:paraId="47F8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F28975A">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0A6E300B">
            <w:pPr>
              <w:spacing w:line="240" w:lineRule="auto"/>
              <w:ind w:firstLine="560"/>
              <w:rPr>
                <w:rFonts w:hint="eastAsia"/>
              </w:rPr>
            </w:pPr>
            <w:r>
              <w:rPr>
                <w:rFonts w:hint="eastAsia"/>
              </w:rPr>
              <w:t>吉安宏达秋科技有限公司位于江西省吉安市遂川县工业园区（东区），成立于2014年2月20日，并取得吉安市市场监督管理局颁发的营业执照，注册资本伍仟壹佰捌拾捌万陆仟捌佰元整，法定代表人文明立，公司类型为有限责任公司（自然人投资或控股），统一社会信用代码：913608270910821511，经营范围：许可项目：危险化学品生产、危险化学品经营(依法须经批准的项目，经相关部门批准后在许可有效期内方可开展经营活动，具体经营项目和许可期限以相关部门批准文件或许可证件为准)一般项目:化工产品生产(不含许可类化工产品)，化工产品销售(不含许可类化工产品)，专用化学产品制造(不含危险化学品)，专用化学产品销售(不含危险化学品)，贵金属冶炼，货物进出口，进出口代理，基础化学原料制造(不含危险化学品等许可类化学品的制造)，技术进出口(除依法须经批准的项目外，凭营业执照依法自主开展经营活动)。</w:t>
            </w:r>
          </w:p>
          <w:p w14:paraId="250EAF5D">
            <w:pPr>
              <w:spacing w:line="240" w:lineRule="auto"/>
              <w:ind w:firstLine="560"/>
              <w:rPr>
                <w:rFonts w:hint="eastAsia"/>
              </w:rPr>
            </w:pPr>
            <w:r>
              <w:rPr>
                <w:rFonts w:hint="eastAsia"/>
              </w:rPr>
              <w:t>吉安宏达秋科技有限公司于2023年12月1日换发了安全生产许可证，编号：（赣）WH安许证字[2017]0941号，许可范围：显影液(1200t/a)，有效期：2023年06月15日至2026年06月14日。</w:t>
            </w:r>
          </w:p>
          <w:p w14:paraId="5E3BBDF2">
            <w:pPr>
              <w:spacing w:line="240" w:lineRule="auto"/>
              <w:ind w:firstLine="560"/>
              <w:rPr>
                <w:rFonts w:hint="eastAsia"/>
              </w:rPr>
            </w:pPr>
            <w:r>
              <w:rPr>
                <w:rFonts w:hint="eastAsia"/>
              </w:rPr>
              <w:t>吉安宏达秋科技有限公司于2024年05月21日取得了遂川县应急管理局颁发的《危险化学经营许可证》，编号：赣吉危化经字[2024]3608270001号，经营范围：氯化铁、氯化镍、氯化铜、氢氧化钾、氢氧化钠、氢氧化锂、盐酸、过硫酸钾、甲醇、乙醇、氨水[含氨&gt;10%]、乙酸、甲基磺酸、甲酸、磷酸、硼酸、甲醛溶液、硫酸镍、氨基磺酸、二乙醇胺、硫酸、氰化亚金钾、氰化银***，有效期：2024年05月21日至2027年05月20日。</w:t>
            </w:r>
          </w:p>
          <w:p w14:paraId="6AE68E8F">
            <w:pPr>
              <w:spacing w:line="240" w:lineRule="auto"/>
              <w:ind w:firstLine="560"/>
              <w:rPr>
                <w:rFonts w:hint="eastAsia"/>
              </w:rPr>
            </w:pPr>
            <w:r>
              <w:rPr>
                <w:rFonts w:hint="eastAsia"/>
              </w:rPr>
              <w:t>吉安宏达秋科技有限公司于2025年08月15日取得遂川县发展和改革委员会颁发的吉安宏达秋科技有限公司年产5.5万吨新材料项目《江西省企业投资项目备案凭证》。（项目统一代码为：2508-360827-04-05-995106）。该年产5.5万吨新材料项目拟分期建设，本期为一期一阶段，本期拟建设规模为5万吨新材料。</w:t>
            </w:r>
          </w:p>
          <w:p w14:paraId="65B26496">
            <w:pPr>
              <w:spacing w:line="240" w:lineRule="auto"/>
              <w:ind w:firstLine="560"/>
              <w:rPr>
                <w:rFonts w:hint="eastAsia"/>
              </w:rPr>
            </w:pPr>
            <w:r>
              <w:rPr>
                <w:rFonts w:hint="eastAsia"/>
              </w:rPr>
              <w:t>该项目涉及的原辅料硫酸、甲醛、甲基磺酸、硫脲、氢氧化钾、乙醇胺、硫酸钴、硫酸镍、氯化镍、硼酸及产品化学锡、化学钯、电镀铜、除油剂、柴油（燃料）属于危险化学品。其中硫酸属于易制毒化学品（第三类）；其中甲醛（35%）、氯化镍（可溶性镍化物）、氯酸镍（可溶性镍化物）属于高毒物品。</w:t>
            </w:r>
          </w:p>
          <w:p w14:paraId="43272F66">
            <w:pPr>
              <w:spacing w:line="240" w:lineRule="auto"/>
              <w:ind w:firstLine="560"/>
              <w:rPr>
                <w:rFonts w:hint="eastAsia"/>
              </w:rPr>
            </w:pPr>
            <w:r>
              <w:rPr>
                <w:rFonts w:hint="eastAsia"/>
              </w:rPr>
              <w:t>该项目生产过程中不涉及重点监管的危险化工工艺。</w:t>
            </w:r>
          </w:p>
          <w:p w14:paraId="422E1AD2">
            <w:pPr>
              <w:spacing w:line="240" w:lineRule="auto"/>
              <w:ind w:firstLine="560"/>
              <w:rPr>
                <w:rFonts w:hint="eastAsia"/>
                <w:snapToGrid w:val="0"/>
              </w:rPr>
            </w:pPr>
            <w:r>
              <w:rPr>
                <w:rFonts w:hint="eastAsia"/>
                <w:b w:val="0"/>
                <w:bCs w:val="0"/>
                <w:color w:val="auto"/>
              </w:rPr>
              <w:t>该企业不涉及</w:t>
            </w:r>
            <w:r>
              <w:rPr>
                <w:rFonts w:hint="eastAsia"/>
                <w:b w:val="0"/>
                <w:bCs w:val="0"/>
                <w:color w:val="auto"/>
                <w:lang w:val="en-US" w:eastAsia="zh-CN"/>
              </w:rPr>
              <w:t>重点监管、</w:t>
            </w:r>
            <w:r>
              <w:rPr>
                <w:rFonts w:hint="eastAsia"/>
                <w:b w:val="0"/>
                <w:bCs w:val="0"/>
                <w:color w:val="auto"/>
              </w:rPr>
              <w:t>剧毒化学品、易制爆危险化学品、特别管控危险化学品、监控化学品</w:t>
            </w:r>
            <w:r>
              <w:rPr>
                <w:rFonts w:hint="eastAsia"/>
                <w:b w:val="0"/>
                <w:bCs w:val="0"/>
                <w:color w:val="auto"/>
                <w:lang w:eastAsia="zh-CN"/>
              </w:rPr>
              <w:t>。</w:t>
            </w:r>
          </w:p>
        </w:tc>
      </w:tr>
      <w:tr w14:paraId="5658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60BC4E94">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729697C2">
            <w:pPr>
              <w:keepNext w:val="0"/>
              <w:keepLines w:val="0"/>
              <w:widowControl/>
              <w:suppressLineNumbers w:val="0"/>
              <w:ind w:firstLine="420" w:firstLineChars="200"/>
              <w:jc w:val="left"/>
              <w:rPr>
                <w:rFonts w:hint="eastAsia"/>
                <w:color w:val="auto"/>
              </w:rPr>
            </w:pPr>
            <w:r>
              <w:rPr>
                <w:rFonts w:hint="eastAsia"/>
                <w:color w:val="auto"/>
              </w:rPr>
              <w:t>该类专用化学品根据化学品的用途确定技术配方，生产过程主要为各种原料的配比、混合过程，不发生化学反应，均在常温常压下进行生产。因此，所有产品的生产都采用同样生产设备及工艺流程，每种产品配备生产设备一套。</w:t>
            </w:r>
          </w:p>
          <w:p w14:paraId="6E646E54">
            <w:pPr>
              <w:keepNext w:val="0"/>
              <w:keepLines w:val="0"/>
              <w:widowControl/>
              <w:suppressLineNumbers w:val="0"/>
              <w:ind w:firstLine="420" w:firstLineChars="200"/>
              <w:jc w:val="left"/>
              <w:rPr>
                <w:rFonts w:hint="eastAsia"/>
                <w:color w:val="auto"/>
              </w:rPr>
            </w:pPr>
            <w:r>
              <w:rPr>
                <w:rFonts w:hint="eastAsia"/>
                <w:color w:val="auto"/>
              </w:rPr>
              <w:t>1、工艺流程简述</w:t>
            </w:r>
          </w:p>
          <w:p w14:paraId="7D5F7C12">
            <w:pPr>
              <w:keepNext w:val="0"/>
              <w:keepLines w:val="0"/>
              <w:widowControl/>
              <w:suppressLineNumbers w:val="0"/>
              <w:ind w:firstLine="420" w:firstLineChars="200"/>
              <w:jc w:val="left"/>
              <w:rPr>
                <w:rFonts w:hint="eastAsia"/>
                <w:color w:val="auto"/>
              </w:rPr>
            </w:pPr>
            <w:r>
              <w:rPr>
                <w:rFonts w:hint="eastAsia"/>
                <w:color w:val="auto"/>
              </w:rPr>
              <w:t>生产时开启泵送装置，人工根据不同产品所需的纯水量先将来自纯水装置的纯水泵到调和罐，每种类型的产品均有专用的调和罐，待基础原物料用泵投入完成后再将计量好的添加剂依次序投入到调和罐中，开动搅拌装置，在常温常压的封闭状态下进行调和，使之搅拌溶解在一起。混合搅拌后经检验合格后过滤包装到桶内，最后入库。</w:t>
            </w:r>
          </w:p>
          <w:p w14:paraId="50F05F65">
            <w:pPr>
              <w:keepNext w:val="0"/>
              <w:keepLines w:val="0"/>
              <w:widowControl/>
              <w:numPr>
                <w:ilvl w:val="0"/>
                <w:numId w:val="3"/>
              </w:numPr>
              <w:suppressLineNumbers w:val="0"/>
              <w:ind w:firstLine="420" w:firstLineChars="200"/>
              <w:jc w:val="left"/>
              <w:rPr>
                <w:rFonts w:hint="eastAsia"/>
                <w:color w:val="auto"/>
              </w:rPr>
            </w:pPr>
            <w:r>
              <w:rPr>
                <w:rFonts w:hint="eastAsia"/>
                <w:color w:val="auto"/>
              </w:rPr>
              <w:t>流程方框图。</w:t>
            </w:r>
          </w:p>
          <w:p w14:paraId="7CFABCC0">
            <w:pPr>
              <w:keepNext w:val="0"/>
              <w:keepLines w:val="0"/>
              <w:widowControl/>
              <w:numPr>
                <w:ilvl w:val="0"/>
                <w:numId w:val="0"/>
              </w:numPr>
              <w:suppressLineNumbers w:val="0"/>
              <w:jc w:val="center"/>
            </w:pPr>
            <w:r>
              <w:rPr>
                <w:lang w:bidi="ar-SA"/>
              </w:rPr>
              <w:drawing>
                <wp:inline distT="0" distB="0" distL="114300" distR="114300">
                  <wp:extent cx="1420495" cy="1599565"/>
                  <wp:effectExtent l="0" t="0" r="1905" b="6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
                          <a:stretch>
                            <a:fillRect/>
                          </a:stretch>
                        </pic:blipFill>
                        <pic:spPr>
                          <a:xfrm>
                            <a:off x="0" y="0"/>
                            <a:ext cx="1420495" cy="1599565"/>
                          </a:xfrm>
                          <a:prstGeom prst="rect">
                            <a:avLst/>
                          </a:prstGeom>
                          <a:noFill/>
                          <a:ln>
                            <a:noFill/>
                          </a:ln>
                        </pic:spPr>
                      </pic:pic>
                    </a:graphicData>
                  </a:graphic>
                </wp:inline>
              </w:drawing>
            </w:r>
          </w:p>
        </w:tc>
      </w:tr>
      <w:tr w14:paraId="2BD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A954F8A">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4A8D79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9419F03">
      <w:pPr>
        <w:rPr>
          <w:rFonts w:hint="eastAsia"/>
          <w:lang w:eastAsia="zh-CN"/>
        </w:rPr>
      </w:pPr>
      <w:r>
        <w:rPr>
          <w:rFonts w:hint="eastAsia"/>
          <w:lang w:eastAsia="zh-CN"/>
        </w:rPr>
        <w:br w:type="page"/>
      </w:r>
    </w:p>
    <w:p w14:paraId="523DCE7C">
      <w:pPr>
        <w:rPr>
          <w:rFonts w:hint="eastAsia"/>
          <w:lang w:eastAsia="zh-CN"/>
        </w:rPr>
      </w:pPr>
      <w:r>
        <w:rPr>
          <w:lang w:bidi="ar-SA"/>
        </w:rPr>
        <w:drawing>
          <wp:inline distT="0" distB="0" distL="114300" distR="114300">
            <wp:extent cx="5847715" cy="4992370"/>
            <wp:effectExtent l="0" t="0" r="6985"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
                    <a:stretch>
                      <a:fillRect/>
                    </a:stretch>
                  </pic:blipFill>
                  <pic:spPr>
                    <a:xfrm>
                      <a:off x="0" y="0"/>
                      <a:ext cx="5847715" cy="4992370"/>
                    </a:xfrm>
                    <a:prstGeom prst="rect">
                      <a:avLst/>
                    </a:prstGeom>
                    <a:noFill/>
                    <a:ln>
                      <a:noFill/>
                    </a:ln>
                  </pic:spPr>
                </pic:pic>
              </a:graphicData>
            </a:graphic>
          </wp:inline>
        </w:drawing>
      </w:r>
      <w:r>
        <w:drawing>
          <wp:inline distT="0" distB="0" distL="114300" distR="114300">
            <wp:extent cx="5270500" cy="6937375"/>
            <wp:effectExtent l="0" t="0" r="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5270500" cy="6937375"/>
                    </a:xfrm>
                    <a:prstGeom prst="rect">
                      <a:avLst/>
                    </a:prstGeom>
                    <a:noFill/>
                    <a:ln>
                      <a:noFill/>
                    </a:ln>
                  </pic:spPr>
                </pic:pic>
              </a:graphicData>
            </a:graphic>
          </wp:inline>
        </w:drawing>
      </w:r>
      <w:r>
        <w:drawing>
          <wp:inline distT="0" distB="0" distL="114300" distR="114300">
            <wp:extent cx="5274310" cy="7209155"/>
            <wp:effectExtent l="0" t="0" r="8890" b="444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7"/>
                    <a:stretch>
                      <a:fillRect/>
                    </a:stretch>
                  </pic:blipFill>
                  <pic:spPr>
                    <a:xfrm>
                      <a:off x="0" y="0"/>
                      <a:ext cx="5274310" cy="7209155"/>
                    </a:xfrm>
                    <a:prstGeom prst="rect">
                      <a:avLst/>
                    </a:prstGeom>
                    <a:noFill/>
                    <a:ln>
                      <a:noFill/>
                    </a:ln>
                  </pic:spPr>
                </pic:pic>
              </a:graphicData>
            </a:graphic>
          </wp:inline>
        </w:drawing>
      </w:r>
      <w:r>
        <w:drawing>
          <wp:inline distT="0" distB="0" distL="114300" distR="114300">
            <wp:extent cx="4972050" cy="7429500"/>
            <wp:effectExtent l="0" t="0" r="635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8"/>
                    <a:stretch>
                      <a:fillRect/>
                    </a:stretch>
                  </pic:blipFill>
                  <pic:spPr>
                    <a:xfrm>
                      <a:off x="0" y="0"/>
                      <a:ext cx="4972050" cy="7429500"/>
                    </a:xfrm>
                    <a:prstGeom prst="rect">
                      <a:avLst/>
                    </a:prstGeom>
                    <a:noFill/>
                    <a:ln>
                      <a:noFill/>
                    </a:ln>
                  </pic:spPr>
                </pic:pic>
              </a:graphicData>
            </a:graphic>
          </wp:inline>
        </w:drawing>
      </w:r>
      <w:r>
        <w:drawing>
          <wp:inline distT="0" distB="0" distL="114300" distR="114300">
            <wp:extent cx="5270500" cy="7724140"/>
            <wp:effectExtent l="0" t="0" r="0" b="1016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9"/>
                    <a:stretch>
                      <a:fillRect/>
                    </a:stretch>
                  </pic:blipFill>
                  <pic:spPr>
                    <a:xfrm>
                      <a:off x="0" y="0"/>
                      <a:ext cx="5270500" cy="7724140"/>
                    </a:xfrm>
                    <a:prstGeom prst="rect">
                      <a:avLst/>
                    </a:prstGeom>
                    <a:noFill/>
                    <a:ln>
                      <a:noFill/>
                    </a:ln>
                  </pic:spPr>
                </pic:pic>
              </a:graphicData>
            </a:graphic>
          </wp:inline>
        </w:drawing>
      </w:r>
    </w:p>
    <w:p w14:paraId="2B1DFF98">
      <w:pPr>
        <w:pStyle w:val="22"/>
        <w:ind w:left="0" w:leftChars="0" w:firstLine="0" w:firstLineChars="0"/>
        <w:jc w:val="center"/>
        <w:rPr>
          <w:rFonts w:hint="eastAsia" w:eastAsia="宋体"/>
          <w:lang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94E452F8"/>
    <w:multiLevelType w:val="singleLevel"/>
    <w:tmpl w:val="94E452F8"/>
    <w:lvl w:ilvl="0" w:tentative="0">
      <w:start w:val="2"/>
      <w:numFmt w:val="decimal"/>
      <w:suff w:val="nothing"/>
      <w:lvlText w:val="%1、"/>
      <w:lvlJc w:val="left"/>
    </w:lvl>
  </w:abstractNum>
  <w:abstractNum w:abstractNumId="2">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1E43C17"/>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D0227BA"/>
    <w:rsid w:val="0D073DB5"/>
    <w:rsid w:val="0D081033"/>
    <w:rsid w:val="0E564C35"/>
    <w:rsid w:val="0EC817E1"/>
    <w:rsid w:val="0F1C6141"/>
    <w:rsid w:val="0F423341"/>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6B10157"/>
    <w:rsid w:val="16F51CB9"/>
    <w:rsid w:val="172B1294"/>
    <w:rsid w:val="17505468"/>
    <w:rsid w:val="1752433D"/>
    <w:rsid w:val="17550DB0"/>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AF71484"/>
    <w:rsid w:val="1B63147C"/>
    <w:rsid w:val="1C2F6387"/>
    <w:rsid w:val="1C3244B8"/>
    <w:rsid w:val="1C3E4E60"/>
    <w:rsid w:val="1C461987"/>
    <w:rsid w:val="1C4B6410"/>
    <w:rsid w:val="1C67088B"/>
    <w:rsid w:val="1C970306"/>
    <w:rsid w:val="1CD13F56"/>
    <w:rsid w:val="1CD14F1F"/>
    <w:rsid w:val="1CEA3399"/>
    <w:rsid w:val="1DA60EEB"/>
    <w:rsid w:val="1F0F5E71"/>
    <w:rsid w:val="1F142A61"/>
    <w:rsid w:val="1F373426"/>
    <w:rsid w:val="1F642D26"/>
    <w:rsid w:val="1FAC2BD1"/>
    <w:rsid w:val="1FC658C9"/>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944ACD"/>
    <w:rsid w:val="2BD9110B"/>
    <w:rsid w:val="2C9D3BC7"/>
    <w:rsid w:val="2CF2686E"/>
    <w:rsid w:val="2E9E272A"/>
    <w:rsid w:val="2EAE6403"/>
    <w:rsid w:val="2F5C124E"/>
    <w:rsid w:val="31055C5A"/>
    <w:rsid w:val="3256187C"/>
    <w:rsid w:val="3259568C"/>
    <w:rsid w:val="32A31CA7"/>
    <w:rsid w:val="32A66941"/>
    <w:rsid w:val="334B2415"/>
    <w:rsid w:val="339918AA"/>
    <w:rsid w:val="33BD2F62"/>
    <w:rsid w:val="33C148CD"/>
    <w:rsid w:val="33E01751"/>
    <w:rsid w:val="341F407D"/>
    <w:rsid w:val="34BD4A82"/>
    <w:rsid w:val="351530F3"/>
    <w:rsid w:val="351B1DBB"/>
    <w:rsid w:val="35211925"/>
    <w:rsid w:val="35524794"/>
    <w:rsid w:val="36577381"/>
    <w:rsid w:val="366115C7"/>
    <w:rsid w:val="368F242B"/>
    <w:rsid w:val="36E75766"/>
    <w:rsid w:val="37285AB1"/>
    <w:rsid w:val="375C6F30"/>
    <w:rsid w:val="3781684D"/>
    <w:rsid w:val="3823766B"/>
    <w:rsid w:val="396748BA"/>
    <w:rsid w:val="39AC13AD"/>
    <w:rsid w:val="3A751F6D"/>
    <w:rsid w:val="3AAA1C17"/>
    <w:rsid w:val="3AB6680E"/>
    <w:rsid w:val="3AD61658"/>
    <w:rsid w:val="3ADD7367"/>
    <w:rsid w:val="3AF50232"/>
    <w:rsid w:val="3B251FB8"/>
    <w:rsid w:val="3B3712DA"/>
    <w:rsid w:val="3B516ED3"/>
    <w:rsid w:val="3B622014"/>
    <w:rsid w:val="3B822519"/>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657908"/>
    <w:rsid w:val="4BE40D01"/>
    <w:rsid w:val="4CDE060B"/>
    <w:rsid w:val="4E2E60EA"/>
    <w:rsid w:val="4E3D5914"/>
    <w:rsid w:val="4E461B89"/>
    <w:rsid w:val="4E834801"/>
    <w:rsid w:val="4F4C1097"/>
    <w:rsid w:val="4F844CD5"/>
    <w:rsid w:val="4F9D18F3"/>
    <w:rsid w:val="4FB01626"/>
    <w:rsid w:val="4FF32FA8"/>
    <w:rsid w:val="50EA0B03"/>
    <w:rsid w:val="512A57AB"/>
    <w:rsid w:val="515A3854"/>
    <w:rsid w:val="5276471A"/>
    <w:rsid w:val="52B20F97"/>
    <w:rsid w:val="52CC47C0"/>
    <w:rsid w:val="52E07D49"/>
    <w:rsid w:val="5374510A"/>
    <w:rsid w:val="53F5005F"/>
    <w:rsid w:val="550C37A2"/>
    <w:rsid w:val="563253F0"/>
    <w:rsid w:val="563D2137"/>
    <w:rsid w:val="565D015E"/>
    <w:rsid w:val="56836AB2"/>
    <w:rsid w:val="56975AB3"/>
    <w:rsid w:val="56BC2DE3"/>
    <w:rsid w:val="56D42C4D"/>
    <w:rsid w:val="56EF512A"/>
    <w:rsid w:val="57301D47"/>
    <w:rsid w:val="57487036"/>
    <w:rsid w:val="575D6537"/>
    <w:rsid w:val="57800B40"/>
    <w:rsid w:val="57CD2DFE"/>
    <w:rsid w:val="58244FE5"/>
    <w:rsid w:val="583628E4"/>
    <w:rsid w:val="584B13F6"/>
    <w:rsid w:val="59217B49"/>
    <w:rsid w:val="59523166"/>
    <w:rsid w:val="59656964"/>
    <w:rsid w:val="59A860E0"/>
    <w:rsid w:val="59D926D2"/>
    <w:rsid w:val="5A034680"/>
    <w:rsid w:val="5AA52A54"/>
    <w:rsid w:val="5B070568"/>
    <w:rsid w:val="5B856EE5"/>
    <w:rsid w:val="5BC05975"/>
    <w:rsid w:val="5BD743DE"/>
    <w:rsid w:val="5C3A1541"/>
    <w:rsid w:val="5CA15F65"/>
    <w:rsid w:val="5D63281F"/>
    <w:rsid w:val="5D706898"/>
    <w:rsid w:val="5D731EE5"/>
    <w:rsid w:val="5D7C7100"/>
    <w:rsid w:val="5D89238E"/>
    <w:rsid w:val="5D8C28DB"/>
    <w:rsid w:val="5DA30A1C"/>
    <w:rsid w:val="5E0319FE"/>
    <w:rsid w:val="5E1A42E3"/>
    <w:rsid w:val="5E3F6556"/>
    <w:rsid w:val="5E4A7A0E"/>
    <w:rsid w:val="5E8C3C37"/>
    <w:rsid w:val="5EBC6D64"/>
    <w:rsid w:val="5ED03402"/>
    <w:rsid w:val="5F182B4A"/>
    <w:rsid w:val="5F2D2C93"/>
    <w:rsid w:val="5FD163AE"/>
    <w:rsid w:val="60057BEA"/>
    <w:rsid w:val="60912DAE"/>
    <w:rsid w:val="6098413C"/>
    <w:rsid w:val="60B44CEE"/>
    <w:rsid w:val="60B460AF"/>
    <w:rsid w:val="60CF38D6"/>
    <w:rsid w:val="619747AF"/>
    <w:rsid w:val="621C336D"/>
    <w:rsid w:val="62864468"/>
    <w:rsid w:val="629E5C56"/>
    <w:rsid w:val="62A05F08"/>
    <w:rsid w:val="62EA5BC6"/>
    <w:rsid w:val="630737FB"/>
    <w:rsid w:val="638C3AFD"/>
    <w:rsid w:val="63C25DAA"/>
    <w:rsid w:val="64126CC6"/>
    <w:rsid w:val="648F0582"/>
    <w:rsid w:val="64F540D9"/>
    <w:rsid w:val="6559245A"/>
    <w:rsid w:val="65622F6B"/>
    <w:rsid w:val="658C415A"/>
    <w:rsid w:val="65BD6D5B"/>
    <w:rsid w:val="65D555D1"/>
    <w:rsid w:val="66415650"/>
    <w:rsid w:val="669B3B41"/>
    <w:rsid w:val="66C53C4A"/>
    <w:rsid w:val="673B297E"/>
    <w:rsid w:val="678F323C"/>
    <w:rsid w:val="67F105D6"/>
    <w:rsid w:val="67FD6F7B"/>
    <w:rsid w:val="68233EA0"/>
    <w:rsid w:val="68A30209"/>
    <w:rsid w:val="68C86C57"/>
    <w:rsid w:val="69C2222A"/>
    <w:rsid w:val="6AA57F27"/>
    <w:rsid w:val="6CC37EB5"/>
    <w:rsid w:val="6D1139EB"/>
    <w:rsid w:val="6D27066C"/>
    <w:rsid w:val="6D3457FF"/>
    <w:rsid w:val="6DC01176"/>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397B"/>
    <w:rsid w:val="729E3A33"/>
    <w:rsid w:val="72C43B37"/>
    <w:rsid w:val="73670AB5"/>
    <w:rsid w:val="737D1DEA"/>
    <w:rsid w:val="74150FF5"/>
    <w:rsid w:val="748B2EA1"/>
    <w:rsid w:val="74AE0F56"/>
    <w:rsid w:val="75620F8D"/>
    <w:rsid w:val="76391AC6"/>
    <w:rsid w:val="7672193D"/>
    <w:rsid w:val="770403EE"/>
    <w:rsid w:val="771C50B0"/>
    <w:rsid w:val="771E190D"/>
    <w:rsid w:val="77832F9B"/>
    <w:rsid w:val="77C519A6"/>
    <w:rsid w:val="78063C29"/>
    <w:rsid w:val="784004D1"/>
    <w:rsid w:val="78725E9B"/>
    <w:rsid w:val="7877129B"/>
    <w:rsid w:val="787B0173"/>
    <w:rsid w:val="79302291"/>
    <w:rsid w:val="797D7F1B"/>
    <w:rsid w:val="79CB65A5"/>
    <w:rsid w:val="79F44E86"/>
    <w:rsid w:val="79FE7AE0"/>
    <w:rsid w:val="7A083C89"/>
    <w:rsid w:val="7AA15E8B"/>
    <w:rsid w:val="7B424553"/>
    <w:rsid w:val="7BB96559"/>
    <w:rsid w:val="7BF25D18"/>
    <w:rsid w:val="7C304A31"/>
    <w:rsid w:val="7C6520EB"/>
    <w:rsid w:val="7C85225C"/>
    <w:rsid w:val="7D1943FF"/>
    <w:rsid w:val="7D7347EF"/>
    <w:rsid w:val="7D9755D5"/>
    <w:rsid w:val="7D9B14E2"/>
    <w:rsid w:val="7DB761A8"/>
    <w:rsid w:val="7DD52B5A"/>
    <w:rsid w:val="7DEB1BEB"/>
    <w:rsid w:val="7E522673"/>
    <w:rsid w:val="7E81400A"/>
    <w:rsid w:val="7EA63A70"/>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5"/>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unhideWhenUsed/>
    <w:qFormat/>
    <w:uiPriority w:val="0"/>
    <w:pPr>
      <w:keepNext/>
      <w:keepLines/>
      <w:outlineLvl w:val="3"/>
    </w:pPr>
    <w:rPr>
      <w:b/>
    </w:rPr>
  </w:style>
  <w:style w:type="character" w:default="1" w:styleId="25">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styleId="7">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Body Text"/>
    <w:basedOn w:val="1"/>
    <w:next w:val="1"/>
    <w:qFormat/>
    <w:uiPriority w:val="99"/>
    <w:rPr>
      <w:sz w:val="28"/>
      <w:szCs w:val="28"/>
    </w:rPr>
  </w:style>
  <w:style w:type="paragraph" w:styleId="9">
    <w:name w:val="Body Text Indent"/>
    <w:basedOn w:val="1"/>
    <w:next w:val="10"/>
    <w:unhideWhenUsed/>
    <w:qFormat/>
    <w:uiPriority w:val="99"/>
    <w:pPr>
      <w:spacing w:after="120"/>
      <w:ind w:left="420" w:leftChars="200"/>
    </w:p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2"/>
    <w:qFormat/>
    <w:uiPriority w:val="0"/>
    <w:rPr>
      <w:sz w:val="18"/>
      <w:szCs w:val="18"/>
    </w:rPr>
  </w:style>
  <w:style w:type="paragraph" w:styleId="15">
    <w:name w:val="footer"/>
    <w:basedOn w:val="1"/>
    <w:next w:val="16"/>
    <w:qFormat/>
    <w:uiPriority w:val="0"/>
    <w:pPr>
      <w:tabs>
        <w:tab w:val="center" w:pos="4153"/>
        <w:tab w:val="right" w:pos="8306"/>
      </w:tabs>
      <w:snapToGrid w:val="0"/>
    </w:pPr>
    <w:rPr>
      <w:sz w:val="18"/>
      <w:szCs w:val="18"/>
    </w:rPr>
  </w:style>
  <w:style w:type="paragraph" w:styleId="16">
    <w:name w:val="Normal (Web)"/>
    <w:basedOn w:val="1"/>
    <w:next w:val="17"/>
    <w:qFormat/>
    <w:uiPriority w:val="0"/>
    <w:pPr>
      <w:spacing w:before="100" w:beforeAutospacing="1" w:after="100" w:afterAutospacing="1"/>
      <w:jc w:val="left"/>
    </w:pPr>
    <w:rPr>
      <w:kern w:val="0"/>
      <w:sz w:val="24"/>
    </w:rPr>
  </w:style>
  <w:style w:type="paragraph" w:customStyle="1" w:styleId="17">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jc w:val="left"/>
    </w:pPr>
    <w:rPr>
      <w:rFonts w:ascii="宋体"/>
      <w:b/>
      <w:bCs/>
      <w:caps/>
      <w:sz w:val="20"/>
      <w:szCs w:val="20"/>
    </w:rPr>
  </w:style>
  <w:style w:type="paragraph" w:styleId="20">
    <w:name w:val="Body Text Indent 3"/>
    <w:basedOn w:val="1"/>
    <w:qFormat/>
    <w:uiPriority w:val="0"/>
    <w:pPr>
      <w:ind w:firstLine="630"/>
    </w:pPr>
    <w:rPr>
      <w:rFonts w:ascii="Times New Roman" w:hAnsi="Times New Roman" w:eastAsia="仿宋_GB2312"/>
      <w:sz w:val="28"/>
    </w:rPr>
  </w:style>
  <w:style w:type="paragraph" w:styleId="21">
    <w:name w:val="Body Text First Indent"/>
    <w:basedOn w:val="8"/>
    <w:next w:val="1"/>
    <w:qFormat/>
    <w:uiPriority w:val="0"/>
    <w:pPr>
      <w:spacing w:after="120"/>
      <w:ind w:firstLine="420" w:firstLineChars="100"/>
    </w:pPr>
  </w:style>
  <w:style w:type="paragraph" w:styleId="22">
    <w:name w:val="Body Text First Indent 2"/>
    <w:basedOn w:val="9"/>
    <w:next w:val="23"/>
    <w:unhideWhenUsed/>
    <w:qFormat/>
    <w:uiPriority w:val="99"/>
    <w:pPr>
      <w:ind w:firstLine="420" w:firstLineChars="200"/>
    </w:pPr>
  </w:style>
  <w:style w:type="paragraph" w:customStyle="1" w:styleId="23">
    <w:name w:val="正文2"/>
    <w:basedOn w:val="1"/>
    <w:qFormat/>
    <w:uiPriority w:val="0"/>
    <w:pPr>
      <w:spacing w:line="440" w:lineRule="atLeast"/>
      <w:ind w:firstLine="567"/>
    </w:pPr>
    <w:rPr>
      <w:sz w:val="24"/>
      <w:szCs w:val="20"/>
    </w:rPr>
  </w:style>
  <w:style w:type="paragraph" w:customStyle="1" w:styleId="26">
    <w:name w:val="Default"/>
    <w:basedOn w:val="27"/>
    <w:next w:val="22"/>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5"/>
    <w:link w:val="14"/>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5"/>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5"/>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1364</Words>
  <Characters>1606</Characters>
  <Lines>8</Lines>
  <Paragraphs>2</Paragraphs>
  <TotalTime>6</TotalTime>
  <ScaleCrop>false</ScaleCrop>
  <LinksUpToDate>false</LinksUpToDate>
  <CharactersWithSpaces>1606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2026-01-28T05:51:00Z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2C91919FAC3F4E3290C5E59A0B504719_13</vt:lpwstr>
  </property>
  <property fmtid="{D5CDD505-2E9C-101B-9397-08002B2CF9AE}" pid="4" name="KSOTemplateDocerSaveRecord">
    <vt:lpwstr>eyJoZGlkIjoiNDgzMjdiZTZhYWEwMDUyMzMwMzdhZWM2ZmNjMGMzMDkiLCJ1c2VySWQiOiI1NzcyNjAwMzgifQ==</vt:lpwstr>
  </property>
</Properties>
</file>