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510"/>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江西兴泰化工有限公司在役化工装置全流程自动化提升改造安全验收评价报告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65"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510"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510"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w:t>
            </w:r>
            <w:bookmarkStart w:id="0" w:name="_GoBack"/>
            <w:bookmarkEnd w:id="0"/>
            <w:r>
              <w:rPr>
                <w:rFonts w:hint="eastAsia" w:ascii="宋体" w:hAnsi="宋体" w:eastAsia="宋体" w:cs="宋体"/>
                <w:sz w:val="24"/>
                <w:lang w:eastAsia="zh-CN"/>
              </w:rPr>
              <w:t>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45419EC2">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54" w:hRule="atLeast"/>
          <w:jc w:val="center"/>
        </w:trPr>
        <w:tc>
          <w:tcPr>
            <w:tcW w:w="1510" w:type="dxa"/>
            <w:tcBorders>
              <w:tl2br w:val="nil"/>
              <w:tr2bl w:val="nil"/>
            </w:tcBorders>
            <w:shd w:val="clear" w:color="auto" w:fill="FFFFFF"/>
            <w:vAlign w:val="center"/>
          </w:tcPr>
          <w:p w14:paraId="5781712E">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w:t>
            </w:r>
            <w:r>
              <w:rPr>
                <w:rFonts w:hint="eastAsia"/>
                <w:sz w:val="24"/>
                <w:lang w:val="en-US" w:eastAsia="zh-CN"/>
              </w:rPr>
              <w:t>2025年10月16日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510" w:type="dxa"/>
            <w:tcBorders>
              <w:tl2br w:val="nil"/>
              <w:tr2bl w:val="nil"/>
            </w:tcBorders>
            <w:shd w:val="clear" w:color="auto" w:fill="FFFFFF"/>
            <w:vAlign w:val="center"/>
          </w:tcPr>
          <w:p w14:paraId="00480C70">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谢雨飞2025年10月20日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10"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3EFCE1F2">
            <w:pPr>
              <w:spacing w:line="240" w:lineRule="auto"/>
              <w:ind w:firstLine="560"/>
              <w:rPr>
                <w:rFonts w:hint="eastAsia"/>
              </w:rPr>
            </w:pPr>
            <w:r>
              <w:rPr>
                <w:rFonts w:hint="eastAsia"/>
              </w:rPr>
              <w:t>江西兴泰化工有限公司成立于2012年06月07日，取得泰和县市场监督管理局颁发的营业执照，统一社会信用代码：91360826596547268Q，注册资本：贰仟捌佰万元整，法定代表人：邓彭，经营范围：林产化学产品制造、销售（危险化学品除外）；对外贸易经营（凭对外贸易登记备案表经营）。（国家有专项规定的除外）。</w:t>
            </w:r>
          </w:p>
          <w:p w14:paraId="28FB0FC4">
            <w:pPr>
              <w:spacing w:line="240" w:lineRule="auto"/>
              <w:ind w:firstLine="560"/>
              <w:rPr>
                <w:rFonts w:hint="eastAsia"/>
              </w:rPr>
            </w:pPr>
            <w:r>
              <w:rPr>
                <w:rFonts w:hint="eastAsia"/>
              </w:rPr>
              <w:t>江西兴泰化工有限公司在役化工装置为年产10000吨松香树脂，涉及的物料有松香、甘油、树脂油、松香树脂，均未列入《危险化学品目录》（2015年版），故无需办理危险化学品生产企业安全生产许可证和危险化学品使用许可证。</w:t>
            </w:r>
          </w:p>
          <w:p w14:paraId="7DB8A097">
            <w:pPr>
              <w:spacing w:line="240" w:lineRule="auto"/>
              <w:ind w:firstLine="560"/>
              <w:rPr>
                <w:rFonts w:hint="eastAsia"/>
              </w:rPr>
            </w:pPr>
            <w:r>
              <w:rPr>
                <w:rFonts w:hint="eastAsia"/>
              </w:rPr>
              <w:t>根据《江西省应急管理厅关于印发(江西省化工企业自动化提升实施方案)(试行)的通知》(赣应急字[2021]190号)等相关规范、标准及文件的要求，江西兴泰化工有限公司于2022年9月委托山东鸿运工程设计有限公司编制了《江西兴泰化工有限公司在役装置安全诊断设计》。</w:t>
            </w:r>
          </w:p>
          <w:p w14:paraId="5AF1D29A">
            <w:pPr>
              <w:spacing w:line="240" w:lineRule="auto"/>
              <w:ind w:firstLine="560"/>
              <w:rPr>
                <w:rFonts w:hint="eastAsia"/>
              </w:rPr>
            </w:pPr>
            <w:r>
              <w:rPr>
                <w:rFonts w:hint="eastAsia"/>
              </w:rPr>
              <w:t>江西兴泰化工有限公司在役装置全流程自动化控制工程由浙中自控工程（西安）有限公司负责安装、调试，并于2025年5月出具了《江西兴泰化工有限公司在役装置PLC控制系统提升改造项目调试验收报告》。</w:t>
            </w:r>
          </w:p>
          <w:p w14:paraId="2AFCBC60">
            <w:pPr>
              <w:spacing w:line="240" w:lineRule="auto"/>
              <w:ind w:firstLine="560"/>
              <w:rPr>
                <w:rFonts w:hint="eastAsia"/>
              </w:rPr>
            </w:pPr>
            <w:r>
              <w:rPr>
                <w:rFonts w:hint="eastAsia"/>
              </w:rPr>
              <w:t>根据《危险化学品目录》（2015年版）、应急管理部办公厅关于修改《危险化学品目录（2015年版）实施指南（试行）》涉及柴油部分内容的通知（应急厅函〔2022〕300号）和《应急管理部工业和信息化部公安部生态环境部交通运输部农业农村部卫生健康委市场监管总局铁路局民航局公告》2022年第8号《决定调整《危险化学品目录（2015版）》，将“1674柴油〔闭杯闪点≤60℃〕”调整为“1674柴油”》的文件规定，对该企业生产过程中所涉及的化学品进行辨识：该企业涉及的危险化学品有天然气（锅炉燃料）、柴油（发电机燃料）。</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510" w:type="dxa"/>
            <w:tcBorders>
              <w:tl2br w:val="nil"/>
              <w:tr2bl w:val="nil"/>
            </w:tcBorders>
            <w:shd w:val="clear" w:color="auto" w:fill="FFFFFF"/>
            <w:vAlign w:val="center"/>
          </w:tcPr>
          <w:p w14:paraId="60BC4E94">
            <w:pPr>
              <w:keepNext w:val="0"/>
              <w:keepLines w:val="0"/>
              <w:pageBreakBefore w:val="0"/>
              <w:widowControl/>
              <w:kinsoku/>
              <w:wordWrap/>
              <w:overflowPunct/>
              <w:topLinePunct w:val="0"/>
              <w:autoSpaceDE/>
              <w:autoSpaceDN/>
              <w:bidi w:val="0"/>
              <w:adjustRightInd/>
              <w:snapToGrid/>
              <w:jc w:val="center"/>
              <w:textAlignment w:val="auto"/>
            </w:pPr>
            <w:r>
              <w:rPr>
                <w:rFonts w:hint="eastAsia"/>
                <w:sz w:val="24"/>
              </w:rPr>
              <w:t>工艺流程</w:t>
            </w:r>
          </w:p>
        </w:tc>
        <w:tc>
          <w:tcPr>
            <w:tcW w:w="8155" w:type="dxa"/>
            <w:gridSpan w:val="3"/>
            <w:tcBorders>
              <w:tl2br w:val="nil"/>
              <w:tr2bl w:val="nil"/>
            </w:tcBorders>
            <w:shd w:val="clear" w:color="auto" w:fill="FFFFFF"/>
          </w:tcPr>
          <w:p w14:paraId="7CFABCC0">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lang w:val="en-US" w:eastAsia="zh-CN"/>
              </w:rPr>
            </w:pPr>
            <w:r>
              <w:rPr>
                <w:rFonts w:hint="eastAsia"/>
                <w:lang w:val="en-US" w:eastAsia="zh-CN"/>
              </w:rPr>
              <w:t>工艺涉及企业商业机密，略。</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13" w:hRule="atLeast"/>
          <w:jc w:val="center"/>
        </w:trPr>
        <w:tc>
          <w:tcPr>
            <w:tcW w:w="1510" w:type="dxa"/>
            <w:tcBorders>
              <w:tl2br w:val="nil"/>
              <w:tr2bl w:val="nil"/>
            </w:tcBorders>
            <w:shd w:val="clear" w:color="auto" w:fill="FFFFFF"/>
            <w:vAlign w:val="center"/>
          </w:tcPr>
          <w:p w14:paraId="4A954F8A">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CCBDC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p>
    <w:p w14:paraId="7B129B8D">
      <w:pPr>
        <w:keepNext w:val="0"/>
        <w:keepLines w:val="0"/>
        <w:pageBreakBefore w:val="0"/>
        <w:widowControl w:val="0"/>
        <w:kinsoku/>
        <w:wordWrap/>
        <w:topLinePunct w:val="0"/>
        <w:bidi w:val="0"/>
        <w:ind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786120" cy="4055745"/>
            <wp:effectExtent l="0" t="0" r="5080" b="13335"/>
            <wp:docPr id="2" name="图片 2" descr="5f8b1921976c2c4ca42120b6d998f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f8b1921976c2c4ca42120b6d998fcc0"/>
                    <pic:cNvPicPr>
                      <a:picLocks noChangeAspect="1"/>
                    </pic:cNvPicPr>
                  </pic:nvPicPr>
                  <pic:blipFill>
                    <a:blip r:embed="rId4"/>
                    <a:stretch>
                      <a:fillRect/>
                    </a:stretch>
                  </pic:blipFill>
                  <pic:spPr>
                    <a:xfrm>
                      <a:off x="0" y="0"/>
                      <a:ext cx="5786120" cy="4055745"/>
                    </a:xfrm>
                    <a:prstGeom prst="rect">
                      <a:avLst/>
                    </a:prstGeom>
                  </pic:spPr>
                </pic:pic>
              </a:graphicData>
            </a:graphic>
          </wp:inline>
        </w:drawing>
      </w:r>
    </w:p>
    <w:p w14:paraId="6D5E6EFB">
      <w:pPr>
        <w:keepNext w:val="0"/>
        <w:keepLines w:val="0"/>
        <w:pageBreakBefore w:val="0"/>
        <w:widowControl w:val="0"/>
        <w:kinsoku/>
        <w:wordWrap/>
        <w:topLinePunct w:val="0"/>
        <w:bidi w:val="0"/>
        <w:ind w:firstLine="0" w:firstLine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5901690" cy="4119880"/>
            <wp:effectExtent l="0" t="0" r="11430" b="10160"/>
            <wp:docPr id="5" name="图片 5" descr="b240284a9021bdb1fa2ed01581cc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240284a9021bdb1fa2ed01581cc2205"/>
                    <pic:cNvPicPr>
                      <a:picLocks noChangeAspect="1"/>
                    </pic:cNvPicPr>
                  </pic:nvPicPr>
                  <pic:blipFill>
                    <a:blip r:embed="rId5"/>
                    <a:stretch>
                      <a:fillRect/>
                    </a:stretch>
                  </pic:blipFill>
                  <pic:spPr>
                    <a:xfrm>
                      <a:off x="0" y="0"/>
                      <a:ext cx="5901690" cy="4119880"/>
                    </a:xfrm>
                    <a:prstGeom prst="rect">
                      <a:avLst/>
                    </a:prstGeom>
                  </pic:spPr>
                </pic:pic>
              </a:graphicData>
            </a:graphic>
          </wp:inline>
        </w:drawing>
      </w:r>
    </w:p>
    <w:p w14:paraId="2B1DFF98">
      <w:pPr>
        <w:pStyle w:val="21"/>
        <w:ind w:left="0" w:leftChars="0" w:firstLine="0" w:firstLineChars="0"/>
        <w:jc w:val="center"/>
        <w:rPr>
          <w:rFonts w:hint="eastAsia" w:eastAsia="宋体"/>
          <w:lang w:eastAsia="zh-CN"/>
        </w:rPr>
      </w:pPr>
      <w:r>
        <w:drawing>
          <wp:inline distT="0" distB="0" distL="114300" distR="114300">
            <wp:extent cx="5574030" cy="7786370"/>
            <wp:effectExtent l="0" t="0" r="381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574030" cy="7786370"/>
                    </a:xfrm>
                    <a:prstGeom prst="rect">
                      <a:avLst/>
                    </a:prstGeom>
                    <a:noFill/>
                    <a:ln>
                      <a:noFill/>
                    </a:ln>
                  </pic:spPr>
                </pic:pic>
              </a:graphicData>
            </a:graphic>
          </wp:inline>
        </w:drawing>
      </w:r>
      <w:r>
        <w:drawing>
          <wp:inline distT="0" distB="0" distL="114300" distR="114300">
            <wp:extent cx="5796280" cy="7470775"/>
            <wp:effectExtent l="0" t="0" r="10160"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796280" cy="7470775"/>
                    </a:xfrm>
                    <a:prstGeom prst="rect">
                      <a:avLst/>
                    </a:prstGeom>
                    <a:noFill/>
                    <a:ln>
                      <a:noFill/>
                    </a:ln>
                  </pic:spPr>
                </pic:pic>
              </a:graphicData>
            </a:graphic>
          </wp:inline>
        </w:drawing>
      </w:r>
      <w:r>
        <w:rPr>
          <w:rFonts w:hint="eastAsia" w:eastAsia="宋体"/>
          <w:lang w:eastAsia="zh-CN"/>
        </w:rPr>
        <w:drawing>
          <wp:inline distT="0" distB="0" distL="114300" distR="114300">
            <wp:extent cx="5775960" cy="7722870"/>
            <wp:effectExtent l="0" t="0" r="0" b="3810"/>
            <wp:docPr id="1" name="图片 1" descr="5e5fc24af10600dfca2deed63cfee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5fc24af10600dfca2deed63cfeed78"/>
                    <pic:cNvPicPr>
                      <a:picLocks noChangeAspect="1"/>
                    </pic:cNvPicPr>
                  </pic:nvPicPr>
                  <pic:blipFill>
                    <a:blip r:embed="rId8"/>
                    <a:stretch>
                      <a:fillRect/>
                    </a:stretch>
                  </pic:blipFill>
                  <pic:spPr>
                    <a:xfrm>
                      <a:off x="0" y="0"/>
                      <a:ext cx="5775960" cy="7722870"/>
                    </a:xfrm>
                    <a:prstGeom prst="rect">
                      <a:avLst/>
                    </a:prstGeom>
                  </pic:spPr>
                </pic:pic>
              </a:graphicData>
            </a:graphic>
          </wp:inline>
        </w:drawing>
      </w:r>
      <w:r>
        <w:rPr>
          <w:rFonts w:hint="eastAsia" w:eastAsia="宋体"/>
          <w:lang w:eastAsia="zh-CN"/>
        </w:rPr>
        <w:drawing>
          <wp:inline distT="0" distB="0" distL="114300" distR="114300">
            <wp:extent cx="5753100" cy="7673975"/>
            <wp:effectExtent l="0" t="0" r="7620" b="6985"/>
            <wp:docPr id="3" name="图片 3" descr="c02c4cca1a37dda6352eb1689f38b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02c4cca1a37dda6352eb1689f38b19f"/>
                    <pic:cNvPicPr>
                      <a:picLocks noChangeAspect="1"/>
                    </pic:cNvPicPr>
                  </pic:nvPicPr>
                  <pic:blipFill>
                    <a:blip r:embed="rId9"/>
                    <a:stretch>
                      <a:fillRect/>
                    </a:stretch>
                  </pic:blipFill>
                  <pic:spPr>
                    <a:xfrm>
                      <a:off x="0" y="0"/>
                      <a:ext cx="5753100" cy="7673975"/>
                    </a:xfrm>
                    <a:prstGeom prst="rect">
                      <a:avLst/>
                    </a:prstGeom>
                  </pic:spPr>
                </pic:pic>
              </a:graphicData>
            </a:graphic>
          </wp:inline>
        </w:drawing>
      </w:r>
      <w:r>
        <w:rPr>
          <w:rFonts w:hint="eastAsia" w:eastAsia="宋体"/>
          <w:lang w:eastAsia="zh-CN"/>
        </w:rPr>
        <w:drawing>
          <wp:inline distT="0" distB="0" distL="114300" distR="114300">
            <wp:extent cx="5728970" cy="7642225"/>
            <wp:effectExtent l="0" t="0" r="1270" b="8255"/>
            <wp:docPr id="4" name="图片 4" descr="d558dff2324b9415b4e19b6855df8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558dff2324b9415b4e19b6855df87f3"/>
                    <pic:cNvPicPr>
                      <a:picLocks noChangeAspect="1"/>
                    </pic:cNvPicPr>
                  </pic:nvPicPr>
                  <pic:blipFill>
                    <a:blip r:embed="rId10"/>
                    <a:stretch>
                      <a:fillRect/>
                    </a:stretch>
                  </pic:blipFill>
                  <pic:spPr>
                    <a:xfrm>
                      <a:off x="0" y="0"/>
                      <a:ext cx="5728970" cy="7642225"/>
                    </a:xfrm>
                    <a:prstGeom prst="rect">
                      <a:avLst/>
                    </a:prstGeom>
                  </pic:spPr>
                </pic:pic>
              </a:graphicData>
            </a:graphic>
          </wp:inline>
        </w:drawing>
      </w:r>
    </w:p>
    <w:sectPr>
      <w:pgSz w:w="11906" w:h="16838"/>
      <w:pgMar w:top="102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2150C9"/>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E2A79AD"/>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9C67E3F"/>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036684"/>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ind w:firstLine="538" w:firstLineChars="192"/>
    </w:pPr>
    <w:rPr>
      <w:rFonts w:ascii="宋体" w:hAnsi="宋体"/>
      <w:sz w:val="28"/>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8"/>
    <w:next w:val="1"/>
    <w:qFormat/>
    <w:uiPriority w:val="0"/>
    <w:pPr>
      <w:spacing w:after="120"/>
      <w:ind w:firstLine="420" w:firstLineChars="100"/>
    </w:pPr>
  </w:style>
  <w:style w:type="paragraph" w:styleId="21">
    <w:name w:val="Body Text First Indent 2"/>
    <w:basedOn w:val="9"/>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861</Words>
  <Characters>1052</Characters>
  <Lines>8</Lines>
  <Paragraphs>2</Paragraphs>
  <TotalTime>3</TotalTime>
  <ScaleCrop>false</ScaleCrop>
  <LinksUpToDate>false</LinksUpToDate>
  <CharactersWithSpaces>1052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2026-01-09T08:35:41Z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