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sz w:val="21"/>
                <w:szCs w:val="21"/>
              </w:rPr>
              <w:t>江西高速石化有限责任公司井冈山东服务区北加油站柴油罐更改为汽油罐的项目安全条件评价报告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熊克书</w:t>
            </w:r>
          </w:p>
        </w:tc>
        <w:tc>
          <w:tcPr>
            <w:tcW w:w="4803" w:type="dxa"/>
            <w:tcBorders>
              <w:tl2br w:val="nil"/>
              <w:tr2bl w:val="nil"/>
            </w:tcBorders>
            <w:shd w:val="clear" w:color="auto" w:fill="FFFFFF"/>
            <w:vAlign w:val="center"/>
          </w:tcPr>
          <w:p w14:paraId="2E3657AA">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S011035000110192001546</w:t>
            </w:r>
          </w:p>
        </w:tc>
        <w:tc>
          <w:tcPr>
            <w:tcW w:w="2115" w:type="dxa"/>
            <w:tcBorders>
              <w:tl2br w:val="nil"/>
              <w:tr2bl w:val="nil"/>
            </w:tcBorders>
            <w:shd w:val="clear" w:color="auto" w:fill="FFFFFF"/>
            <w:vAlign w:val="center"/>
          </w:tcPr>
          <w:p w14:paraId="1D907D16">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舒斌</w:t>
            </w:r>
          </w:p>
        </w:tc>
        <w:tc>
          <w:tcPr>
            <w:tcW w:w="4803" w:type="dxa"/>
            <w:tcBorders>
              <w:tl2br w:val="nil"/>
              <w:tr2bl w:val="nil"/>
            </w:tcBorders>
            <w:shd w:val="clear" w:color="auto" w:fill="FFFFFF"/>
            <w:vAlign w:val="center"/>
          </w:tcPr>
          <w:p w14:paraId="2AF7BD6E">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0800000000205889</w:t>
            </w:r>
          </w:p>
        </w:tc>
        <w:tc>
          <w:tcPr>
            <w:tcW w:w="2115" w:type="dxa"/>
            <w:tcBorders>
              <w:tl2br w:val="nil"/>
              <w:tr2bl w:val="nil"/>
            </w:tcBorders>
            <w:shd w:val="clear" w:color="auto" w:fill="FFFFFF"/>
            <w:vAlign w:val="center"/>
          </w:tcPr>
          <w:p w14:paraId="135FF85F">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013031</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张晋慧</w:t>
            </w:r>
          </w:p>
        </w:tc>
        <w:tc>
          <w:tcPr>
            <w:tcW w:w="4803" w:type="dxa"/>
            <w:tcBorders>
              <w:tl2br w:val="nil"/>
              <w:tr2bl w:val="nil"/>
            </w:tcBorders>
            <w:shd w:val="clear" w:color="auto" w:fill="FFFFFF"/>
            <w:vAlign w:val="center"/>
          </w:tcPr>
          <w:p w14:paraId="5E54EC41">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1100000000302946</w:t>
            </w:r>
          </w:p>
        </w:tc>
        <w:tc>
          <w:tcPr>
            <w:tcW w:w="2115" w:type="dxa"/>
            <w:tcBorders>
              <w:tl2br w:val="nil"/>
              <w:tr2bl w:val="nil"/>
            </w:tcBorders>
            <w:shd w:val="clear" w:color="auto" w:fill="FFFFFF"/>
            <w:vAlign w:val="center"/>
          </w:tcPr>
          <w:p w14:paraId="0EA3FFA0">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0</w:t>
            </w:r>
            <w:r>
              <w:rPr>
                <w:rFonts w:hint="eastAsia" w:ascii="Times New Roman" w:hAnsi="Times New Roman" w:eastAsia="宋体" w:cs="Times New Roman"/>
                <w:sz w:val="24"/>
                <w:lang w:val="en-US" w:eastAsia="zh-CN"/>
              </w:rPr>
              <w:t>20045</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赵云峰</w:t>
            </w:r>
          </w:p>
        </w:tc>
        <w:tc>
          <w:tcPr>
            <w:tcW w:w="4803" w:type="dxa"/>
            <w:tcBorders>
              <w:tl2br w:val="nil"/>
              <w:tr2bl w:val="nil"/>
            </w:tcBorders>
            <w:shd w:val="clear" w:color="auto" w:fill="FFFFFF"/>
            <w:vAlign w:val="center"/>
          </w:tcPr>
          <w:p w14:paraId="0E1A6948">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160000000020080</w:t>
            </w:r>
            <w:bookmarkStart w:id="0" w:name="_GoBack"/>
            <w:bookmarkEnd w:id="0"/>
            <w:r>
              <w:rPr>
                <w:rFonts w:hint="eastAsia" w:ascii="Times New Roman" w:hAnsi="Times New Roman" w:eastAsia="宋体" w:cs="Times New Roman"/>
                <w:sz w:val="24"/>
                <w:lang w:val="en-US" w:eastAsia="zh-CN"/>
              </w:rPr>
              <w:t>9</w:t>
            </w:r>
          </w:p>
        </w:tc>
        <w:tc>
          <w:tcPr>
            <w:tcW w:w="2115" w:type="dxa"/>
            <w:tcBorders>
              <w:tl2br w:val="nil"/>
              <w:tr2bl w:val="nil"/>
            </w:tcBorders>
            <w:shd w:val="clear" w:color="auto" w:fill="FFFFFF"/>
            <w:vAlign w:val="center"/>
          </w:tcPr>
          <w:p w14:paraId="34039BB0">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030095</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谢雨飞</w:t>
            </w:r>
          </w:p>
        </w:tc>
        <w:tc>
          <w:tcPr>
            <w:tcW w:w="4803" w:type="dxa"/>
            <w:tcBorders>
              <w:tl2br w:val="nil"/>
              <w:tr2bl w:val="nil"/>
            </w:tcBorders>
            <w:shd w:val="clear" w:color="auto" w:fill="FFFFFF"/>
            <w:vAlign w:val="center"/>
          </w:tcPr>
          <w:p w14:paraId="70C9750C">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CAWS350000230200227</w:t>
            </w:r>
          </w:p>
        </w:tc>
        <w:tc>
          <w:tcPr>
            <w:tcW w:w="2115" w:type="dxa"/>
            <w:tcBorders>
              <w:tl2br w:val="nil"/>
              <w:tr2bl w:val="nil"/>
            </w:tcBorders>
            <w:shd w:val="clear" w:color="auto" w:fill="FFFFFF"/>
            <w:vAlign w:val="center"/>
          </w:tcPr>
          <w:p w14:paraId="2C5E2BF3">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043378</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2025年12月5日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1B3519B0">
            <w:pPr>
              <w:spacing w:line="240" w:lineRule="auto"/>
              <w:ind w:firstLine="560"/>
              <w:rPr>
                <w:rFonts w:hint="eastAsia"/>
              </w:rPr>
            </w:pPr>
            <w:r>
              <w:rPr>
                <w:rFonts w:hint="eastAsia"/>
              </w:rPr>
              <w:t>江西高速石化有限责任公司井冈山东服务区北加油站成立于2023年8月4日，现位于江西省吉安市井冈山市碧溪镇南岭村，法定代表人：陈志斌，经营范围：一般项目：凭总公司授权开展经营活动（除依法须经批准的项目外，凭营业执照依法自主开展经营活动），统一社会信用代码：91360881MACTGQLJ28；江西高速石化有限责任公司宜遂高速井冈山东服务区南加油站资产属于江西省交通投资集团有限责任公司所有，由江西省高速石化有限责任公司赣西南分公司管理。</w:t>
            </w:r>
          </w:p>
          <w:p w14:paraId="604BBFD2">
            <w:pPr>
              <w:spacing w:line="240" w:lineRule="auto"/>
              <w:ind w:firstLine="560"/>
              <w:rPr>
                <w:rFonts w:hint="eastAsia"/>
              </w:rPr>
            </w:pPr>
            <w:r>
              <w:rPr>
                <w:rFonts w:hint="eastAsia"/>
              </w:rPr>
              <w:t>江西高速石化有限责任公司井冈山东服务区北加油站占地面积为3600㎡，产权归属江西省交通投资集团有限责任公司，交由江西高速石化有限责任公司下属赣西南分公司经营管理该加油站。该加油站内原设置埋地罐区1座，罐区内设有2台50m³卧式SF双层汽油储罐（92#、95#）、2台50m³卧式SF双层柴油储罐（0#1、0#2）、1台30m³卧式SF双层汽油储罐（98#），油罐总罐容230m³，柴油折半计入油罐总容积为180m³，加油站南北两座罩棚各设有2个加油岛，共设4个加油岛，安装4台四枪潜油泵加油机（共16支加油枪）为满足市场需求，公司拟将1个50m³柴油储存罐更改为95#汽油储存罐，将1个50m³95#汽油储罐更改为92#汽油储罐，将1个30m³的98#汽油储罐更改为95#汽油储罐，并将部分加油机中的加油枪进行调整。储油罐更改后将变为：1台50m³卧式SF双层柴油储罐（0#）、1台50m³卧式SF双层汽油储罐（95#）、2台50m³卧式SF双层汽油储罐（92#）、1台30m³卧式SF双层汽油储罐（95#），油罐总罐容230m³，柴油折半计入油罐总容积为205m³。加油机更改后将变为：1台0#/95#/92#/0#四枪加油机、1台95#/92#/95#/92#四枪加油机、1台95#/92#/95#/92#四枪加油机、1台92#/95#/92#/95#四枪加油机。</w:t>
            </w:r>
          </w:p>
          <w:p w14:paraId="26099EF3">
            <w:pPr>
              <w:spacing w:line="240" w:lineRule="auto"/>
              <w:ind w:firstLine="560"/>
              <w:rPr>
                <w:rFonts w:hint="eastAsia"/>
              </w:rPr>
            </w:pPr>
            <w:r>
              <w:rPr>
                <w:rFonts w:hint="eastAsia"/>
              </w:rPr>
              <w:t>江西高速石化有限责任公司井冈山东服务区北加油站于2025年10月29日取得由井冈山市发展和改革委员会出具的《江西省企业投资项目备案凭证》，项目统一代码为：2510-360881-04-05-467425。</w:t>
            </w:r>
          </w:p>
          <w:p w14:paraId="1DD0D9E1">
            <w:pPr>
              <w:spacing w:line="240" w:lineRule="auto"/>
              <w:ind w:firstLine="560"/>
              <w:rPr>
                <w:rFonts w:hint="eastAsia"/>
              </w:rPr>
            </w:pPr>
            <w:r>
              <w:rPr>
                <w:rFonts w:hint="eastAsia"/>
              </w:rPr>
              <w:t>对该企业生产过程中所涉及的化学品进行辨识：该工程涉及的汽油属于危险化学品。其中涉及的汽油属于重点监管的危险化学。</w:t>
            </w:r>
          </w:p>
          <w:p w14:paraId="3B44DB75">
            <w:pPr>
              <w:spacing w:line="240" w:lineRule="auto"/>
              <w:ind w:firstLine="560"/>
              <w:rPr>
                <w:rFonts w:hint="eastAsia"/>
              </w:rPr>
            </w:pPr>
            <w:r>
              <w:rPr>
                <w:rFonts w:hint="eastAsia"/>
              </w:rPr>
              <w:t>该企业不涉及重点监管的危险化工工艺，</w:t>
            </w:r>
            <w:r>
              <w:rPr>
                <w:rFonts w:hint="eastAsia"/>
                <w:lang w:val="en-US" w:eastAsia="zh-CN"/>
              </w:rPr>
              <w:t>经营</w:t>
            </w:r>
            <w:r>
              <w:rPr>
                <w:rFonts w:hint="eastAsia"/>
              </w:rPr>
              <w:t>装置和储存的危险化学品不构成危险化学品重大危险源。</w:t>
            </w:r>
          </w:p>
          <w:p w14:paraId="422E1AD2">
            <w:pPr>
              <w:spacing w:line="240" w:lineRule="auto"/>
              <w:ind w:firstLine="560"/>
              <w:rPr>
                <w:rFonts w:hint="eastAsia"/>
                <w:snapToGrid w:val="0"/>
              </w:rPr>
            </w:pPr>
            <w:r>
              <w:rPr>
                <w:rFonts w:hint="eastAsia"/>
              </w:rPr>
              <w:t>该企业不涉及剧毒化学品、高毒物品、易制爆危险化学品、特别管控危险化学品、监控化学品。</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2A59749">
            <w:pPr>
              <w:keepNext w:val="0"/>
              <w:keepLines w:val="0"/>
              <w:widowControl/>
              <w:suppressLineNumbers w:val="0"/>
              <w:ind w:firstLine="420" w:firstLineChars="200"/>
              <w:jc w:val="left"/>
              <w:rPr>
                <w:rFonts w:hint="eastAsia"/>
                <w:color w:val="auto"/>
              </w:rPr>
            </w:pPr>
            <w:r>
              <w:rPr>
                <w:rFonts w:hint="eastAsia"/>
                <w:color w:val="auto"/>
              </w:rPr>
              <w:t>工艺流程</w:t>
            </w:r>
          </w:p>
          <w:p w14:paraId="70C541DA">
            <w:pPr>
              <w:keepNext w:val="0"/>
              <w:keepLines w:val="0"/>
              <w:widowControl/>
              <w:suppressLineNumbers w:val="0"/>
              <w:ind w:firstLine="420" w:firstLineChars="200"/>
              <w:jc w:val="left"/>
              <w:rPr>
                <w:rFonts w:hint="eastAsia"/>
                <w:color w:val="auto"/>
              </w:rPr>
            </w:pPr>
            <w:r>
              <w:rPr>
                <w:rFonts w:hint="eastAsia"/>
                <w:color w:val="auto"/>
              </w:rPr>
              <w:t xml:space="preserve">1、卸油工艺 </w:t>
            </w:r>
          </w:p>
          <w:p w14:paraId="5B47725A">
            <w:pPr>
              <w:keepNext w:val="0"/>
              <w:keepLines w:val="0"/>
              <w:widowControl/>
              <w:suppressLineNumbers w:val="0"/>
              <w:ind w:firstLine="420" w:firstLineChars="200"/>
              <w:jc w:val="left"/>
              <w:rPr>
                <w:rFonts w:hint="eastAsia"/>
                <w:color w:val="auto"/>
              </w:rPr>
            </w:pPr>
            <w:r>
              <w:rPr>
                <w:rFonts w:hint="eastAsia"/>
                <w:color w:val="auto"/>
              </w:rPr>
              <w:t xml:space="preserve">当油罐车驶至加油站内密封卸油口停车处，停稳熄火，连接好静电接地 </w:t>
            </w:r>
          </w:p>
          <w:p w14:paraId="1E53AE28">
            <w:pPr>
              <w:keepNext w:val="0"/>
              <w:keepLines w:val="0"/>
              <w:widowControl/>
              <w:suppressLineNumbers w:val="0"/>
              <w:ind w:firstLine="420" w:firstLineChars="200"/>
              <w:jc w:val="left"/>
              <w:rPr>
                <w:rFonts w:hint="eastAsia"/>
                <w:color w:val="auto"/>
              </w:rPr>
            </w:pPr>
            <w:r>
              <w:rPr>
                <w:rFonts w:hint="eastAsia"/>
                <w:color w:val="auto"/>
              </w:rPr>
              <w:t>装置，将油罐车的卸油口、油气回收口（汽油卸油时需要）与站内密闭卸油口的进油口、油气回收口（汽油卸油时需要）连接好，静止十五分钟后开始卸油。利用油罐车与地下储油罐的高位差，采用密闭式卸油。汽油卸油采用油气回收系统，在油罐车卸油过程中，将该汽油油罐内散溢的油气，通过油气回收地下工艺管线及卸车软管重新收集至油罐车内，实现卸油与油气等体积置换。其流程如下：</w:t>
            </w:r>
          </w:p>
          <w:p w14:paraId="3CA099B3">
            <w:pPr>
              <w:keepNext w:val="0"/>
              <w:keepLines w:val="0"/>
              <w:widowControl/>
              <w:suppressLineNumbers w:val="0"/>
              <w:ind w:firstLine="420" w:firstLineChars="200"/>
              <w:jc w:val="left"/>
              <w:rPr>
                <w:rFonts w:hint="eastAsia"/>
                <w:color w:val="auto"/>
              </w:rPr>
            </w:pPr>
            <w:r>
              <w:rPr>
                <w:color w:val="auto"/>
                <w:szCs w:val="28"/>
              </w:rPr>
              <mc:AlternateContent>
                <mc:Choice Requires="wpc">
                  <w:drawing>
                    <wp:inline distT="0" distB="0" distL="114300" distR="114300">
                      <wp:extent cx="5088255" cy="1196340"/>
                      <wp:effectExtent l="4445" t="4445" r="0" b="5715"/>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2189480" y="594360"/>
                                  <a:ext cx="834390" cy="297180"/>
                                </a:xfrm>
                                <a:prstGeom prst="rect">
                                  <a:avLst/>
                                </a:prstGeom>
                                <a:solidFill>
                                  <a:srgbClr val="FFFFFF"/>
                                </a:solidFill>
                                <a:ln>
                                  <a:noFill/>
                                </a:ln>
                              </wps:spPr>
                              <wps:txbx>
                                <w:txbxContent>
                                  <w:p w14:paraId="4BE10922">
                                    <w:pPr>
                                      <w:ind w:firstLine="420"/>
                                      <w:jc w:val="center"/>
                                      <w:rPr>
                                        <w:rFonts w:hint="eastAsia"/>
                                        <w:sz w:val="21"/>
                                        <w:szCs w:val="21"/>
                                      </w:rPr>
                                    </w:pPr>
                                    <w:r>
                                      <w:rPr>
                                        <w:rFonts w:hint="eastAsia"/>
                                        <w:sz w:val="21"/>
                                        <w:szCs w:val="21"/>
                                      </w:rPr>
                                      <w:t>油气回收</w:t>
                                    </w:r>
                                  </w:p>
                                </w:txbxContent>
                              </wps:txbx>
                              <wps:bodyPr upright="1"/>
                            </wps:wsp>
                            <wpg:wgp>
                              <wpg:cNvPr id="9" name="组合 9"/>
                              <wpg:cNvGrpSpPr/>
                              <wpg:grpSpPr>
                                <a:xfrm>
                                  <a:off x="0" y="0"/>
                                  <a:ext cx="4785995" cy="394335"/>
                                  <a:chOff x="1853" y="4776"/>
                                  <a:chExt cx="8004" cy="621"/>
                                </a:xfrm>
                              </wpg:grpSpPr>
                              <wps:wsp>
                                <wps:cNvPr id="2" name="文本框 2"/>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8AE85">
                                      <w:pPr>
                                        <w:ind w:firstLine="0" w:firstLineChars="0"/>
                                        <w:jc w:val="center"/>
                                        <w:rPr>
                                          <w:sz w:val="21"/>
                                          <w:szCs w:val="21"/>
                                        </w:rPr>
                                      </w:pPr>
                                      <w:r>
                                        <w:rPr>
                                          <w:rFonts w:hint="eastAsia"/>
                                          <w:sz w:val="21"/>
                                          <w:szCs w:val="21"/>
                                        </w:rPr>
                                        <w:t>油罐车</w:t>
                                      </w:r>
                                    </w:p>
                                  </w:txbxContent>
                                </wps:txbx>
                                <wps:bodyPr upright="1"/>
                              </wps:wsp>
                              <wps:wsp>
                                <wps:cNvPr id="3" name="直接连接符 3"/>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4" name="文本框 4"/>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6AAA71">
                                      <w:pPr>
                                        <w:ind w:firstLine="0" w:firstLineChars="0"/>
                                        <w:jc w:val="center"/>
                                        <w:rPr>
                                          <w:sz w:val="21"/>
                                          <w:szCs w:val="21"/>
                                        </w:rPr>
                                      </w:pPr>
                                      <w:r>
                                        <w:rPr>
                                          <w:rFonts w:hint="eastAsia"/>
                                          <w:sz w:val="21"/>
                                          <w:szCs w:val="21"/>
                                        </w:rPr>
                                        <w:t>卸油连接软管</w:t>
                                      </w:r>
                                    </w:p>
                                  </w:txbxContent>
                                </wps:txbx>
                                <wps:bodyPr upright="1"/>
                              </wps:wsp>
                              <wps:wsp>
                                <wps:cNvPr id="5" name="直接连接符 5"/>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6" name="文本框 6"/>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959791">
                                      <w:pPr>
                                        <w:ind w:firstLine="0" w:firstLineChars="0"/>
                                        <w:jc w:val="center"/>
                                        <w:rPr>
                                          <w:sz w:val="21"/>
                                          <w:szCs w:val="21"/>
                                        </w:rPr>
                                      </w:pPr>
                                      <w:r>
                                        <w:rPr>
                                          <w:rFonts w:hint="eastAsia"/>
                                          <w:sz w:val="21"/>
                                          <w:szCs w:val="21"/>
                                        </w:rPr>
                                        <w:t>卸油管道</w:t>
                                      </w:r>
                                    </w:p>
                                  </w:txbxContent>
                                </wps:txbx>
                                <wps:bodyPr upright="1"/>
                              </wps:wsp>
                              <wps:wsp>
                                <wps:cNvPr id="7" name="直接连接符 7"/>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8" name="文本框 8"/>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E3D2BD">
                                      <w:pPr>
                                        <w:ind w:firstLine="0" w:firstLineChars="0"/>
                                        <w:jc w:val="center"/>
                                        <w:rPr>
                                          <w:sz w:val="21"/>
                                          <w:szCs w:val="21"/>
                                        </w:rPr>
                                      </w:pPr>
                                      <w:r>
                                        <w:rPr>
                                          <w:rFonts w:hint="eastAsia"/>
                                          <w:sz w:val="21"/>
                                          <w:szCs w:val="21"/>
                                        </w:rPr>
                                        <w:t>地下油罐</w:t>
                                      </w:r>
                                    </w:p>
                                  </w:txbxContent>
                                </wps:txbx>
                                <wps:bodyPr upright="1"/>
                              </wps:wsp>
                            </wpg:wgp>
                            <wps:wsp>
                              <wps:cNvPr id="10" name="文本框 10"/>
                              <wps:cNvSpPr txBox="1"/>
                              <wps:spPr>
                                <a:xfrm>
                                  <a:off x="1151255" y="908685"/>
                                  <a:ext cx="2867025" cy="287655"/>
                                </a:xfrm>
                                <a:prstGeom prst="rect">
                                  <a:avLst/>
                                </a:prstGeom>
                                <a:solidFill>
                                  <a:srgbClr val="FFFFFF"/>
                                </a:solidFill>
                                <a:ln>
                                  <a:noFill/>
                                </a:ln>
                              </wps:spPr>
                              <wps:txbx>
                                <w:txbxContent>
                                  <w:p w14:paraId="199B7D09">
                                    <w:pPr>
                                      <w:ind w:firstLine="482"/>
                                      <w:jc w:val="center"/>
                                      <w:rPr>
                                        <w:rFonts w:hint="eastAsia"/>
                                        <w:b/>
                                        <w:sz w:val="24"/>
                                      </w:rPr>
                                    </w:pPr>
                                    <w:r>
                                      <w:rPr>
                                        <w:rFonts w:hint="eastAsia"/>
                                        <w:b/>
                                        <w:sz w:val="24"/>
                                      </w:rPr>
                                      <w:t>图2.7-1  汽油卸油工艺流程图</w:t>
                                    </w:r>
                                  </w:p>
                                </w:txbxContent>
                              </wps:txbx>
                              <wps:bodyPr upright="1"/>
                            </wps:wsp>
                            <wps:wsp>
                              <wps:cNvPr id="11" name="肘形连接符 11"/>
                              <wps:cNvCnPr/>
                              <wps:spPr>
                                <a:xfrm rot="5400000">
                                  <a:off x="2378075" y="-1837055"/>
                                  <a:ext cx="635" cy="4223385"/>
                                </a:xfrm>
                                <a:prstGeom prst="bentConnector3">
                                  <a:avLst>
                                    <a:gd name="adj1" fmla="val 55900000"/>
                                  </a:avLst>
                                </a:prstGeom>
                                <a:ln w="9525" cap="flat" cmpd="sng">
                                  <a:solidFill>
                                    <a:srgbClr val="000000"/>
                                  </a:solidFill>
                                  <a:prstDash val="solid"/>
                                  <a:miter/>
                                  <a:headEnd type="none" w="med" len="med"/>
                                  <a:tailEnd type="triangle" w="med" len="med"/>
                                </a:ln>
                              </wps:spPr>
                              <wps:bodyPr/>
                            </wps:wsp>
                          </wpc:wpc>
                        </a:graphicData>
                      </a:graphic>
                    </wp:inline>
                  </w:drawing>
                </mc:Choice>
                <mc:Fallback>
                  <w:pict>
                    <v:group id="_x0000_s1026" o:spid="_x0000_s1026" o:spt="203" style="height:94.2pt;width:400.65pt;" coordsize="5088255,1196340" editas="canvas" o:gfxdata="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8PRcSdYAAAAFAQAADwAAAAAAAAABACAAAAAiAAAA&#10;ZHJzL2Rvd25yZXYueG1sUEsBAhQAFAAAAAgAh07iQGgRanO1BAAAchkAAA4AAAAAAAAAAQAgAAAA&#10;JQEAAGRycy9lMm9Eb2MueG1sUEsFBgAAAAAGAAYAWQEAAEwIAAAAAA==&#10;">
                      <o:lock v:ext="edit" aspectratio="f"/>
                      <v:shape id="_x0000_s1026" o:spid="_x0000_s1026" style="position:absolute;left:0;top:0;height:1196340;width:5088255;" filled="f" stroked="f" coordsize="21600,21600" o:gfxdata="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PD0XEnWAAAABQEAAA8AAAAAAAAAAQAgAAAAIgAAAGRycy9kb3ducmV2Lnht&#10;bFBLAQIUABQAAAAIAIdO4kDjj/+4pwQAAOkYAAAOAAAAAAAAAAEAIAAAACUBAABkcnMvZTJvRG9j&#10;LnhtbFBLBQYAAAAABgAGAFkBAAA+CAAAAAA=&#10;">
                        <v:fill on="f" focussize="0,0"/>
                        <v:stroke on="f"/>
                        <v:imagedata o:title=""/>
                        <o:lock v:ext="edit" aspectratio="t"/>
                      </v:shape>
                      <v:shape id="_x0000_s1026" o:spid="_x0000_s1026" o:spt="202" type="#_x0000_t202" style="position:absolute;left:2189480;top:594360;height:297180;width:834390;" fillcolor="#FFFFFF" filled="t" stroked="f" coordsize="21600,21600" o:gfxdata="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VM+AdQAAAAFAQAADwAAAAAAAAABACAAAAAiAAAAZHJzL2Rvd25y&#10;ZXYueG1sUEsBAhQAFAAAAAgAh07iQJX4gi3JAQAAgQMAAA4AAAAAAAAAAQAgAAAAIwEAAGRycy9l&#10;Mm9Eb2MueG1sUEsFBgAAAAAGAAYAWQEAAF4FAAAAAA==&#10;">
                        <v:fill on="t" focussize="0,0"/>
                        <v:stroke on="f"/>
                        <v:imagedata o:title=""/>
                        <o:lock v:ext="edit" aspectratio="f"/>
                        <v:textbox>
                          <w:txbxContent>
                            <w:p w14:paraId="4BE10922">
                              <w:pPr>
                                <w:ind w:firstLine="420"/>
                                <w:jc w:val="center"/>
                                <w:rPr>
                                  <w:rFonts w:hint="eastAsia"/>
                                  <w:sz w:val="21"/>
                                  <w:szCs w:val="21"/>
                                </w:rPr>
                              </w:pPr>
                              <w:r>
                                <w:rPr>
                                  <w:rFonts w:hint="eastAsia"/>
                                  <w:sz w:val="21"/>
                                  <w:szCs w:val="21"/>
                                </w:rPr>
                                <w:t>油气回收</w:t>
                              </w:r>
                            </w:p>
                          </w:txbxContent>
                        </v:textbox>
                      </v:shape>
                      <v:group id="_x0000_s1026" o:spid="_x0000_s1026" o:spt="203" style="position:absolute;left:0;top:0;height:394335;width:4785995;" coordorigin="1853,4776" coordsize="8004,621" o:gfxdata="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GfvHTLVAAAABQEAAA8AAAAAAAAAAQAgAAAAIgAAAGRycy9kb3ducmV2LnhtbFBLAQIUABQAAAAI&#10;AIdO4kCeVMJafwMAAJESAAAOAAAAAAAAAAEAIAAAACQBAABkcnMvZTJvRG9jLnhtbFBLBQYAAAAA&#10;BgAGAFkBAAAVBw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98AE85">
                                <w:pPr>
                                  <w:ind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5tzD8r4AAADa&#10;AAAADwAAAGRycy9kb3ducmV2LnhtbEWPT2vCQBTE74V+h+UVvNVNF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zD8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6AAA71">
                                <w:pPr>
                                  <w:ind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F959791">
                                <w:pPr>
                                  <w:ind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CE3D2BD">
                                <w:pPr>
                                  <w:ind w:firstLine="0" w:firstLineChars="0"/>
                                  <w:jc w:val="center"/>
                                  <w:rPr>
                                    <w:sz w:val="21"/>
                                    <w:szCs w:val="21"/>
                                  </w:rPr>
                                </w:pPr>
                                <w:r>
                                  <w:rPr>
                                    <w:rFonts w:hint="eastAsia"/>
                                    <w:sz w:val="21"/>
                                    <w:szCs w:val="21"/>
                                  </w:rPr>
                                  <w:t>地下油罐</w:t>
                                </w:r>
                              </w:p>
                            </w:txbxContent>
                          </v:textbox>
                        </v:shape>
                      </v:group>
                      <v:shape id="_x0000_s1026" o:spid="_x0000_s1026" o:spt="202" type="#_x0000_t202" style="position:absolute;left:1151255;top:908685;height:287655;width:2867025;" fillcolor="#FFFFFF" filled="t" stroked="f" coordsize="21600,21600" o:gfxdata="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hUz4B1AAAAAUBAAAPAAAAAAAAAAEAIAAAACIAAABkcnMvZG93&#10;bnJldi54bWxQSwECFAAUAAAACACHTuJAOafjJcsBAACEAwAADgAAAAAAAAABACAAAAAjAQAAZHJz&#10;L2Uyb0RvYy54bWxQSwUGAAAAAAYABgBZAQAAYAUAAAAA&#10;">
                        <v:fill on="t" focussize="0,0"/>
                        <v:stroke on="f"/>
                        <v:imagedata o:title=""/>
                        <o:lock v:ext="edit" aspectratio="f"/>
                        <v:textbox>
                          <w:txbxContent>
                            <w:p w14:paraId="199B7D09">
                              <w:pPr>
                                <w:ind w:firstLine="482"/>
                                <w:jc w:val="center"/>
                                <w:rPr>
                                  <w:rFonts w:hint="eastAsia"/>
                                  <w:b/>
                                  <w:sz w:val="24"/>
                                </w:rPr>
                              </w:pPr>
                              <w:r>
                                <w:rPr>
                                  <w:rFonts w:hint="eastAsia"/>
                                  <w:b/>
                                  <w:sz w:val="24"/>
                                </w:rPr>
                                <w:t>图2.7-1  汽油卸油工艺流程图</w:t>
                              </w:r>
                            </w:p>
                          </w:txbxContent>
                        </v:textbox>
                      </v:shape>
                      <v:shape id="_x0000_s1026" o:spid="_x0000_s1026" o:spt="34" type="#_x0000_t34" style="position:absolute;left:2378075;top:-1837055;height:4223385;width:635;rotation:5898240f;" filled="f" stroked="t" coordsize="21600,21600" o:gfxdata="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OaU3HXAAAABQEAAA8AAAAAAAAAAQAgAAAAIgAAAGRycy9kb3ducmV2&#10;LnhtbFBLAQIUABQAAAAIAIdO4kDdMagrNgIAAD8EAAAOAAAAAAAAAAEAIAAAACYBAABkcnMvZTJv&#10;RG9jLnhtbFBLBQYAAAAABgAGAFkBAADOBQAAAAA=&#10;" adj="12074400">
                        <v:fill on="f" focussize="0,0"/>
                        <v:stroke color="#000000" joinstyle="miter" endarrow="block"/>
                        <v:imagedata o:title=""/>
                        <o:lock v:ext="edit" aspectratio="f"/>
                      </v:shape>
                      <w10:wrap type="none"/>
                      <w10:anchorlock/>
                    </v:group>
                  </w:pict>
                </mc:Fallback>
              </mc:AlternateContent>
            </w:r>
          </w:p>
          <w:p w14:paraId="46A1C180">
            <w:pPr>
              <w:keepNext w:val="0"/>
              <w:keepLines w:val="0"/>
              <w:widowControl/>
              <w:suppressLineNumbers w:val="0"/>
              <w:ind w:firstLine="420" w:firstLineChars="200"/>
              <w:jc w:val="left"/>
              <w:rPr>
                <w:rFonts w:hint="eastAsia"/>
                <w:color w:val="auto"/>
              </w:rPr>
            </w:pPr>
            <w:r>
              <mc:AlternateContent>
                <mc:Choice Requires="wpg">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4821555" cy="324485"/>
                      <wp:effectExtent l="4445" t="5080" r="12700" b="13335"/>
                      <wp:wrapNone/>
                      <wp:docPr id="35" name="组合 35"/>
                      <wp:cNvGraphicFramePr/>
                      <a:graphic xmlns:a="http://schemas.openxmlformats.org/drawingml/2006/main">
                        <a:graphicData uri="http://schemas.microsoft.com/office/word/2010/wordprocessingGroup">
                          <wpg:wgp>
                            <wpg:cNvGrpSpPr/>
                            <wpg:grpSpPr>
                              <a:xfrm>
                                <a:off x="0" y="0"/>
                                <a:ext cx="4821555" cy="324485"/>
                                <a:chOff x="1853" y="4776"/>
                                <a:chExt cx="8004" cy="621"/>
                              </a:xfrm>
                            </wpg:grpSpPr>
                            <wps:wsp>
                              <wps:cNvPr id="22" name="文本框 22"/>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CFC95A">
                                    <w:pPr>
                                      <w:ind w:firstLine="0" w:firstLineChars="0"/>
                                      <w:jc w:val="center"/>
                                      <w:rPr>
                                        <w:sz w:val="21"/>
                                        <w:szCs w:val="21"/>
                                      </w:rPr>
                                    </w:pPr>
                                    <w:r>
                                      <w:rPr>
                                        <w:rFonts w:hint="eastAsia"/>
                                        <w:sz w:val="21"/>
                                        <w:szCs w:val="21"/>
                                      </w:rPr>
                                      <w:t>油罐车</w:t>
                                    </w:r>
                                  </w:p>
                                </w:txbxContent>
                              </wps:txbx>
                              <wps:bodyPr upright="1"/>
                            </wps:wsp>
                            <wps:wsp>
                              <wps:cNvPr id="29" name="直接连接符 29"/>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30" name="文本框 30"/>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7A4783">
                                    <w:pPr>
                                      <w:ind w:firstLine="0" w:firstLineChars="0"/>
                                      <w:jc w:val="center"/>
                                      <w:rPr>
                                        <w:sz w:val="21"/>
                                        <w:szCs w:val="21"/>
                                      </w:rPr>
                                    </w:pPr>
                                    <w:r>
                                      <w:rPr>
                                        <w:rFonts w:hint="eastAsia"/>
                                        <w:sz w:val="21"/>
                                        <w:szCs w:val="21"/>
                                      </w:rPr>
                                      <w:t>卸油连接软管</w:t>
                                    </w:r>
                                  </w:p>
                                </w:txbxContent>
                              </wps:txbx>
                              <wps:bodyPr upright="1"/>
                            </wps:wsp>
                            <wps:wsp>
                              <wps:cNvPr id="31" name="直接连接符 31"/>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32" name="文本框 32"/>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0CEAE5">
                                    <w:pPr>
                                      <w:ind w:firstLine="0" w:firstLineChars="0"/>
                                      <w:jc w:val="center"/>
                                      <w:rPr>
                                        <w:sz w:val="21"/>
                                        <w:szCs w:val="21"/>
                                      </w:rPr>
                                    </w:pPr>
                                    <w:r>
                                      <w:rPr>
                                        <w:rFonts w:hint="eastAsia"/>
                                        <w:sz w:val="21"/>
                                        <w:szCs w:val="21"/>
                                      </w:rPr>
                                      <w:t>卸油管道</w:t>
                                    </w:r>
                                  </w:p>
                                </w:txbxContent>
                              </wps:txbx>
                              <wps:bodyPr upright="1"/>
                            </wps:wsp>
                            <wps:wsp>
                              <wps:cNvPr id="33" name="直接连接符 33"/>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34" name="文本框 34"/>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A9E084">
                                    <w:pPr>
                                      <w:ind w:firstLine="0" w:firstLineChars="0"/>
                                      <w:jc w:val="center"/>
                                      <w:rPr>
                                        <w:sz w:val="21"/>
                                        <w:szCs w:val="21"/>
                                      </w:rPr>
                                    </w:pPr>
                                    <w:r>
                                      <w:rPr>
                                        <w:rFonts w:hint="eastAsia"/>
                                        <w:sz w:val="21"/>
                                        <w:szCs w:val="21"/>
                                      </w:rPr>
                                      <w:t>地下油罐</w:t>
                                    </w:r>
                                  </w:p>
                                </w:txbxContent>
                              </wps:txbx>
                              <wps:bodyPr upright="1"/>
                            </wps:wsp>
                          </wpg:wgp>
                        </a:graphicData>
                      </a:graphic>
                    </wp:anchor>
                  </w:drawing>
                </mc:Choice>
                <mc:Fallback>
                  <w:pict>
                    <v:group id="_x0000_s1026" o:spid="_x0000_s1026" o:spt="203" style="position:absolute;left:0pt;margin-left:0pt;margin-top:0pt;height:25.55pt;width:379.65pt;mso-position-horizontal-relative:char;mso-position-vertical-relative:line;z-index:251660288;mso-width-relative:page;mso-height-relative:page;" coordorigin="1853,4776" coordsize="8004,621" o:gfxdata="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BLNgqm1gAAAAQBAAAPAAAAAAAAAAEAIAAAACIAAABkcnMvZG93bnJldi54bWxQSwEC&#10;FAAUAAAACACHTuJA8dBuBIUDAAChEgAADgAAAAAAAAABACAAAAAlAQAAZHJzL2Uyb0RvYy54bWxQ&#10;SwUGAAAAAAYABgBZAQAAHAc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1CFC95A">
                              <w:pPr>
                                <w:ind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A7A4783">
                              <w:pPr>
                                <w:ind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E0CEAE5">
                              <w:pPr>
                                <w:ind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DA9E084">
                              <w:pPr>
                                <w:ind w:firstLine="0" w:firstLineChars="0"/>
                                <w:jc w:val="center"/>
                                <w:rPr>
                                  <w:sz w:val="21"/>
                                  <w:szCs w:val="21"/>
                                </w:rPr>
                              </w:pPr>
                              <w:r>
                                <w:rPr>
                                  <w:rFonts w:hint="eastAsia"/>
                                  <w:sz w:val="21"/>
                                  <w:szCs w:val="21"/>
                                </w:rPr>
                                <w:t>地下油罐</w:t>
                              </w:r>
                            </w:p>
                          </w:txbxContent>
                        </v:textbox>
                      </v:shape>
                    </v:group>
                  </w:pict>
                </mc:Fallback>
              </mc:AlternateContent>
            </w:r>
          </w:p>
          <w:p w14:paraId="241B1D71">
            <w:pPr>
              <w:pStyle w:val="2"/>
              <w:rPr>
                <w:rFonts w:hint="eastAsia"/>
              </w:rPr>
            </w:pPr>
          </w:p>
          <w:p w14:paraId="20265C2D">
            <w:pPr>
              <w:keepNext w:val="0"/>
              <w:keepLines w:val="0"/>
              <w:widowControl/>
              <w:suppressLineNumbers w:val="0"/>
              <w:ind w:firstLine="420" w:firstLineChars="200"/>
              <w:jc w:val="left"/>
              <w:rPr>
                <w:rFonts w:hint="eastAsia"/>
                <w:color w:val="auto"/>
              </w:rPr>
            </w:pPr>
            <w:r>
              <w:rPr>
                <w:rFonts w:hint="eastAsia"/>
                <w:color w:val="auto"/>
              </w:rPr>
              <w:t xml:space="preserve">2、加油工艺 </w:t>
            </w:r>
          </w:p>
          <w:p w14:paraId="0FA683BC">
            <w:pPr>
              <w:keepNext w:val="0"/>
              <w:keepLines w:val="0"/>
              <w:widowControl/>
              <w:suppressLineNumbers w:val="0"/>
              <w:ind w:firstLine="420" w:firstLineChars="200"/>
              <w:jc w:val="left"/>
              <w:rPr>
                <w:rFonts w:hint="eastAsia"/>
                <w:color w:val="auto"/>
              </w:rPr>
            </w:pPr>
            <w:r>
              <w:rPr>
                <w:rFonts w:hint="eastAsia"/>
                <w:color w:val="auto"/>
              </w:rPr>
              <w:t>加油作业时，利用潜油泵提供的动力，油品通过加油管道至加油机，进入汽车受油容器。同时，加汽油作业时，汽油设有油气回收系统，汽油油气通过油气回收管道回至汽油罐。具体流程见下图：</w:t>
            </w:r>
          </w:p>
          <w:p w14:paraId="022F8721">
            <w:pPr>
              <w:keepNext w:val="0"/>
              <w:keepLines w:val="0"/>
              <w:widowControl/>
              <w:suppressLineNumbers w:val="0"/>
              <w:ind w:firstLine="420" w:firstLineChars="200"/>
              <w:jc w:val="left"/>
              <w:rPr>
                <w:rFonts w:hint="eastAsia"/>
                <w:color w:val="auto"/>
              </w:rPr>
            </w:pPr>
          </w:p>
          <w:p w14:paraId="5F50BE3A">
            <w:pPr>
              <w:keepNext w:val="0"/>
              <w:keepLines w:val="0"/>
              <w:widowControl/>
              <w:suppressLineNumbers w:val="0"/>
              <w:ind w:firstLine="420" w:firstLineChars="200"/>
              <w:jc w:val="left"/>
              <w:rPr>
                <w:rFonts w:hint="eastAsia"/>
                <w:color w:val="auto"/>
              </w:rPr>
            </w:pPr>
            <w:r>
              <w:rPr>
                <w:rFonts w:hint="eastAsia"/>
                <w:color w:val="auto"/>
              </w:rPr>
              <w:t>3、油气回收工艺</w:t>
            </w:r>
          </w:p>
          <w:p w14:paraId="29AD84A4">
            <w:pPr>
              <w:keepNext w:val="0"/>
              <w:keepLines w:val="0"/>
              <w:widowControl/>
              <w:suppressLineNumbers w:val="0"/>
              <w:ind w:firstLine="420" w:firstLineChars="200"/>
              <w:jc w:val="left"/>
              <w:rPr>
                <w:rFonts w:hint="eastAsia"/>
                <w:color w:val="auto"/>
              </w:rPr>
            </w:pPr>
            <w:r>
              <w:rPr>
                <w:rFonts w:hint="eastAsia"/>
                <w:color w:val="auto"/>
              </w:rPr>
              <w:t>汽油油气回收是节能环保型的高新技术，运用油气回收技术回收油品在储运、装卸过程中排放的油气，防止油气挥发造成的大气污染，消除安全隐患，通过提高对能源的利用率，减小经济损失，从而得到可观的效益回报。</w:t>
            </w:r>
          </w:p>
          <w:p w14:paraId="7CB3BE3E">
            <w:pPr>
              <w:keepNext w:val="0"/>
              <w:keepLines w:val="0"/>
              <w:widowControl/>
              <w:suppressLineNumbers w:val="0"/>
              <w:ind w:firstLine="420" w:firstLineChars="200"/>
              <w:jc w:val="left"/>
              <w:rPr>
                <w:rFonts w:hint="eastAsia"/>
                <w:color w:val="auto"/>
              </w:rPr>
            </w:pPr>
            <w:r>
              <w:rPr>
                <w:rFonts w:hint="eastAsia"/>
                <w:color w:val="auto"/>
              </w:rPr>
              <w:t>本加油站汽油系统设有卸油油气回收和加油油气回收。</w:t>
            </w:r>
          </w:p>
          <w:p w14:paraId="5CD4EB4A">
            <w:pPr>
              <w:keepNext w:val="0"/>
              <w:keepLines w:val="0"/>
              <w:widowControl/>
              <w:suppressLineNumbers w:val="0"/>
              <w:ind w:firstLine="420" w:firstLineChars="200"/>
              <w:jc w:val="left"/>
              <w:rPr>
                <w:rFonts w:hint="eastAsia"/>
                <w:color w:val="auto"/>
              </w:rPr>
            </w:pPr>
            <w:r>
              <w:rPr>
                <w:rFonts w:hint="eastAsia"/>
                <w:color w:val="auto"/>
              </w:rPr>
              <w:t>（1）汽油卸油油气回收</w:t>
            </w:r>
          </w:p>
          <w:p w14:paraId="0B7B97C3">
            <w:pPr>
              <w:keepNext w:val="0"/>
              <w:keepLines w:val="0"/>
              <w:widowControl/>
              <w:suppressLineNumbers w:val="0"/>
              <w:ind w:firstLine="420" w:firstLineChars="200"/>
              <w:jc w:val="left"/>
              <w:rPr>
                <w:rFonts w:hint="eastAsia"/>
                <w:color w:val="auto"/>
              </w:rPr>
            </w:pPr>
            <w:r>
              <w:rPr>
                <w:rFonts w:hint="eastAsia"/>
                <w:color w:val="auto"/>
              </w:rPr>
              <w:t>汽油卸油油气回收阶段是通过压力平衡原理，通过卸油油气回收管道使汽油罐与汽油罐车相互连通，将汽油在卸油过程中挥发的油气收集到油罐车内，运回储油库进行油气回收处理的过程。</w:t>
            </w:r>
          </w:p>
          <w:p w14:paraId="3CCF351C">
            <w:pPr>
              <w:keepNext w:val="0"/>
              <w:keepLines w:val="0"/>
              <w:widowControl/>
              <w:suppressLineNumbers w:val="0"/>
              <w:ind w:firstLine="420" w:firstLineChars="200"/>
              <w:jc w:val="left"/>
              <w:rPr>
                <w:rFonts w:hint="eastAsia"/>
                <w:color w:val="auto"/>
              </w:rPr>
            </w:pPr>
            <w:r>
              <w:rPr>
                <w:rFonts w:hint="eastAsia"/>
                <w:color w:val="auto"/>
              </w:rPr>
              <w:t>该阶段油气回收实现过程：在油罐车卸油过程中，储油车内压力减小，地下储罐内压力增加，地下储罐与油罐车内的压力差，使卸油挥发的油气通过管线回到油罐车内，达到油气收集的目的。待卸油结束，地下储罐与油罐车内压力达到平衡状态，汽油卸油油气回收阶段结束。</w:t>
            </w:r>
          </w:p>
          <w:p w14:paraId="0EFAC696">
            <w:pPr>
              <w:keepNext w:val="0"/>
              <w:keepLines w:val="0"/>
              <w:widowControl/>
              <w:suppressLineNumbers w:val="0"/>
              <w:ind w:firstLine="420" w:firstLineChars="200"/>
              <w:jc w:val="left"/>
              <w:rPr>
                <w:rFonts w:hint="eastAsia"/>
                <w:color w:val="auto"/>
              </w:rPr>
            </w:pPr>
            <w:r>
              <w:rPr>
                <w:rFonts w:hint="eastAsia"/>
                <w:color w:val="auto"/>
              </w:rPr>
              <w:t>（2）汽油加油油气回收</w:t>
            </w:r>
          </w:p>
          <w:p w14:paraId="20925F00">
            <w:pPr>
              <w:keepNext w:val="0"/>
              <w:keepLines w:val="0"/>
              <w:widowControl/>
              <w:suppressLineNumbers w:val="0"/>
              <w:ind w:firstLine="420" w:firstLineChars="200"/>
              <w:jc w:val="left"/>
              <w:rPr>
                <w:rFonts w:hint="eastAsia"/>
                <w:color w:val="auto"/>
              </w:rPr>
            </w:pPr>
            <w:r>
              <w:rPr>
                <w:rFonts w:hint="eastAsia"/>
                <w:color w:val="auto"/>
              </w:rPr>
              <w:t>汽油加油油气回收阶段是采用真空辅助式油气回收设备，将汽油在加油过程中挥发的油气通过地下油气回收管线收集到地下92#汽油储罐、95#汽油储罐内的油气回收过程。</w:t>
            </w:r>
          </w:p>
          <w:p w14:paraId="5474A290">
            <w:pPr>
              <w:keepNext w:val="0"/>
              <w:keepLines w:val="0"/>
              <w:widowControl/>
              <w:suppressLineNumbers w:val="0"/>
              <w:ind w:firstLine="420" w:firstLineChars="200"/>
              <w:jc w:val="left"/>
              <w:rPr>
                <w:rFonts w:hint="eastAsia"/>
                <w:color w:val="auto"/>
              </w:rPr>
            </w:pPr>
            <w:r>
              <w:rPr>
                <w:rFonts w:hint="eastAsia"/>
                <w:color w:val="auto"/>
              </w:rPr>
              <w:t>该阶段油气回收实现过程：在加油站为汽车加油过程中，通过真空泵产生一定真空度，经过加油枪、油气回收管、真空泵等油气回收设备，按照气液比控制在1.0至1.2之间的要求，将加油过程中挥发的油气回收到油罐内。</w:t>
            </w:r>
          </w:p>
          <w:p w14:paraId="7CFABCC0">
            <w:pPr>
              <w:keepNext w:val="0"/>
              <w:keepLines w:val="0"/>
              <w:widowControl/>
              <w:suppressLineNumbers w:val="0"/>
              <w:ind w:firstLine="420" w:firstLineChars="200"/>
              <w:jc w:val="left"/>
            </w:pPr>
            <w:r>
              <w:rPr>
                <w:rFonts w:hint="eastAsia"/>
                <w:color w:val="auto"/>
              </w:rPr>
              <w:t>停止加油时，油泵信号中断，真空泵关闭。系统由油气回收加油枪、真空泵、拉断阀、油气分离器、反向同轴胶管等组成。</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523DCE7C">
      <w:pPr>
        <w:rPr>
          <w:rFonts w:hint="eastAsia"/>
          <w:lang w:eastAsia="zh-CN"/>
        </w:rPr>
      </w:pPr>
      <w:r>
        <w:drawing>
          <wp:inline distT="0" distB="0" distL="114300" distR="114300">
            <wp:extent cx="5631815" cy="4256405"/>
            <wp:effectExtent l="0" t="0" r="6985" b="1079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4"/>
                    <a:stretch>
                      <a:fillRect/>
                    </a:stretch>
                  </pic:blipFill>
                  <pic:spPr>
                    <a:xfrm>
                      <a:off x="0" y="0"/>
                      <a:ext cx="5631815" cy="4256405"/>
                    </a:xfrm>
                    <a:prstGeom prst="rect">
                      <a:avLst/>
                    </a:prstGeom>
                    <a:noFill/>
                    <a:ln>
                      <a:noFill/>
                    </a:ln>
                  </pic:spPr>
                </pic:pic>
              </a:graphicData>
            </a:graphic>
          </wp:inline>
        </w:drawing>
      </w:r>
      <w:r>
        <w:drawing>
          <wp:inline distT="0" distB="0" distL="114300" distR="114300">
            <wp:extent cx="5558155" cy="4199890"/>
            <wp:effectExtent l="0" t="0" r="4445" b="381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5"/>
                    <a:stretch>
                      <a:fillRect/>
                    </a:stretch>
                  </pic:blipFill>
                  <pic:spPr>
                    <a:xfrm>
                      <a:off x="0" y="0"/>
                      <a:ext cx="5558155" cy="4199890"/>
                    </a:xfrm>
                    <a:prstGeom prst="rect">
                      <a:avLst/>
                    </a:prstGeom>
                    <a:noFill/>
                    <a:ln>
                      <a:noFill/>
                    </a:ln>
                  </pic:spPr>
                </pic:pic>
              </a:graphicData>
            </a:graphic>
          </wp:inline>
        </w:drawing>
      </w:r>
      <w:r>
        <w:drawing>
          <wp:inline distT="0" distB="0" distL="114300" distR="114300">
            <wp:extent cx="5271135" cy="4768850"/>
            <wp:effectExtent l="0" t="0" r="0" b="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6"/>
                    <a:srcRect t="15590"/>
                    <a:stretch>
                      <a:fillRect/>
                    </a:stretch>
                  </pic:blipFill>
                  <pic:spPr>
                    <a:xfrm>
                      <a:off x="0" y="0"/>
                      <a:ext cx="5271135" cy="4768850"/>
                    </a:xfrm>
                    <a:prstGeom prst="rect">
                      <a:avLst/>
                    </a:prstGeom>
                    <a:noFill/>
                    <a:ln>
                      <a:noFill/>
                    </a:ln>
                  </pic:spPr>
                </pic:pic>
              </a:graphicData>
            </a:graphic>
          </wp:inline>
        </w:drawing>
      </w:r>
      <w:r>
        <w:drawing>
          <wp:inline distT="0" distB="0" distL="114300" distR="114300">
            <wp:extent cx="5057775" cy="3599180"/>
            <wp:effectExtent l="0" t="0" r="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7"/>
                    <a:srcRect t="20281"/>
                    <a:stretch>
                      <a:fillRect/>
                    </a:stretch>
                  </pic:blipFill>
                  <pic:spPr>
                    <a:xfrm>
                      <a:off x="0" y="0"/>
                      <a:ext cx="5057775" cy="3599180"/>
                    </a:xfrm>
                    <a:prstGeom prst="rect">
                      <a:avLst/>
                    </a:prstGeom>
                    <a:noFill/>
                    <a:ln>
                      <a:noFill/>
                    </a:ln>
                  </pic:spPr>
                </pic:pic>
              </a:graphicData>
            </a:graphic>
          </wp:inline>
        </w:drawing>
      </w:r>
      <w:r>
        <w:drawing>
          <wp:inline distT="0" distB="0" distL="114300" distR="114300">
            <wp:extent cx="5267960" cy="7206615"/>
            <wp:effectExtent l="0" t="0" r="2540" b="698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8"/>
                    <a:stretch>
                      <a:fillRect/>
                    </a:stretch>
                  </pic:blipFill>
                  <pic:spPr>
                    <a:xfrm>
                      <a:off x="0" y="0"/>
                      <a:ext cx="5267960" cy="7206615"/>
                    </a:xfrm>
                    <a:prstGeom prst="rect">
                      <a:avLst/>
                    </a:prstGeom>
                    <a:noFill/>
                    <a:ln>
                      <a:noFill/>
                    </a:ln>
                  </pic:spPr>
                </pic:pic>
              </a:graphicData>
            </a:graphic>
          </wp:inline>
        </w:drawing>
      </w:r>
      <w:r>
        <w:drawing>
          <wp:inline distT="0" distB="0" distL="114300" distR="114300">
            <wp:extent cx="5270500" cy="7541895"/>
            <wp:effectExtent l="0" t="0" r="0" b="190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9"/>
                    <a:stretch>
                      <a:fillRect/>
                    </a:stretch>
                  </pic:blipFill>
                  <pic:spPr>
                    <a:xfrm>
                      <a:off x="0" y="0"/>
                      <a:ext cx="5270500" cy="7541895"/>
                    </a:xfrm>
                    <a:prstGeom prst="rect">
                      <a:avLst/>
                    </a:prstGeom>
                    <a:noFill/>
                    <a:ln>
                      <a:noFill/>
                    </a:ln>
                  </pic:spPr>
                </pic:pic>
              </a:graphicData>
            </a:graphic>
          </wp:inline>
        </w:drawing>
      </w:r>
    </w:p>
    <w:p w14:paraId="2B1DFF98">
      <w:pPr>
        <w:pStyle w:val="22"/>
        <w:ind w:left="0" w:leftChars="0" w:firstLine="0" w:firstLineChars="0"/>
        <w:jc w:val="center"/>
        <w:rPr>
          <w:rFonts w:hint="eastAsia" w:eastAsia="宋体"/>
          <w:lang w:eastAsia="zh-CN"/>
        </w:rPr>
      </w:pPr>
      <w:r>
        <w:drawing>
          <wp:inline distT="0" distB="0" distL="114300" distR="114300">
            <wp:extent cx="5273040" cy="7604125"/>
            <wp:effectExtent l="0" t="0" r="10160" b="317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0"/>
                    <a:stretch>
                      <a:fillRect/>
                    </a:stretch>
                  </pic:blipFill>
                  <pic:spPr>
                    <a:xfrm>
                      <a:off x="0" y="0"/>
                      <a:ext cx="5273040" cy="760412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822519"/>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0319FE"/>
    <w:rsid w:val="5E1A42E3"/>
    <w:rsid w:val="5E3F6556"/>
    <w:rsid w:val="5E4A7A0E"/>
    <w:rsid w:val="5E8C3C37"/>
    <w:rsid w:val="5EBC6D64"/>
    <w:rsid w:val="5ED03402"/>
    <w:rsid w:val="5F182B4A"/>
    <w:rsid w:val="5F2D2C93"/>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DC01176"/>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5620F8D"/>
    <w:rsid w:val="76391AC6"/>
    <w:rsid w:val="7672193D"/>
    <w:rsid w:val="770403EE"/>
    <w:rsid w:val="771C50B0"/>
    <w:rsid w:val="771E190D"/>
    <w:rsid w:val="77832F9B"/>
    <w:rsid w:val="77C519A6"/>
    <w:rsid w:val="78063C29"/>
    <w:rsid w:val="784004D1"/>
    <w:rsid w:val="78725E9B"/>
    <w:rsid w:val="7877129B"/>
    <w:rsid w:val="787B0173"/>
    <w:rsid w:val="78BF17DA"/>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w:basedOn w:val="1"/>
    <w:next w:val="1"/>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8"/>
    <w:next w:val="1"/>
    <w:qFormat/>
    <w:uiPriority w:val="0"/>
    <w:pPr>
      <w:spacing w:after="120"/>
      <w:ind w:firstLine="420" w:firstLineChars="100"/>
    </w:pPr>
  </w:style>
  <w:style w:type="paragraph" w:styleId="22">
    <w:name w:val="Body Text First Indent 2"/>
    <w:basedOn w:val="9"/>
    <w:next w:val="23"/>
    <w:unhideWhenUsed/>
    <w:qFormat/>
    <w:uiPriority w:val="99"/>
    <w:pPr>
      <w:ind w:firstLine="420" w:firstLineChars="200"/>
    </w:pPr>
  </w:style>
  <w:style w:type="paragraph" w:customStyle="1" w:styleId="23">
    <w:name w:val="正文2"/>
    <w:basedOn w:val="1"/>
    <w:qFormat/>
    <w:uiPriority w:val="0"/>
    <w:pPr>
      <w:spacing w:line="440" w:lineRule="atLeast"/>
      <w:ind w:firstLine="567"/>
    </w:pPr>
    <w:rPr>
      <w:sz w:val="24"/>
      <w:szCs w:val="20"/>
    </w:rPr>
  </w:style>
  <w:style w:type="paragraph" w:customStyle="1" w:styleId="26">
    <w:name w:val="Default"/>
    <w:basedOn w:val="27"/>
    <w:next w:val="22"/>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5"/>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5"/>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5"/>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Pages>
  <Words>1916</Words>
  <Characters>2228</Characters>
  <Lines>8</Lines>
  <Paragraphs>2</Paragraphs>
  <TotalTime>7</TotalTime>
  <ScaleCrop>false</ScaleCrop>
  <LinksUpToDate>false</LinksUpToDate>
  <CharactersWithSpaces>2231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2026-01-09T06:43:14Z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