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8E64BA">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14:paraId="2BAB0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1FAF31B7">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14:paraId="50755C1B">
            <w:pPr>
              <w:widowControl/>
              <w:spacing w:after="150"/>
              <w:jc w:val="center"/>
              <w:rPr>
                <w:rFonts w:hint="eastAsia" w:ascii="宋体" w:hAnsi="宋体" w:eastAsia="宋体" w:cs="宋体"/>
                <w:sz w:val="24"/>
                <w:lang w:eastAsia="zh-CN"/>
              </w:rPr>
            </w:pPr>
            <w:r>
              <w:rPr>
                <w:rFonts w:hint="eastAsia"/>
                <w:sz w:val="21"/>
                <w:szCs w:val="21"/>
              </w:rPr>
              <w:t>江西高速石化有限责任公司永新东服务区西加油站油罐柴改汽项目安全条件评价报告</w:t>
            </w:r>
          </w:p>
        </w:tc>
      </w:tr>
      <w:tr w14:paraId="04AF1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22DDF148">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14:paraId="2F4C4CCD">
            <w:pPr>
              <w:widowControl/>
              <w:spacing w:after="150"/>
              <w:jc w:val="center"/>
              <w:rPr>
                <w:rFonts w:ascii="宋体" w:hAnsi="宋体" w:cs="宋体"/>
                <w:sz w:val="24"/>
              </w:rPr>
            </w:pPr>
            <w:r>
              <w:rPr>
                <w:rFonts w:hint="eastAsia" w:ascii="宋体" w:hAnsi="宋体" w:cs="宋体"/>
                <w:sz w:val="24"/>
                <w:lang w:val="en-US" w:eastAsia="zh-CN"/>
              </w:rPr>
              <w:t>2025</w:t>
            </w:r>
            <w:r>
              <w:rPr>
                <w:rFonts w:hint="eastAsia" w:ascii="宋体" w:hAnsi="宋体" w:cs="宋体"/>
                <w:sz w:val="24"/>
              </w:rPr>
              <w:t>年</w:t>
            </w:r>
            <w:r>
              <w:rPr>
                <w:rFonts w:hint="eastAsia" w:ascii="宋体" w:hAnsi="宋体" w:cs="宋体"/>
                <w:sz w:val="24"/>
                <w:lang w:val="en-US" w:eastAsia="zh-CN"/>
              </w:rPr>
              <w:t>12</w:t>
            </w:r>
            <w:r>
              <w:rPr>
                <w:rFonts w:hint="eastAsia" w:ascii="宋体" w:hAnsi="宋体" w:cs="宋体"/>
                <w:sz w:val="24"/>
              </w:rPr>
              <w:t>月</w:t>
            </w:r>
          </w:p>
        </w:tc>
      </w:tr>
      <w:tr w14:paraId="2EFF2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09C8A51D">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5190A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307511B6">
            <w:pPr>
              <w:jc w:val="center"/>
              <w:rPr>
                <w:rFonts w:ascii="宋体" w:hAnsi="宋体" w:cs="宋体"/>
                <w:sz w:val="24"/>
              </w:rPr>
            </w:pPr>
          </w:p>
        </w:tc>
        <w:tc>
          <w:tcPr>
            <w:tcW w:w="1237" w:type="dxa"/>
            <w:tcBorders>
              <w:tl2br w:val="nil"/>
              <w:tr2bl w:val="nil"/>
            </w:tcBorders>
            <w:shd w:val="clear" w:color="auto" w:fill="FFFFFF"/>
            <w:vAlign w:val="center"/>
          </w:tcPr>
          <w:p w14:paraId="2B027815">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14:paraId="656D549A">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57404C5E">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3FC45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14:paraId="78B56D90">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14:paraId="15D66A6B">
            <w:pPr>
              <w:jc w:val="center"/>
              <w:rPr>
                <w:rFonts w:hint="eastAsia" w:ascii="宋体" w:hAnsi="宋体" w:eastAsia="宋体" w:cs="宋体"/>
                <w:sz w:val="24"/>
                <w:lang w:eastAsia="zh-CN"/>
              </w:rPr>
            </w:pPr>
            <w:r>
              <w:rPr>
                <w:rFonts w:hint="eastAsia" w:ascii="宋体" w:hAnsi="宋体" w:cs="宋体"/>
                <w:sz w:val="24"/>
                <w:lang w:val="en-US" w:eastAsia="zh-CN"/>
              </w:rPr>
              <w:t>熊克书</w:t>
            </w:r>
          </w:p>
        </w:tc>
        <w:tc>
          <w:tcPr>
            <w:tcW w:w="4803" w:type="dxa"/>
            <w:tcBorders>
              <w:tl2br w:val="nil"/>
              <w:tr2bl w:val="nil"/>
            </w:tcBorders>
            <w:shd w:val="clear" w:color="auto" w:fill="FFFFFF"/>
            <w:vAlign w:val="center"/>
          </w:tcPr>
          <w:p w14:paraId="2E3657AA">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ascii="宋体" w:hAnsi="宋体" w:cs="宋体"/>
                <w:sz w:val="24"/>
              </w:rPr>
            </w:pPr>
            <w:r>
              <w:rPr>
                <w:rFonts w:hint="eastAsia" w:ascii="Times New Roman" w:hAnsi="Times New Roman" w:eastAsia="宋体" w:cs="Times New Roman"/>
                <w:sz w:val="24"/>
                <w:lang w:eastAsia="zh-CN"/>
              </w:rPr>
              <w:t>S011035000110192001546</w:t>
            </w:r>
          </w:p>
        </w:tc>
        <w:tc>
          <w:tcPr>
            <w:tcW w:w="2115" w:type="dxa"/>
            <w:tcBorders>
              <w:tl2br w:val="nil"/>
              <w:tr2bl w:val="nil"/>
            </w:tcBorders>
            <w:shd w:val="clear" w:color="auto" w:fill="FFFFFF"/>
            <w:vAlign w:val="center"/>
          </w:tcPr>
          <w:p w14:paraId="1D907D16">
            <w:pPr>
              <w:widowControl/>
              <w:jc w:val="center"/>
              <w:rPr>
                <w:rFonts w:ascii="宋体" w:hAnsi="宋体" w:cs="宋体"/>
                <w:sz w:val="24"/>
              </w:rPr>
            </w:pPr>
            <w:r>
              <w:rPr>
                <w:rFonts w:hint="eastAsia" w:ascii="宋体" w:hAnsi="宋体" w:cs="宋体"/>
                <w:sz w:val="24"/>
              </w:rPr>
              <w:t>027024</w:t>
            </w:r>
          </w:p>
        </w:tc>
      </w:tr>
      <w:tr w14:paraId="01A4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14:paraId="2F69E342">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14:paraId="1E222049">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hint="eastAsia" w:ascii="宋体" w:hAnsi="宋体" w:cs="宋体"/>
                <w:sz w:val="24"/>
              </w:rPr>
            </w:pPr>
            <w:r>
              <w:rPr>
                <w:rFonts w:hint="eastAsia" w:ascii="Times New Roman" w:hAnsi="Times New Roman" w:eastAsia="宋体" w:cs="Times New Roman"/>
                <w:sz w:val="24"/>
                <w:lang w:eastAsia="zh-CN"/>
              </w:rPr>
              <w:t>舒斌</w:t>
            </w:r>
          </w:p>
        </w:tc>
        <w:tc>
          <w:tcPr>
            <w:tcW w:w="4803" w:type="dxa"/>
            <w:tcBorders>
              <w:tl2br w:val="nil"/>
              <w:tr2bl w:val="nil"/>
            </w:tcBorders>
            <w:shd w:val="clear" w:color="auto" w:fill="FFFFFF"/>
            <w:vAlign w:val="center"/>
          </w:tcPr>
          <w:p w14:paraId="2AF7BD6E">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hint="eastAsia" w:ascii="宋体" w:hAnsi="宋体" w:cs="宋体"/>
                <w:sz w:val="24"/>
              </w:rPr>
            </w:pPr>
            <w:r>
              <w:rPr>
                <w:rFonts w:hint="eastAsia" w:ascii="Times New Roman" w:hAnsi="Times New Roman" w:eastAsia="宋体" w:cs="Times New Roman"/>
                <w:sz w:val="24"/>
                <w:lang w:eastAsia="zh-CN"/>
              </w:rPr>
              <w:t>0800000000205889</w:t>
            </w:r>
          </w:p>
        </w:tc>
        <w:tc>
          <w:tcPr>
            <w:tcW w:w="2115" w:type="dxa"/>
            <w:tcBorders>
              <w:tl2br w:val="nil"/>
              <w:tr2bl w:val="nil"/>
            </w:tcBorders>
            <w:shd w:val="clear" w:color="auto" w:fill="FFFFFF"/>
            <w:vAlign w:val="center"/>
          </w:tcPr>
          <w:p w14:paraId="135FF85F">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hint="eastAsia" w:ascii="宋体" w:hAnsi="宋体" w:cs="宋体"/>
                <w:sz w:val="24"/>
              </w:rPr>
            </w:pPr>
            <w:r>
              <w:rPr>
                <w:rFonts w:hint="eastAsia" w:ascii="Times New Roman" w:hAnsi="Times New Roman" w:eastAsia="宋体" w:cs="Times New Roman"/>
                <w:sz w:val="24"/>
                <w:lang w:eastAsia="zh-CN"/>
              </w:rPr>
              <w:t>013031</w:t>
            </w:r>
          </w:p>
        </w:tc>
      </w:tr>
      <w:tr w14:paraId="0F2BA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E6D1793">
            <w:pPr>
              <w:jc w:val="center"/>
              <w:rPr>
                <w:rFonts w:ascii="宋体" w:hAnsi="宋体" w:cs="宋体"/>
                <w:sz w:val="24"/>
              </w:rPr>
            </w:pPr>
          </w:p>
        </w:tc>
        <w:tc>
          <w:tcPr>
            <w:tcW w:w="1237" w:type="dxa"/>
            <w:tcBorders>
              <w:tl2br w:val="nil"/>
              <w:tr2bl w:val="nil"/>
            </w:tcBorders>
            <w:shd w:val="clear" w:color="auto" w:fill="FFFFFF"/>
            <w:vAlign w:val="center"/>
          </w:tcPr>
          <w:p w14:paraId="3731B40C">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hint="eastAsia" w:ascii="宋体" w:hAnsi="宋体" w:eastAsia="宋体" w:cs="宋体"/>
                <w:sz w:val="24"/>
              </w:rPr>
            </w:pPr>
            <w:r>
              <w:rPr>
                <w:rFonts w:hint="eastAsia" w:ascii="Times New Roman" w:hAnsi="Times New Roman" w:eastAsia="宋体" w:cs="Times New Roman"/>
                <w:sz w:val="24"/>
                <w:lang w:eastAsia="zh-CN"/>
              </w:rPr>
              <w:t>张晋慧</w:t>
            </w:r>
          </w:p>
        </w:tc>
        <w:tc>
          <w:tcPr>
            <w:tcW w:w="4803" w:type="dxa"/>
            <w:tcBorders>
              <w:tl2br w:val="nil"/>
              <w:tr2bl w:val="nil"/>
            </w:tcBorders>
            <w:shd w:val="clear" w:color="auto" w:fill="FFFFFF"/>
            <w:vAlign w:val="center"/>
          </w:tcPr>
          <w:p w14:paraId="5E54EC41">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hint="eastAsia" w:ascii="宋体" w:hAnsi="宋体" w:eastAsia="宋体" w:cs="宋体"/>
                <w:sz w:val="24"/>
              </w:rPr>
            </w:pPr>
            <w:r>
              <w:rPr>
                <w:rFonts w:hint="eastAsia" w:ascii="Times New Roman" w:hAnsi="Times New Roman" w:eastAsia="宋体" w:cs="Times New Roman"/>
                <w:sz w:val="24"/>
                <w:lang w:eastAsia="zh-CN"/>
              </w:rPr>
              <w:t>1100000000302946</w:t>
            </w:r>
            <w:bookmarkStart w:id="0" w:name="_GoBack"/>
            <w:bookmarkEnd w:id="0"/>
          </w:p>
        </w:tc>
        <w:tc>
          <w:tcPr>
            <w:tcW w:w="2115" w:type="dxa"/>
            <w:tcBorders>
              <w:tl2br w:val="nil"/>
              <w:tr2bl w:val="nil"/>
            </w:tcBorders>
            <w:shd w:val="clear" w:color="auto" w:fill="FFFFFF"/>
            <w:vAlign w:val="center"/>
          </w:tcPr>
          <w:p w14:paraId="0EA3FFA0">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hint="default" w:ascii="宋体" w:hAnsi="宋体" w:eastAsia="宋体" w:cs="宋体"/>
                <w:sz w:val="24"/>
                <w:lang w:val="en-US" w:eastAsia="zh-CN"/>
              </w:rPr>
            </w:pPr>
            <w:r>
              <w:rPr>
                <w:rFonts w:hint="eastAsia" w:ascii="Times New Roman" w:hAnsi="Times New Roman" w:eastAsia="宋体" w:cs="Times New Roman"/>
                <w:sz w:val="24"/>
                <w:lang w:eastAsia="zh-CN"/>
              </w:rPr>
              <w:t>0</w:t>
            </w:r>
            <w:r>
              <w:rPr>
                <w:rFonts w:hint="eastAsia" w:ascii="Times New Roman" w:hAnsi="Times New Roman" w:eastAsia="宋体" w:cs="Times New Roman"/>
                <w:sz w:val="24"/>
                <w:lang w:val="en-US" w:eastAsia="zh-CN"/>
              </w:rPr>
              <w:t>20045</w:t>
            </w:r>
          </w:p>
        </w:tc>
      </w:tr>
      <w:tr w14:paraId="011B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5AB04B7">
            <w:pPr>
              <w:jc w:val="center"/>
              <w:rPr>
                <w:rFonts w:ascii="宋体" w:hAnsi="宋体" w:cs="宋体"/>
                <w:sz w:val="24"/>
              </w:rPr>
            </w:pPr>
          </w:p>
        </w:tc>
        <w:tc>
          <w:tcPr>
            <w:tcW w:w="1237" w:type="dxa"/>
            <w:tcBorders>
              <w:tl2br w:val="nil"/>
              <w:tr2bl w:val="nil"/>
            </w:tcBorders>
            <w:shd w:val="clear" w:color="auto" w:fill="FFFFFF"/>
            <w:vAlign w:val="center"/>
          </w:tcPr>
          <w:p w14:paraId="4F508235">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hint="default" w:ascii="宋体" w:hAnsi="宋体" w:eastAsia="宋体" w:cs="宋体"/>
                <w:sz w:val="24"/>
                <w:lang w:val="en-US" w:eastAsia="zh-CN"/>
              </w:rPr>
            </w:pPr>
            <w:r>
              <w:rPr>
                <w:rFonts w:hint="eastAsia" w:ascii="Times New Roman" w:hAnsi="Times New Roman" w:eastAsia="宋体" w:cs="Times New Roman"/>
                <w:color w:val="auto"/>
                <w:kern w:val="2"/>
                <w:sz w:val="24"/>
                <w:szCs w:val="24"/>
                <w:lang w:val="en-US" w:eastAsia="zh-CN" w:bidi="ar-SA"/>
              </w:rPr>
              <w:t>赵云峰</w:t>
            </w:r>
          </w:p>
        </w:tc>
        <w:tc>
          <w:tcPr>
            <w:tcW w:w="4803" w:type="dxa"/>
            <w:tcBorders>
              <w:tl2br w:val="nil"/>
              <w:tr2bl w:val="nil"/>
            </w:tcBorders>
            <w:shd w:val="clear" w:color="auto" w:fill="FFFFFF"/>
            <w:vAlign w:val="center"/>
          </w:tcPr>
          <w:p w14:paraId="0E1A6948">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ascii="宋体" w:hAnsi="宋体" w:cs="宋体"/>
                <w:sz w:val="24"/>
              </w:rPr>
            </w:pPr>
            <w:r>
              <w:rPr>
                <w:rFonts w:hint="eastAsia" w:ascii="Times New Roman" w:hAnsi="Times New Roman" w:eastAsia="宋体" w:cs="Times New Roman"/>
                <w:color w:val="auto"/>
                <w:kern w:val="2"/>
                <w:sz w:val="24"/>
                <w:szCs w:val="24"/>
                <w:lang w:val="en-US" w:eastAsia="zh-CN" w:bidi="ar-SA"/>
              </w:rPr>
              <w:t>1600000000200809</w:t>
            </w:r>
          </w:p>
        </w:tc>
        <w:tc>
          <w:tcPr>
            <w:tcW w:w="2115" w:type="dxa"/>
            <w:tcBorders>
              <w:tl2br w:val="nil"/>
              <w:tr2bl w:val="nil"/>
            </w:tcBorders>
            <w:shd w:val="clear" w:color="auto" w:fill="FFFFFF"/>
            <w:vAlign w:val="center"/>
          </w:tcPr>
          <w:p w14:paraId="34039BB0">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hint="default" w:ascii="宋体" w:hAnsi="宋体" w:eastAsia="宋体" w:cs="宋体"/>
                <w:sz w:val="24"/>
                <w:lang w:val="en-US" w:eastAsia="zh-CN"/>
              </w:rPr>
            </w:pPr>
            <w:r>
              <w:rPr>
                <w:rFonts w:hint="eastAsia" w:ascii="Times New Roman" w:hAnsi="Times New Roman" w:eastAsia="宋体" w:cs="Times New Roman"/>
                <w:color w:val="auto"/>
                <w:kern w:val="2"/>
                <w:sz w:val="24"/>
                <w:szCs w:val="24"/>
                <w:lang w:val="en-US" w:eastAsia="zh-CN" w:bidi="ar-SA"/>
              </w:rPr>
              <w:t>030095</w:t>
            </w:r>
          </w:p>
        </w:tc>
      </w:tr>
      <w:tr w14:paraId="4F9C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3F542EE4">
            <w:pPr>
              <w:jc w:val="center"/>
              <w:rPr>
                <w:rFonts w:ascii="宋体" w:hAnsi="宋体" w:cs="宋体"/>
                <w:sz w:val="24"/>
              </w:rPr>
            </w:pPr>
          </w:p>
        </w:tc>
        <w:tc>
          <w:tcPr>
            <w:tcW w:w="1237" w:type="dxa"/>
            <w:tcBorders>
              <w:tl2br w:val="nil"/>
              <w:tr2bl w:val="nil"/>
            </w:tcBorders>
            <w:shd w:val="clear" w:color="auto" w:fill="FFFFFF"/>
            <w:vAlign w:val="center"/>
          </w:tcPr>
          <w:p w14:paraId="4320B2A6">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hint="eastAsia" w:ascii="宋体" w:hAnsi="宋体" w:eastAsia="宋体" w:cs="宋体"/>
                <w:color w:val="000000"/>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谢雨飞</w:t>
            </w:r>
          </w:p>
        </w:tc>
        <w:tc>
          <w:tcPr>
            <w:tcW w:w="4803" w:type="dxa"/>
            <w:tcBorders>
              <w:tl2br w:val="nil"/>
              <w:tr2bl w:val="nil"/>
            </w:tcBorders>
            <w:shd w:val="clear" w:color="auto" w:fill="FFFFFF"/>
            <w:vAlign w:val="center"/>
          </w:tcPr>
          <w:p w14:paraId="70C9750C">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hint="eastAsia" w:ascii="宋体" w:hAnsi="宋体" w:eastAsia="宋体" w:cs="宋体"/>
                <w:color w:val="000000"/>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CAWS350000230200227</w:t>
            </w:r>
          </w:p>
        </w:tc>
        <w:tc>
          <w:tcPr>
            <w:tcW w:w="2115" w:type="dxa"/>
            <w:tcBorders>
              <w:tl2br w:val="nil"/>
              <w:tr2bl w:val="nil"/>
            </w:tcBorders>
            <w:shd w:val="clear" w:color="auto" w:fill="FFFFFF"/>
            <w:vAlign w:val="center"/>
          </w:tcPr>
          <w:p w14:paraId="2C5E2BF3">
            <w:pPr>
              <w:keepNext w:val="0"/>
              <w:keepLines w:val="0"/>
              <w:pageBreakBefore w:val="0"/>
              <w:widowControl w:val="0"/>
              <w:suppressLineNumbers w:val="0"/>
              <w:kinsoku/>
              <w:wordWrap/>
              <w:overflowPunct/>
              <w:topLinePunct w:val="0"/>
              <w:autoSpaceDE/>
              <w:autoSpaceDN/>
              <w:bidi w:val="0"/>
              <w:adjustRightInd/>
              <w:snapToGrid/>
              <w:spacing w:before="190" w:beforeLines="50" w:beforeAutospacing="0" w:after="190" w:afterLines="50" w:afterAutospacing="0" w:line="400" w:lineRule="exact"/>
              <w:ind w:left="0" w:leftChars="0" w:right="0" w:rightChars="0" w:firstLine="0" w:firstLineChars="0"/>
              <w:jc w:val="center"/>
              <w:textAlignment w:val="auto"/>
              <w:rPr>
                <w:rFonts w:hint="eastAsia" w:ascii="宋体" w:hAnsi="宋体" w:eastAsia="宋体" w:cs="宋体"/>
                <w:color w:val="000000"/>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043378</w:t>
            </w:r>
          </w:p>
        </w:tc>
      </w:tr>
      <w:tr w14:paraId="0664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45419EC2">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14:paraId="63155A62">
            <w:pPr>
              <w:jc w:val="center"/>
              <w:rPr>
                <w:rFonts w:ascii="宋体" w:hAnsi="宋体" w:cs="宋体"/>
                <w:sz w:val="24"/>
              </w:rPr>
            </w:pPr>
            <w:r>
              <w:rPr>
                <w:rFonts w:hint="eastAsia" w:ascii="宋体" w:hAnsi="宋体" w:cs="宋体"/>
                <w:sz w:val="24"/>
              </w:rPr>
              <w:t>/</w:t>
            </w:r>
          </w:p>
        </w:tc>
      </w:tr>
      <w:tr w14:paraId="7701F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14:paraId="5781712E">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14:paraId="2A5711E2">
            <w:pPr>
              <w:widowControl/>
              <w:spacing w:after="150"/>
              <w:jc w:val="center"/>
              <w:rPr>
                <w:rFonts w:hint="default" w:ascii="Times New Roman" w:hAnsi="Times New Roman" w:eastAsia="宋体"/>
                <w:sz w:val="24"/>
                <w:lang w:val="en-US" w:eastAsia="zh-CN"/>
              </w:rPr>
            </w:pPr>
            <w:r>
              <w:rPr>
                <w:rFonts w:hint="eastAsia" w:ascii="Times New Roman" w:hAnsi="Times New Roman"/>
                <w:sz w:val="24"/>
              </w:rPr>
              <w:t>熊克书</w:t>
            </w:r>
            <w:r>
              <w:rPr>
                <w:rFonts w:hint="eastAsia"/>
                <w:sz w:val="24"/>
                <w:lang w:val="en-US" w:eastAsia="zh-CN"/>
              </w:rPr>
              <w:t>2025年12月5日</w:t>
            </w:r>
          </w:p>
        </w:tc>
      </w:tr>
      <w:tr w14:paraId="699DF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14:paraId="00480C70">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14:paraId="76100CE6">
            <w:pPr>
              <w:widowControl/>
              <w:spacing w:after="150"/>
              <w:jc w:val="center"/>
              <w:rPr>
                <w:rFonts w:hint="default" w:ascii="Times New Roman" w:hAnsi="Times New Roman" w:eastAsia="宋体"/>
                <w:color w:val="FF0000"/>
                <w:sz w:val="24"/>
                <w:lang w:val="en-US" w:eastAsia="zh-CN"/>
              </w:rPr>
            </w:pPr>
            <w:r>
              <w:rPr>
                <w:rFonts w:hint="eastAsia" w:ascii="Times New Roman" w:hAnsi="Times New Roman"/>
                <w:sz w:val="24"/>
                <w:lang w:val="en-US" w:eastAsia="zh-CN"/>
              </w:rPr>
              <w:t>/</w:t>
            </w:r>
          </w:p>
        </w:tc>
      </w:tr>
      <w:tr w14:paraId="47F8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2F28975A">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14:paraId="47F023EB">
            <w:pPr>
              <w:spacing w:line="240" w:lineRule="auto"/>
              <w:ind w:firstLine="560"/>
              <w:rPr>
                <w:rFonts w:hint="eastAsia"/>
              </w:rPr>
            </w:pPr>
            <w:r>
              <w:rPr>
                <w:rFonts w:hint="eastAsia"/>
              </w:rPr>
              <w:t>江西高速石化有限责任公司永新东服务区西加油站成立于2023年8月30日，现位于江西省吉安市永新县怀忠镇茶源村，法定代表人：陈志斌，经营范围：许可项目:成品油零售，危险化学品经营(依法须经批准的项目，经相关部门批准后在许可有效期内方可开展经营活动，具体经营项目和许可期限以相关部门批准文件或许可证件为准)一般项目:化工产品销售(不含许，日用百货销售，洗车服务，机械设备可类化工产品)销售，非居住房地产租赁，住房租赁，票务代理服务，润滑油销售，文具用品零售，办公用品销售，服装服饰零售，针纺织品销售，个体育用品及器材零售，家用电代器销售，显示器件销售，五金产品零售，广告设计、理，广告制作，软件开发，信息咨询服务(不含许可类信息咨询服务)，单用途商业预付卡代理销售，电动汽车充电基础设施运营，集中式快速充申站，办公设备耗材销售，汽车装饰用品销售，石油制品销售(不含危险化学品)，凭总公司授权开展经营活动(除依法须经批准的项目外，凭营业执照依法自主开展经营活动)，统一社会信用代码：91360830MACWN9M089；江西高速石化有限责任公司永新东服务区西加油站资产属于江西省交通投资集团有限责任公司所有，由江西省高速石化有限责任公司赣西南分公司管理。</w:t>
            </w:r>
          </w:p>
          <w:p w14:paraId="0612C5D4">
            <w:pPr>
              <w:spacing w:line="240" w:lineRule="auto"/>
              <w:ind w:firstLine="560"/>
              <w:rPr>
                <w:rFonts w:hint="eastAsia"/>
              </w:rPr>
            </w:pPr>
            <w:r>
              <w:rPr>
                <w:rFonts w:hint="eastAsia"/>
              </w:rPr>
              <w:t>该加油站占地面积为3000㎡，产权归属江西省交通投资集团有限责任公司，交由江西高速石化有限责任公司下属赣西分公司经营管理该加油站。该加油站内原设置承重罐区1座，罐区内设有1台50m³卧式SF双层汽油储罐（92#）、1台50m³卧式SF双层汽油储罐（95#）、2台50m³卧式SF双层柴油储罐（0#1、0#2）、1台30m³卧式SF双层汽油储罐（98#），油罐总罐容230m³，柴油折半计入油罐总容积为180m³，属于一级加油站；加油站设有3个加油岛，安装3台四枪潜油泵加油机，为满足市场需求，公司拟将1个50m³0#柴油储存罐更改为95#汽油储存罐，1台50m³95#汽油储罐更改为92#汽油储罐，1台30m³98#汽油储罐更改为95#汽油储罐。并将部分加油机中的加油枪加油型号进行调整。储油罐更改后将变为：2台50m³卧式SF双层汽油储罐（92#）、1台50m³卧式SF双层汽油储罐（95#）、1台50m³卧式SF双层柴油储罐（0#1）、1台30m³卧式SF双层汽油储罐（95#），油罐总罐容230m³，柴油折半计入油罐总容积为205m³，属于一级加油站。加油机更改后将变为：1台92#/95#/92#/95#加油机、1台92#/95#/92#/95#加油机、1台92#/0#/0#/95#加油机。</w:t>
            </w:r>
          </w:p>
          <w:p w14:paraId="26099EF3">
            <w:pPr>
              <w:spacing w:line="240" w:lineRule="auto"/>
              <w:ind w:firstLine="560"/>
              <w:rPr>
                <w:rFonts w:hint="eastAsia"/>
              </w:rPr>
            </w:pPr>
            <w:r>
              <w:rPr>
                <w:rFonts w:hint="eastAsia"/>
              </w:rPr>
              <w:t>江西高速石化有限责任公司永新东服务区西加油站于2025年11月3日取得由永新县工业和信息化局出具的《江西省工业企业技术改造项目备案通知书》，项目统一代码为：2511-360830-07-02-343836。</w:t>
            </w:r>
          </w:p>
          <w:p w14:paraId="1DD0D9E1">
            <w:pPr>
              <w:spacing w:line="240" w:lineRule="auto"/>
              <w:ind w:firstLine="560"/>
              <w:rPr>
                <w:rFonts w:hint="eastAsia"/>
              </w:rPr>
            </w:pPr>
            <w:r>
              <w:rPr>
                <w:rFonts w:hint="eastAsia"/>
              </w:rPr>
              <w:t>对该企业生产过程中所涉及的化学品进行辨识：该工程涉及的汽油属于危险化学品。其中涉及的汽油属于重点监管的危险化学。</w:t>
            </w:r>
          </w:p>
          <w:p w14:paraId="3B44DB75">
            <w:pPr>
              <w:spacing w:line="240" w:lineRule="auto"/>
              <w:ind w:firstLine="560"/>
              <w:rPr>
                <w:rFonts w:hint="eastAsia"/>
              </w:rPr>
            </w:pPr>
            <w:r>
              <w:rPr>
                <w:rFonts w:hint="eastAsia"/>
              </w:rPr>
              <w:t>该企业不涉及重点监管的危险化工工艺，</w:t>
            </w:r>
            <w:r>
              <w:rPr>
                <w:rFonts w:hint="eastAsia"/>
                <w:lang w:val="en-US" w:eastAsia="zh-CN"/>
              </w:rPr>
              <w:t>经营</w:t>
            </w:r>
            <w:r>
              <w:rPr>
                <w:rFonts w:hint="eastAsia"/>
              </w:rPr>
              <w:t>装置和储存的危险化学品不构成危险化学品重大危险源。</w:t>
            </w:r>
          </w:p>
          <w:p w14:paraId="422E1AD2">
            <w:pPr>
              <w:spacing w:line="240" w:lineRule="auto"/>
              <w:ind w:firstLine="560"/>
              <w:rPr>
                <w:rFonts w:hint="eastAsia"/>
                <w:snapToGrid w:val="0"/>
              </w:rPr>
            </w:pPr>
            <w:r>
              <w:rPr>
                <w:rFonts w:hint="eastAsia"/>
              </w:rPr>
              <w:t>该企业不涉及剧毒化学品、高毒物品、易制爆危险化学品、特别管控危险化学品、监控化学品。</w:t>
            </w:r>
          </w:p>
        </w:tc>
      </w:tr>
      <w:tr w14:paraId="5658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60BC4E94">
            <w:pPr>
              <w:widowControl/>
              <w:spacing w:after="150"/>
              <w:jc w:val="center"/>
            </w:pPr>
            <w:r>
              <w:rPr>
                <w:rFonts w:hint="eastAsia"/>
                <w:sz w:val="24"/>
              </w:rPr>
              <w:t>工艺流程</w:t>
            </w:r>
          </w:p>
        </w:tc>
        <w:tc>
          <w:tcPr>
            <w:tcW w:w="8155" w:type="dxa"/>
            <w:gridSpan w:val="3"/>
            <w:tcBorders>
              <w:tl2br w:val="nil"/>
              <w:tr2bl w:val="nil"/>
            </w:tcBorders>
            <w:shd w:val="clear" w:color="auto" w:fill="FFFFFF"/>
          </w:tcPr>
          <w:p w14:paraId="72A59749">
            <w:pPr>
              <w:keepNext w:val="0"/>
              <w:keepLines w:val="0"/>
              <w:widowControl/>
              <w:suppressLineNumbers w:val="0"/>
              <w:ind w:firstLine="420" w:firstLineChars="200"/>
              <w:jc w:val="left"/>
              <w:rPr>
                <w:rFonts w:hint="eastAsia"/>
                <w:color w:val="auto"/>
              </w:rPr>
            </w:pPr>
            <w:r>
              <w:rPr>
                <w:rFonts w:hint="eastAsia"/>
                <w:color w:val="auto"/>
              </w:rPr>
              <w:t>工艺流程</w:t>
            </w:r>
          </w:p>
          <w:p w14:paraId="70C541DA">
            <w:pPr>
              <w:keepNext w:val="0"/>
              <w:keepLines w:val="0"/>
              <w:widowControl/>
              <w:suppressLineNumbers w:val="0"/>
              <w:ind w:firstLine="420" w:firstLineChars="200"/>
              <w:jc w:val="left"/>
              <w:rPr>
                <w:rFonts w:hint="eastAsia"/>
                <w:color w:val="auto"/>
              </w:rPr>
            </w:pPr>
            <w:r>
              <w:rPr>
                <w:rFonts w:hint="eastAsia"/>
                <w:color w:val="auto"/>
              </w:rPr>
              <w:t xml:space="preserve">1、卸油工艺 </w:t>
            </w:r>
          </w:p>
          <w:p w14:paraId="5B47725A">
            <w:pPr>
              <w:keepNext w:val="0"/>
              <w:keepLines w:val="0"/>
              <w:widowControl/>
              <w:suppressLineNumbers w:val="0"/>
              <w:ind w:firstLine="420" w:firstLineChars="200"/>
              <w:jc w:val="left"/>
              <w:rPr>
                <w:rFonts w:hint="eastAsia"/>
                <w:color w:val="auto"/>
              </w:rPr>
            </w:pPr>
            <w:r>
              <w:rPr>
                <w:rFonts w:hint="eastAsia"/>
                <w:color w:val="auto"/>
              </w:rPr>
              <w:t xml:space="preserve">当油罐车驶至加油站内密封卸油口停车处，停稳熄火，连接好静电接地 </w:t>
            </w:r>
          </w:p>
          <w:p w14:paraId="1E53AE28">
            <w:pPr>
              <w:keepNext w:val="0"/>
              <w:keepLines w:val="0"/>
              <w:widowControl/>
              <w:suppressLineNumbers w:val="0"/>
              <w:ind w:firstLine="420" w:firstLineChars="200"/>
              <w:jc w:val="left"/>
              <w:rPr>
                <w:rFonts w:hint="eastAsia"/>
                <w:color w:val="auto"/>
              </w:rPr>
            </w:pPr>
            <w:r>
              <w:rPr>
                <w:rFonts w:hint="eastAsia"/>
                <w:color w:val="auto"/>
              </w:rPr>
              <w:t>装置，将油罐车的卸油口、油气回收口（汽油卸油时需要）与站内密闭卸油口的进油口、油气回收口（汽油卸油时需要）连接好，静止十五分钟后开始卸油。利用油罐车与地下储油罐的高位差，采用密闭式卸油。汽油卸油采用油气回收系统，在油罐车卸油过程中，将该汽油油罐内散溢的油气，通过油气回收地下工艺管线及卸车软管重新收集至油罐车内，实现卸油与油气等体积置换。其流程如下：</w:t>
            </w:r>
          </w:p>
          <w:p w14:paraId="3CA099B3">
            <w:pPr>
              <w:keepNext w:val="0"/>
              <w:keepLines w:val="0"/>
              <w:widowControl/>
              <w:suppressLineNumbers w:val="0"/>
              <w:ind w:firstLine="420" w:firstLineChars="200"/>
              <w:jc w:val="left"/>
              <w:rPr>
                <w:rFonts w:hint="eastAsia"/>
                <w:color w:val="auto"/>
              </w:rPr>
            </w:pPr>
            <w:r>
              <w:rPr>
                <w:color w:val="auto"/>
                <w:szCs w:val="28"/>
              </w:rPr>
              <mc:AlternateContent>
                <mc:Choice Requires="wpc">
                  <w:drawing>
                    <wp:inline distT="0" distB="0" distL="114300" distR="114300">
                      <wp:extent cx="5088255" cy="1196340"/>
                      <wp:effectExtent l="4445" t="4445" r="0" b="5715"/>
                      <wp:docPr id="13" name="画布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文本框 1"/>
                              <wps:cNvSpPr txBox="1"/>
                              <wps:spPr>
                                <a:xfrm>
                                  <a:off x="2189480" y="594360"/>
                                  <a:ext cx="834390" cy="297180"/>
                                </a:xfrm>
                                <a:prstGeom prst="rect">
                                  <a:avLst/>
                                </a:prstGeom>
                                <a:solidFill>
                                  <a:srgbClr val="FFFFFF"/>
                                </a:solidFill>
                                <a:ln>
                                  <a:noFill/>
                                </a:ln>
                              </wps:spPr>
                              <wps:txbx>
                                <w:txbxContent>
                                  <w:p w14:paraId="4BE10922">
                                    <w:pPr>
                                      <w:ind w:firstLine="420"/>
                                      <w:jc w:val="center"/>
                                      <w:rPr>
                                        <w:rFonts w:hint="eastAsia"/>
                                        <w:sz w:val="21"/>
                                        <w:szCs w:val="21"/>
                                      </w:rPr>
                                    </w:pPr>
                                    <w:r>
                                      <w:rPr>
                                        <w:rFonts w:hint="eastAsia"/>
                                        <w:sz w:val="21"/>
                                        <w:szCs w:val="21"/>
                                      </w:rPr>
                                      <w:t>油气回收</w:t>
                                    </w:r>
                                  </w:p>
                                </w:txbxContent>
                              </wps:txbx>
                              <wps:bodyPr upright="1"/>
                            </wps:wsp>
                            <wpg:wgp>
                              <wpg:cNvPr id="9" name="组合 9"/>
                              <wpg:cNvGrpSpPr/>
                              <wpg:grpSpPr>
                                <a:xfrm>
                                  <a:off x="0" y="0"/>
                                  <a:ext cx="4785995" cy="394335"/>
                                  <a:chOff x="1853" y="4776"/>
                                  <a:chExt cx="8004" cy="621"/>
                                </a:xfrm>
                              </wpg:grpSpPr>
                              <wps:wsp>
                                <wps:cNvPr id="2" name="文本框 2"/>
                                <wps:cNvSpPr txBox="1"/>
                                <wps:spPr>
                                  <a:xfrm>
                                    <a:off x="1853" y="4776"/>
                                    <a:ext cx="1218" cy="6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98AE85">
                                      <w:pPr>
                                        <w:ind w:firstLine="0" w:firstLineChars="0"/>
                                        <w:jc w:val="center"/>
                                        <w:rPr>
                                          <w:sz w:val="21"/>
                                          <w:szCs w:val="21"/>
                                        </w:rPr>
                                      </w:pPr>
                                      <w:r>
                                        <w:rPr>
                                          <w:rFonts w:hint="eastAsia"/>
                                          <w:sz w:val="21"/>
                                          <w:szCs w:val="21"/>
                                        </w:rPr>
                                        <w:t>油罐车</w:t>
                                      </w:r>
                                    </w:p>
                                  </w:txbxContent>
                                </wps:txbx>
                                <wps:bodyPr upright="1"/>
                              </wps:wsp>
                              <wps:wsp>
                                <wps:cNvPr id="3" name="直接连接符 3"/>
                                <wps:cNvCnPr/>
                                <wps:spPr>
                                  <a:xfrm>
                                    <a:off x="3113" y="5082"/>
                                    <a:ext cx="540" cy="0"/>
                                  </a:xfrm>
                                  <a:prstGeom prst="line">
                                    <a:avLst/>
                                  </a:prstGeom>
                                  <a:ln w="9525" cap="flat" cmpd="sng">
                                    <a:solidFill>
                                      <a:srgbClr val="000000"/>
                                    </a:solidFill>
                                    <a:prstDash val="solid"/>
                                    <a:headEnd type="none" w="med" len="med"/>
                                    <a:tailEnd type="triangle" w="med" len="med"/>
                                  </a:ln>
                                </wps:spPr>
                                <wps:bodyPr upright="1"/>
                              </wps:wsp>
                              <wps:wsp>
                                <wps:cNvPr id="4" name="文本框 4"/>
                                <wps:cNvSpPr txBox="1"/>
                                <wps:spPr>
                                  <a:xfrm>
                                    <a:off x="3686" y="4776"/>
                                    <a:ext cx="2049" cy="6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6AAA71">
                                      <w:pPr>
                                        <w:ind w:firstLine="0" w:firstLineChars="0"/>
                                        <w:jc w:val="center"/>
                                        <w:rPr>
                                          <w:sz w:val="21"/>
                                          <w:szCs w:val="21"/>
                                        </w:rPr>
                                      </w:pPr>
                                      <w:r>
                                        <w:rPr>
                                          <w:rFonts w:hint="eastAsia"/>
                                          <w:sz w:val="21"/>
                                          <w:szCs w:val="21"/>
                                        </w:rPr>
                                        <w:t>卸油连接软管</w:t>
                                      </w:r>
                                    </w:p>
                                  </w:txbxContent>
                                </wps:txbx>
                                <wps:bodyPr upright="1"/>
                              </wps:wsp>
                              <wps:wsp>
                                <wps:cNvPr id="5" name="直接连接符 5"/>
                                <wps:cNvCnPr/>
                                <wps:spPr>
                                  <a:xfrm>
                                    <a:off x="5732" y="5066"/>
                                    <a:ext cx="540" cy="0"/>
                                  </a:xfrm>
                                  <a:prstGeom prst="line">
                                    <a:avLst/>
                                  </a:prstGeom>
                                  <a:ln w="9525" cap="flat" cmpd="sng">
                                    <a:solidFill>
                                      <a:srgbClr val="000000"/>
                                    </a:solidFill>
                                    <a:prstDash val="solid"/>
                                    <a:headEnd type="none" w="med" len="med"/>
                                    <a:tailEnd type="triangle" w="med" len="med"/>
                                  </a:ln>
                                </wps:spPr>
                                <wps:bodyPr upright="1"/>
                              </wps:wsp>
                              <wps:wsp>
                                <wps:cNvPr id="6" name="文本框 6"/>
                                <wps:cNvSpPr txBox="1"/>
                                <wps:spPr>
                                  <a:xfrm>
                                    <a:off x="6305" y="4776"/>
                                    <a:ext cx="1488" cy="6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F959791">
                                      <w:pPr>
                                        <w:ind w:firstLine="0" w:firstLineChars="0"/>
                                        <w:jc w:val="center"/>
                                        <w:rPr>
                                          <w:sz w:val="21"/>
                                          <w:szCs w:val="21"/>
                                        </w:rPr>
                                      </w:pPr>
                                      <w:r>
                                        <w:rPr>
                                          <w:rFonts w:hint="eastAsia"/>
                                          <w:sz w:val="21"/>
                                          <w:szCs w:val="21"/>
                                        </w:rPr>
                                        <w:t>卸油管道</w:t>
                                      </w:r>
                                    </w:p>
                                  </w:txbxContent>
                                </wps:txbx>
                                <wps:bodyPr upright="1"/>
                              </wps:wsp>
                              <wps:wsp>
                                <wps:cNvPr id="7" name="直接连接符 7"/>
                                <wps:cNvCnPr/>
                                <wps:spPr>
                                  <a:xfrm>
                                    <a:off x="7796" y="5062"/>
                                    <a:ext cx="540" cy="0"/>
                                  </a:xfrm>
                                  <a:prstGeom prst="line">
                                    <a:avLst/>
                                  </a:prstGeom>
                                  <a:ln w="9525" cap="flat" cmpd="sng">
                                    <a:solidFill>
                                      <a:srgbClr val="000000"/>
                                    </a:solidFill>
                                    <a:prstDash val="solid"/>
                                    <a:headEnd type="none" w="med" len="med"/>
                                    <a:tailEnd type="triangle" w="med" len="med"/>
                                  </a:ln>
                                </wps:spPr>
                                <wps:bodyPr upright="1"/>
                              </wps:wsp>
                              <wps:wsp>
                                <wps:cNvPr id="8" name="文本框 8"/>
                                <wps:cNvSpPr txBox="1"/>
                                <wps:spPr>
                                  <a:xfrm>
                                    <a:off x="8369" y="4776"/>
                                    <a:ext cx="1488" cy="6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E3D2BD">
                                      <w:pPr>
                                        <w:ind w:firstLine="0" w:firstLineChars="0"/>
                                        <w:jc w:val="center"/>
                                        <w:rPr>
                                          <w:sz w:val="21"/>
                                          <w:szCs w:val="21"/>
                                        </w:rPr>
                                      </w:pPr>
                                      <w:r>
                                        <w:rPr>
                                          <w:rFonts w:hint="eastAsia"/>
                                          <w:sz w:val="21"/>
                                          <w:szCs w:val="21"/>
                                        </w:rPr>
                                        <w:t>地下油罐</w:t>
                                      </w:r>
                                    </w:p>
                                  </w:txbxContent>
                                </wps:txbx>
                                <wps:bodyPr upright="1"/>
                              </wps:wsp>
                            </wpg:wgp>
                            <wps:wsp>
                              <wps:cNvPr id="10" name="文本框 10"/>
                              <wps:cNvSpPr txBox="1"/>
                              <wps:spPr>
                                <a:xfrm>
                                  <a:off x="1151255" y="908685"/>
                                  <a:ext cx="2867025" cy="287655"/>
                                </a:xfrm>
                                <a:prstGeom prst="rect">
                                  <a:avLst/>
                                </a:prstGeom>
                                <a:solidFill>
                                  <a:srgbClr val="FFFFFF"/>
                                </a:solidFill>
                                <a:ln>
                                  <a:noFill/>
                                </a:ln>
                              </wps:spPr>
                              <wps:txbx>
                                <w:txbxContent>
                                  <w:p w14:paraId="199B7D09">
                                    <w:pPr>
                                      <w:ind w:firstLine="482"/>
                                      <w:jc w:val="center"/>
                                      <w:rPr>
                                        <w:rFonts w:hint="eastAsia"/>
                                        <w:b/>
                                        <w:sz w:val="24"/>
                                      </w:rPr>
                                    </w:pPr>
                                    <w:r>
                                      <w:rPr>
                                        <w:rFonts w:hint="eastAsia"/>
                                        <w:b/>
                                        <w:sz w:val="24"/>
                                      </w:rPr>
                                      <w:t>图2.7-1  汽油卸油工艺流程图</w:t>
                                    </w:r>
                                  </w:p>
                                </w:txbxContent>
                              </wps:txbx>
                              <wps:bodyPr upright="1"/>
                            </wps:wsp>
                            <wps:wsp>
                              <wps:cNvPr id="11" name="肘形连接符 11"/>
                              <wps:cNvCnPr/>
                              <wps:spPr>
                                <a:xfrm rot="5400000">
                                  <a:off x="2378075" y="-1837055"/>
                                  <a:ext cx="635" cy="4223385"/>
                                </a:xfrm>
                                <a:prstGeom prst="bentConnector3">
                                  <a:avLst>
                                    <a:gd name="adj1" fmla="val 55900000"/>
                                  </a:avLst>
                                </a:prstGeom>
                                <a:ln w="9525" cap="flat" cmpd="sng">
                                  <a:solidFill>
                                    <a:srgbClr val="000000"/>
                                  </a:solidFill>
                                  <a:prstDash val="solid"/>
                                  <a:miter/>
                                  <a:headEnd type="none" w="med" len="med"/>
                                  <a:tailEnd type="triangle" w="med" len="med"/>
                                </a:ln>
                              </wps:spPr>
                              <wps:bodyPr/>
                            </wps:wsp>
                          </wpc:wpc>
                        </a:graphicData>
                      </a:graphic>
                    </wp:inline>
                  </w:drawing>
                </mc:Choice>
                <mc:Fallback>
                  <w:pict>
                    <v:group id="_x0000_s1026" o:spid="_x0000_s1026" o:spt="203" style="height:94.2pt;width:400.65pt;" coordsize="5088255,1196340" editas="canvas" o:gfxdata="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">
                      <o:lock v:ext="edit" aspectratio="f"/>
                      <v:shape id="_x0000_s1026" o:spid="_x0000_s1026" style="position:absolute;left:0;top:0;height:1196340;width:5088255;" filled="f" stroked="f" coordsize="21600,21600" o:gfxdata="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">
                        <v:fill on="f" focussize="0,0"/>
                        <v:stroke on="f"/>
                        <v:imagedata o:title=""/>
                        <o:lock v:ext="edit" aspectratio="t"/>
                      </v:shape>
                      <v:shape id="_x0000_s1026" o:spid="_x0000_s1026" o:spt="202" type="#_x0000_t202" style="position:absolute;left:2189480;top:594360;height:297180;width:834390;" fillcolor="#FFFFFF" filled="t" stroked="f" coordsize="21600,21600" o:gfxdata="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oVM+AdQAAAAFAQAADwAAAAAAAAABACAAAAAiAAAAZHJzL2Rvd25y&#10;ZXYueG1sUEsBAhQAFAAAAAgAh07iQJX4gi3JAQAAgQMAAA4AAAAAAAAAAQAgAAAAIwEAAGRycy9l&#10;Mm9Eb2MueG1sUEsFBgAAAAAGAAYAWQEAAF4FAAAAAA==&#10;">
                        <v:fill on="t" focussize="0,0"/>
                        <v:stroke on="f"/>
                        <v:imagedata o:title=""/>
                        <o:lock v:ext="edit" aspectratio="f"/>
                        <v:textbox>
                          <w:txbxContent>
                            <w:p w14:paraId="4BE10922">
                              <w:pPr>
                                <w:ind w:firstLine="420"/>
                                <w:jc w:val="center"/>
                                <w:rPr>
                                  <w:rFonts w:hint="eastAsia"/>
                                  <w:sz w:val="21"/>
                                  <w:szCs w:val="21"/>
                                </w:rPr>
                              </w:pPr>
                              <w:r>
                                <w:rPr>
                                  <w:rFonts w:hint="eastAsia"/>
                                  <w:sz w:val="21"/>
                                  <w:szCs w:val="21"/>
                                </w:rPr>
                                <w:t>油气回收</w:t>
                              </w:r>
                            </w:p>
                          </w:txbxContent>
                        </v:textbox>
                      </v:shape>
                      <v:group id="_x0000_s1026" o:spid="_x0000_s1026" o:spt="203" style="position:absolute;left:0;top:0;height:394335;width:4785995;" coordorigin="1853,4776" coordsize="8004,621" o:gfxdata="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">
                        <o:lock v:ext="edit" aspectratio="f"/>
                        <v:shape id="_x0000_s1026" o:spid="_x0000_s1026" o:spt="202" type="#_x0000_t202" style="position:absolute;left:1853;top:4776;height:621;width:1218;" fillcolor="#FFFFFF" filled="t" stroked="t" coordsize="21600,21600" o:gfxdata="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BexN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698AE85">
                                <w:pPr>
                                  <w:ind w:firstLine="0" w:firstLineChars="0"/>
                                  <w:jc w:val="center"/>
                                  <w:rPr>
                                    <w:sz w:val="21"/>
                                    <w:szCs w:val="21"/>
                                  </w:rPr>
                                </w:pPr>
                                <w:r>
                                  <w:rPr>
                                    <w:rFonts w:hint="eastAsia"/>
                                    <w:sz w:val="21"/>
                                    <w:szCs w:val="21"/>
                                  </w:rPr>
                                  <w:t>油罐车</w:t>
                                </w:r>
                              </w:p>
                            </w:txbxContent>
                          </v:textbox>
                        </v:shape>
                        <v:line id="_x0000_s1026" o:spid="_x0000_s1026" o:spt="20" style="position:absolute;left:3113;top:5082;height:0;width:540;" filled="f" stroked="t" coordsize="21600,21600" o:gfxdata="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tzD8r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3686;top:4776;height:621;width:2049;" fillcolor="#FFFFFF" filled="t" stroked="t" coordsize="21600,21600" o:gfxdata="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0aK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46AAA71">
                                <w:pPr>
                                  <w:ind w:firstLine="0" w:firstLineChars="0"/>
                                  <w:jc w:val="center"/>
                                  <w:rPr>
                                    <w:sz w:val="21"/>
                                    <w:szCs w:val="21"/>
                                  </w:rPr>
                                </w:pPr>
                                <w:r>
                                  <w:rPr>
                                    <w:rFonts w:hint="eastAsia"/>
                                    <w:sz w:val="21"/>
                                    <w:szCs w:val="21"/>
                                  </w:rPr>
                                  <w:t>卸油连接软管</w:t>
                                </w:r>
                              </w:p>
                            </w:txbxContent>
                          </v:textbox>
                        </v:shape>
                        <v:line id="_x0000_s1026" o:spid="_x0000_s1026" o:spt="20" style="position:absolute;left:5732;top:5066;height:0;width:540;" filled="f" stroked="t" coordsize="21600,21600" o:gfxdata="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n+H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6305;top:4776;height:621;width:1488;" fillcolor="#FFFFFF" filled="t" stroked="t" coordsize="21600,21600" o:gfxdata="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PupO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F959791">
                                <w:pPr>
                                  <w:ind w:firstLine="0" w:firstLineChars="0"/>
                                  <w:jc w:val="center"/>
                                  <w:rPr>
                                    <w:sz w:val="21"/>
                                    <w:szCs w:val="21"/>
                                  </w:rPr>
                                </w:pPr>
                                <w:r>
                                  <w:rPr>
                                    <w:rFonts w:hint="eastAsia"/>
                                    <w:sz w:val="21"/>
                                    <w:szCs w:val="21"/>
                                  </w:rPr>
                                  <w:t>卸油管道</w:t>
                                </w:r>
                              </w:p>
                            </w:txbxContent>
                          </v:textbox>
                        </v:shape>
                        <v:line id="_x0000_s1026" o:spid="_x0000_s1026" o:spt="20" style="position:absolute;left:7796;top:5062;height:0;width:540;" filled="f" stroked="t" coordsize="21600,21600" o:gfxdata="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fF8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8369;top:4776;height:621;width:1488;" fillcolor="#FFFFFF" filled="t" stroked="t" coordsize="21600,21600" o:gfxdata="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t26e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CE3D2BD">
                                <w:pPr>
                                  <w:ind w:firstLine="0" w:firstLineChars="0"/>
                                  <w:jc w:val="center"/>
                                  <w:rPr>
                                    <w:sz w:val="21"/>
                                    <w:szCs w:val="21"/>
                                  </w:rPr>
                                </w:pPr>
                                <w:r>
                                  <w:rPr>
                                    <w:rFonts w:hint="eastAsia"/>
                                    <w:sz w:val="21"/>
                                    <w:szCs w:val="21"/>
                                  </w:rPr>
                                  <w:t>地下油罐</w:t>
                                </w:r>
                              </w:p>
                            </w:txbxContent>
                          </v:textbox>
                        </v:shape>
                      </v:group>
                      <v:shape id="_x0000_s1026" o:spid="_x0000_s1026" o:spt="202" type="#_x0000_t202" style="position:absolute;left:1151255;top:908685;height:287655;width:2867025;" fillcolor="#FFFFFF" filled="t" stroked="f" coordsize="21600,21600" o:gfxdata="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hUz4B1AAAAAUBAAAPAAAAAAAAAAEAIAAAACIAAABkcnMvZG93&#10;bnJldi54bWxQSwECFAAUAAAACACHTuJAOafjJcsBAACEAwAADgAAAAAAAAABACAAAAAjAQAAZHJz&#10;L2Uyb0RvYy54bWxQSwUGAAAAAAYABgBZAQAAYAUAAAAA&#10;">
                        <v:fill on="t" focussize="0,0"/>
                        <v:stroke on="f"/>
                        <v:imagedata o:title=""/>
                        <o:lock v:ext="edit" aspectratio="f"/>
                        <v:textbox>
                          <w:txbxContent>
                            <w:p w14:paraId="199B7D09">
                              <w:pPr>
                                <w:ind w:firstLine="482"/>
                                <w:jc w:val="center"/>
                                <w:rPr>
                                  <w:rFonts w:hint="eastAsia"/>
                                  <w:b/>
                                  <w:sz w:val="24"/>
                                </w:rPr>
                              </w:pPr>
                              <w:r>
                                <w:rPr>
                                  <w:rFonts w:hint="eastAsia"/>
                                  <w:b/>
                                  <w:sz w:val="24"/>
                                </w:rPr>
                                <w:t>图2.7-1  汽油卸油工艺流程图</w:t>
                              </w:r>
                            </w:p>
                          </w:txbxContent>
                        </v:textbox>
                      </v:shape>
                      <v:shape id="_x0000_s1026" o:spid="_x0000_s1026" o:spt="34" type="#_x0000_t34" style="position:absolute;left:2378075;top:-1837055;height:4223385;width:635;rotation:5898240f;" filled="f" stroked="t" coordsize="21600,21600" o:gfxdata="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OaU3HXAAAABQEAAA8AAAAAAAAAAQAgAAAAIgAAAGRycy9kb3ducmV2&#10;LnhtbFBLAQIUABQAAAAIAIdO4kDdMagrNgIAAD8EAAAOAAAAAAAAAAEAIAAAACYBAABkcnMvZTJv&#10;RG9jLnhtbFBLBQYAAAAABgAGAFkBAADOBQAAAAA=&#10;" adj="12074400">
                        <v:fill on="f" focussize="0,0"/>
                        <v:stroke color="#000000" joinstyle="miter" endarrow="block"/>
                        <v:imagedata o:title=""/>
                        <o:lock v:ext="edit" aspectratio="f"/>
                      </v:shape>
                      <w10:wrap type="none"/>
                      <w10:anchorlock/>
                    </v:group>
                  </w:pict>
                </mc:Fallback>
              </mc:AlternateContent>
            </w:r>
          </w:p>
          <w:p w14:paraId="46A1C180">
            <w:pPr>
              <w:keepNext w:val="0"/>
              <w:keepLines w:val="0"/>
              <w:widowControl/>
              <w:suppressLineNumbers w:val="0"/>
              <w:ind w:firstLine="420" w:firstLineChars="200"/>
              <w:jc w:val="left"/>
              <w:rPr>
                <w:rFonts w:hint="eastAsia"/>
                <w:color w:val="auto"/>
              </w:rPr>
            </w:pPr>
            <w:r>
              <mc:AlternateContent>
                <mc:Choice Requires="wpg">
                  <w:drawing>
                    <wp:anchor distT="0" distB="0" distL="114300" distR="114300" simplePos="0" relativeHeight="251660288" behindDoc="0" locked="0" layoutInCell="1" allowOverlap="1">
                      <wp:simplePos x="0" y="0"/>
                      <wp:positionH relativeFrom="character">
                        <wp:posOffset>0</wp:posOffset>
                      </wp:positionH>
                      <wp:positionV relativeFrom="line">
                        <wp:posOffset>0</wp:posOffset>
                      </wp:positionV>
                      <wp:extent cx="4821555" cy="324485"/>
                      <wp:effectExtent l="4445" t="5080" r="12700" b="13335"/>
                      <wp:wrapNone/>
                      <wp:docPr id="35" name="组合 35"/>
                      <wp:cNvGraphicFramePr/>
                      <a:graphic xmlns:a="http://schemas.openxmlformats.org/drawingml/2006/main">
                        <a:graphicData uri="http://schemas.microsoft.com/office/word/2010/wordprocessingGroup">
                          <wpg:wgp>
                            <wpg:cNvGrpSpPr/>
                            <wpg:grpSpPr>
                              <a:xfrm>
                                <a:off x="0" y="0"/>
                                <a:ext cx="4821555" cy="324485"/>
                                <a:chOff x="1853" y="4776"/>
                                <a:chExt cx="8004" cy="621"/>
                              </a:xfrm>
                            </wpg:grpSpPr>
                            <wps:wsp>
                              <wps:cNvPr id="22" name="文本框 22"/>
                              <wps:cNvSpPr txBox="1"/>
                              <wps:spPr>
                                <a:xfrm>
                                  <a:off x="1853" y="4776"/>
                                  <a:ext cx="1218" cy="6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CFC95A">
                                    <w:pPr>
                                      <w:ind w:firstLine="0" w:firstLineChars="0"/>
                                      <w:jc w:val="center"/>
                                      <w:rPr>
                                        <w:sz w:val="21"/>
                                        <w:szCs w:val="21"/>
                                      </w:rPr>
                                    </w:pPr>
                                    <w:r>
                                      <w:rPr>
                                        <w:rFonts w:hint="eastAsia"/>
                                        <w:sz w:val="21"/>
                                        <w:szCs w:val="21"/>
                                      </w:rPr>
                                      <w:t>油罐车</w:t>
                                    </w:r>
                                  </w:p>
                                </w:txbxContent>
                              </wps:txbx>
                              <wps:bodyPr upright="1"/>
                            </wps:wsp>
                            <wps:wsp>
                              <wps:cNvPr id="29" name="直接连接符 29"/>
                              <wps:cNvCnPr/>
                              <wps:spPr>
                                <a:xfrm>
                                  <a:off x="3113" y="5082"/>
                                  <a:ext cx="540" cy="0"/>
                                </a:xfrm>
                                <a:prstGeom prst="line">
                                  <a:avLst/>
                                </a:prstGeom>
                                <a:ln w="9525" cap="flat" cmpd="sng">
                                  <a:solidFill>
                                    <a:srgbClr val="000000"/>
                                  </a:solidFill>
                                  <a:prstDash val="solid"/>
                                  <a:headEnd type="none" w="med" len="med"/>
                                  <a:tailEnd type="triangle" w="med" len="med"/>
                                </a:ln>
                              </wps:spPr>
                              <wps:bodyPr upright="1"/>
                            </wps:wsp>
                            <wps:wsp>
                              <wps:cNvPr id="30" name="文本框 30"/>
                              <wps:cNvSpPr txBox="1"/>
                              <wps:spPr>
                                <a:xfrm>
                                  <a:off x="3686" y="4776"/>
                                  <a:ext cx="2049" cy="6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7A4783">
                                    <w:pPr>
                                      <w:ind w:firstLine="0" w:firstLineChars="0"/>
                                      <w:jc w:val="center"/>
                                      <w:rPr>
                                        <w:sz w:val="21"/>
                                        <w:szCs w:val="21"/>
                                      </w:rPr>
                                    </w:pPr>
                                    <w:r>
                                      <w:rPr>
                                        <w:rFonts w:hint="eastAsia"/>
                                        <w:sz w:val="21"/>
                                        <w:szCs w:val="21"/>
                                      </w:rPr>
                                      <w:t>卸油连接软管</w:t>
                                    </w:r>
                                  </w:p>
                                </w:txbxContent>
                              </wps:txbx>
                              <wps:bodyPr upright="1"/>
                            </wps:wsp>
                            <wps:wsp>
                              <wps:cNvPr id="31" name="直接连接符 31"/>
                              <wps:cNvCnPr/>
                              <wps:spPr>
                                <a:xfrm>
                                  <a:off x="5732" y="5066"/>
                                  <a:ext cx="540" cy="0"/>
                                </a:xfrm>
                                <a:prstGeom prst="line">
                                  <a:avLst/>
                                </a:prstGeom>
                                <a:ln w="9525" cap="flat" cmpd="sng">
                                  <a:solidFill>
                                    <a:srgbClr val="000000"/>
                                  </a:solidFill>
                                  <a:prstDash val="solid"/>
                                  <a:headEnd type="none" w="med" len="med"/>
                                  <a:tailEnd type="triangle" w="med" len="med"/>
                                </a:ln>
                              </wps:spPr>
                              <wps:bodyPr upright="1"/>
                            </wps:wsp>
                            <wps:wsp>
                              <wps:cNvPr id="32" name="文本框 32"/>
                              <wps:cNvSpPr txBox="1"/>
                              <wps:spPr>
                                <a:xfrm>
                                  <a:off x="6305" y="4776"/>
                                  <a:ext cx="1488" cy="6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0CEAE5">
                                    <w:pPr>
                                      <w:ind w:firstLine="0" w:firstLineChars="0"/>
                                      <w:jc w:val="center"/>
                                      <w:rPr>
                                        <w:sz w:val="21"/>
                                        <w:szCs w:val="21"/>
                                      </w:rPr>
                                    </w:pPr>
                                    <w:r>
                                      <w:rPr>
                                        <w:rFonts w:hint="eastAsia"/>
                                        <w:sz w:val="21"/>
                                        <w:szCs w:val="21"/>
                                      </w:rPr>
                                      <w:t>卸油管道</w:t>
                                    </w:r>
                                  </w:p>
                                </w:txbxContent>
                              </wps:txbx>
                              <wps:bodyPr upright="1"/>
                            </wps:wsp>
                            <wps:wsp>
                              <wps:cNvPr id="33" name="直接连接符 33"/>
                              <wps:cNvCnPr/>
                              <wps:spPr>
                                <a:xfrm>
                                  <a:off x="7796" y="5062"/>
                                  <a:ext cx="540" cy="0"/>
                                </a:xfrm>
                                <a:prstGeom prst="line">
                                  <a:avLst/>
                                </a:prstGeom>
                                <a:ln w="9525" cap="flat" cmpd="sng">
                                  <a:solidFill>
                                    <a:srgbClr val="000000"/>
                                  </a:solidFill>
                                  <a:prstDash val="solid"/>
                                  <a:headEnd type="none" w="med" len="med"/>
                                  <a:tailEnd type="triangle" w="med" len="med"/>
                                </a:ln>
                              </wps:spPr>
                              <wps:bodyPr upright="1"/>
                            </wps:wsp>
                            <wps:wsp>
                              <wps:cNvPr id="34" name="文本框 34"/>
                              <wps:cNvSpPr txBox="1"/>
                              <wps:spPr>
                                <a:xfrm>
                                  <a:off x="8369" y="4776"/>
                                  <a:ext cx="1488" cy="6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A9E084">
                                    <w:pPr>
                                      <w:ind w:firstLine="0" w:firstLineChars="0"/>
                                      <w:jc w:val="center"/>
                                      <w:rPr>
                                        <w:sz w:val="21"/>
                                        <w:szCs w:val="21"/>
                                      </w:rPr>
                                    </w:pPr>
                                    <w:r>
                                      <w:rPr>
                                        <w:rFonts w:hint="eastAsia"/>
                                        <w:sz w:val="21"/>
                                        <w:szCs w:val="21"/>
                                      </w:rPr>
                                      <w:t>地下油罐</w:t>
                                    </w:r>
                                  </w:p>
                                </w:txbxContent>
                              </wps:txbx>
                              <wps:bodyPr upright="1"/>
                            </wps:wsp>
                          </wpg:wgp>
                        </a:graphicData>
                      </a:graphic>
                    </wp:anchor>
                  </w:drawing>
                </mc:Choice>
                <mc:Fallback>
                  <w:pict>
                    <v:group id="_x0000_s1026" o:spid="_x0000_s1026" o:spt="203" style="position:absolute;left:0pt;margin-left:0pt;margin-top:0pt;height:25.55pt;width:379.65pt;mso-position-horizontal-relative:char;mso-position-vertical-relative:line;z-index:251660288;mso-width-relative:page;mso-height-relative:page;" coordorigin="1853,4776" coordsize="8004,621" o:gfxdata="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">
                      <o:lock v:ext="edit" aspectratio="f"/>
                      <v:shape id="_x0000_s1026" o:spid="_x0000_s1026" o:spt="202" type="#_x0000_t202" style="position:absolute;left:1853;top:4776;height:621;width:1218;" fillcolor="#FFFFFF" filled="t" stroked="t" coordsize="21600,21600" o:gfxdata="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Yui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1CFC95A">
                              <w:pPr>
                                <w:ind w:firstLine="0" w:firstLineChars="0"/>
                                <w:jc w:val="center"/>
                                <w:rPr>
                                  <w:sz w:val="21"/>
                                  <w:szCs w:val="21"/>
                                </w:rPr>
                              </w:pPr>
                              <w:r>
                                <w:rPr>
                                  <w:rFonts w:hint="eastAsia"/>
                                  <w:sz w:val="21"/>
                                  <w:szCs w:val="21"/>
                                </w:rPr>
                                <w:t>油罐车</w:t>
                              </w:r>
                            </w:p>
                          </w:txbxContent>
                        </v:textbox>
                      </v:shape>
                      <v:line id="_x0000_s1026" o:spid="_x0000_s1026" o:spt="20" style="position:absolute;left:3113;top:5082;height:0;width:540;" filled="f" stroked="t" coordsize="21600,21600" o:gfxdata="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n4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3686;top:4776;height:621;width:2049;" fillcolor="#FFFFFF" filled="t" stroked="t" coordsize="21600,21600" o:gfxdata="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GDu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A7A4783">
                              <w:pPr>
                                <w:ind w:firstLine="0" w:firstLineChars="0"/>
                                <w:jc w:val="center"/>
                                <w:rPr>
                                  <w:sz w:val="21"/>
                                  <w:szCs w:val="21"/>
                                </w:rPr>
                              </w:pPr>
                              <w:r>
                                <w:rPr>
                                  <w:rFonts w:hint="eastAsia"/>
                                  <w:sz w:val="21"/>
                                  <w:szCs w:val="21"/>
                                </w:rPr>
                                <w:t>卸油连接软管</w:t>
                              </w:r>
                            </w:p>
                          </w:txbxContent>
                        </v:textbox>
                      </v:shape>
                      <v:line id="_x0000_s1026" o:spid="_x0000_s1026" o:spt="20" style="position:absolute;left:5732;top:5066;height:0;width:540;" filled="f" stroked="t" coordsize="21600,21600" o:gfxdata="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AFU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6305;top:4776;height:621;width:1488;" fillcolor="#FFFFFF" filled="t" stroked="t" coordsize="21600,21600" o:gfxdata="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b7hV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E0CEAE5">
                              <w:pPr>
                                <w:ind w:firstLine="0" w:firstLineChars="0"/>
                                <w:jc w:val="center"/>
                                <w:rPr>
                                  <w:sz w:val="21"/>
                                  <w:szCs w:val="21"/>
                                </w:rPr>
                              </w:pPr>
                              <w:r>
                                <w:rPr>
                                  <w:rFonts w:hint="eastAsia"/>
                                  <w:sz w:val="21"/>
                                  <w:szCs w:val="21"/>
                                </w:rPr>
                                <w:t>卸油管道</w:t>
                              </w:r>
                            </w:p>
                          </w:txbxContent>
                        </v:textbox>
                      </v:shape>
                      <v:line id="_x0000_s1026" o:spid="_x0000_s1026" o:spt="20" style="position:absolute;left:7796;top:5062;height:0;width:540;" filled="f" stroked="t" coordsize="21600,21600" o:gfxdata="UEsDBAoAAAAAAIdO4kAAAAAAAAAAAAAAAAAEAAAAZHJzL1BLAwQUAAAACACHTuJA0s4+vL4AAADb&#10;AAAADwAAAGRycy9kb3ducmV2LnhtbEWPQWvCQBSE74L/YXmCN91EoY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s4+v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8369;top:4776;height:621;width:1488;" fillcolor="#FFFFFF" filled="t" stroked="t" coordsize="21600,21600" o:gfxdata="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yoW6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DA9E084">
                              <w:pPr>
                                <w:ind w:firstLine="0" w:firstLineChars="0"/>
                                <w:jc w:val="center"/>
                                <w:rPr>
                                  <w:sz w:val="21"/>
                                  <w:szCs w:val="21"/>
                                </w:rPr>
                              </w:pPr>
                              <w:r>
                                <w:rPr>
                                  <w:rFonts w:hint="eastAsia"/>
                                  <w:sz w:val="21"/>
                                  <w:szCs w:val="21"/>
                                </w:rPr>
                                <w:t>地下油罐</w:t>
                              </w:r>
                            </w:p>
                          </w:txbxContent>
                        </v:textbox>
                      </v:shape>
                    </v:group>
                  </w:pict>
                </mc:Fallback>
              </mc:AlternateContent>
            </w:r>
          </w:p>
          <w:p w14:paraId="241B1D71">
            <w:pPr>
              <w:pStyle w:val="2"/>
              <w:rPr>
                <w:rFonts w:hint="eastAsia"/>
              </w:rPr>
            </w:pPr>
          </w:p>
          <w:p w14:paraId="20265C2D">
            <w:pPr>
              <w:keepNext w:val="0"/>
              <w:keepLines w:val="0"/>
              <w:widowControl/>
              <w:suppressLineNumbers w:val="0"/>
              <w:ind w:firstLine="420" w:firstLineChars="200"/>
              <w:jc w:val="left"/>
              <w:rPr>
                <w:rFonts w:hint="eastAsia"/>
                <w:color w:val="auto"/>
              </w:rPr>
            </w:pPr>
            <w:r>
              <w:rPr>
                <w:rFonts w:hint="eastAsia"/>
                <w:color w:val="auto"/>
              </w:rPr>
              <w:t xml:space="preserve">2、加油工艺 </w:t>
            </w:r>
          </w:p>
          <w:p w14:paraId="0FA683BC">
            <w:pPr>
              <w:keepNext w:val="0"/>
              <w:keepLines w:val="0"/>
              <w:widowControl/>
              <w:suppressLineNumbers w:val="0"/>
              <w:ind w:firstLine="420" w:firstLineChars="200"/>
              <w:jc w:val="left"/>
              <w:rPr>
                <w:rFonts w:hint="eastAsia"/>
                <w:color w:val="auto"/>
              </w:rPr>
            </w:pPr>
            <w:r>
              <w:rPr>
                <w:rFonts w:hint="eastAsia"/>
                <w:color w:val="auto"/>
              </w:rPr>
              <w:t>加油作业时，利用潜油泵提供的动力，油品通过加油管道至加油机，进入汽车受油容器。同时，加汽油作业时，汽油设有油气回收系统，汽油油气通过油气回收管道回至汽油罐。具体流程见下图：</w:t>
            </w:r>
          </w:p>
          <w:p w14:paraId="022F8721">
            <w:pPr>
              <w:keepNext w:val="0"/>
              <w:keepLines w:val="0"/>
              <w:widowControl/>
              <w:suppressLineNumbers w:val="0"/>
              <w:ind w:firstLine="420" w:firstLineChars="200"/>
              <w:jc w:val="left"/>
              <w:rPr>
                <w:rFonts w:hint="eastAsia"/>
                <w:color w:val="auto"/>
              </w:rPr>
            </w:pPr>
          </w:p>
          <w:p w14:paraId="5F50BE3A">
            <w:pPr>
              <w:keepNext w:val="0"/>
              <w:keepLines w:val="0"/>
              <w:widowControl/>
              <w:suppressLineNumbers w:val="0"/>
              <w:ind w:firstLine="420" w:firstLineChars="200"/>
              <w:jc w:val="left"/>
              <w:rPr>
                <w:rFonts w:hint="eastAsia"/>
                <w:color w:val="auto"/>
              </w:rPr>
            </w:pPr>
            <w:r>
              <w:rPr>
                <w:rFonts w:hint="eastAsia"/>
                <w:color w:val="auto"/>
              </w:rPr>
              <w:t>3、油气回收工艺</w:t>
            </w:r>
          </w:p>
          <w:p w14:paraId="29AD84A4">
            <w:pPr>
              <w:keepNext w:val="0"/>
              <w:keepLines w:val="0"/>
              <w:widowControl/>
              <w:suppressLineNumbers w:val="0"/>
              <w:ind w:firstLine="420" w:firstLineChars="200"/>
              <w:jc w:val="left"/>
              <w:rPr>
                <w:rFonts w:hint="eastAsia"/>
                <w:color w:val="auto"/>
              </w:rPr>
            </w:pPr>
            <w:r>
              <w:rPr>
                <w:rFonts w:hint="eastAsia"/>
                <w:color w:val="auto"/>
              </w:rPr>
              <w:t>汽油油气回收是节能环保型的高新技术，运用油气回收技术回收油品在储运、装卸过程中排放的油气，防止油气挥发造成的大气污染，消除安全隐患，通过提高对能源的利用率，减小经济损失，从而得到可观的效益回报。</w:t>
            </w:r>
          </w:p>
          <w:p w14:paraId="7CB3BE3E">
            <w:pPr>
              <w:keepNext w:val="0"/>
              <w:keepLines w:val="0"/>
              <w:widowControl/>
              <w:suppressLineNumbers w:val="0"/>
              <w:ind w:firstLine="420" w:firstLineChars="200"/>
              <w:jc w:val="left"/>
              <w:rPr>
                <w:rFonts w:hint="eastAsia"/>
                <w:color w:val="auto"/>
              </w:rPr>
            </w:pPr>
            <w:r>
              <w:rPr>
                <w:rFonts w:hint="eastAsia"/>
                <w:color w:val="auto"/>
              </w:rPr>
              <w:t>本加油站汽油系统设有卸油油气回收和加油油气回收。</w:t>
            </w:r>
          </w:p>
          <w:p w14:paraId="5CD4EB4A">
            <w:pPr>
              <w:keepNext w:val="0"/>
              <w:keepLines w:val="0"/>
              <w:widowControl/>
              <w:suppressLineNumbers w:val="0"/>
              <w:ind w:firstLine="420" w:firstLineChars="200"/>
              <w:jc w:val="left"/>
              <w:rPr>
                <w:rFonts w:hint="eastAsia"/>
                <w:color w:val="auto"/>
              </w:rPr>
            </w:pPr>
            <w:r>
              <w:rPr>
                <w:rFonts w:hint="eastAsia"/>
                <w:color w:val="auto"/>
              </w:rPr>
              <w:t>（1）汽油卸油油气回收</w:t>
            </w:r>
          </w:p>
          <w:p w14:paraId="0B7B97C3">
            <w:pPr>
              <w:keepNext w:val="0"/>
              <w:keepLines w:val="0"/>
              <w:widowControl/>
              <w:suppressLineNumbers w:val="0"/>
              <w:ind w:firstLine="420" w:firstLineChars="200"/>
              <w:jc w:val="left"/>
              <w:rPr>
                <w:rFonts w:hint="eastAsia"/>
                <w:color w:val="auto"/>
              </w:rPr>
            </w:pPr>
            <w:r>
              <w:rPr>
                <w:rFonts w:hint="eastAsia"/>
                <w:color w:val="auto"/>
              </w:rPr>
              <w:t>汽油卸油油气回收阶段是通过压力平衡原理，通过卸油油气回收管道使汽油罐与汽油罐车相互连通，将汽油在卸油过程中挥发的油气收集到油罐车内，运回储油库进行油气回收处理的过程。</w:t>
            </w:r>
          </w:p>
          <w:p w14:paraId="3CCF351C">
            <w:pPr>
              <w:keepNext w:val="0"/>
              <w:keepLines w:val="0"/>
              <w:widowControl/>
              <w:suppressLineNumbers w:val="0"/>
              <w:ind w:firstLine="420" w:firstLineChars="200"/>
              <w:jc w:val="left"/>
              <w:rPr>
                <w:rFonts w:hint="eastAsia"/>
                <w:color w:val="auto"/>
              </w:rPr>
            </w:pPr>
            <w:r>
              <w:rPr>
                <w:rFonts w:hint="eastAsia"/>
                <w:color w:val="auto"/>
              </w:rPr>
              <w:t>该阶段油气回收实现过程：在油罐车卸油过程中，储油车内压力减小，地下储罐内压力增加，地下储罐与油罐车内的压力差，使卸油挥发的油气通过管线回到油罐车内，达到油气收集的目的。待卸油结束，地下储罐与油罐车内压力达到平衡状态，汽油卸油油气回收阶段结束。</w:t>
            </w:r>
          </w:p>
          <w:p w14:paraId="0EFAC696">
            <w:pPr>
              <w:keepNext w:val="0"/>
              <w:keepLines w:val="0"/>
              <w:widowControl/>
              <w:suppressLineNumbers w:val="0"/>
              <w:ind w:firstLine="420" w:firstLineChars="200"/>
              <w:jc w:val="left"/>
              <w:rPr>
                <w:rFonts w:hint="eastAsia"/>
                <w:color w:val="auto"/>
              </w:rPr>
            </w:pPr>
            <w:r>
              <w:rPr>
                <w:rFonts w:hint="eastAsia"/>
                <w:color w:val="auto"/>
              </w:rPr>
              <w:t>（2）汽油加油油气回收</w:t>
            </w:r>
          </w:p>
          <w:p w14:paraId="20925F00">
            <w:pPr>
              <w:keepNext w:val="0"/>
              <w:keepLines w:val="0"/>
              <w:widowControl/>
              <w:suppressLineNumbers w:val="0"/>
              <w:ind w:firstLine="420" w:firstLineChars="200"/>
              <w:jc w:val="left"/>
              <w:rPr>
                <w:rFonts w:hint="eastAsia"/>
                <w:color w:val="auto"/>
              </w:rPr>
            </w:pPr>
            <w:r>
              <w:rPr>
                <w:rFonts w:hint="eastAsia"/>
                <w:color w:val="auto"/>
              </w:rPr>
              <w:t>汽油加油油气回收阶段是采用真空辅助式油气回收设备，将汽油在加油过程中挥发的油气通过地下油气回收管线收集到地下92#汽油储罐、95#汽油储罐内的油气回收过程。</w:t>
            </w:r>
          </w:p>
          <w:p w14:paraId="5474A290">
            <w:pPr>
              <w:keepNext w:val="0"/>
              <w:keepLines w:val="0"/>
              <w:widowControl/>
              <w:suppressLineNumbers w:val="0"/>
              <w:ind w:firstLine="420" w:firstLineChars="200"/>
              <w:jc w:val="left"/>
              <w:rPr>
                <w:rFonts w:hint="eastAsia"/>
                <w:color w:val="auto"/>
              </w:rPr>
            </w:pPr>
            <w:r>
              <w:rPr>
                <w:rFonts w:hint="eastAsia"/>
                <w:color w:val="auto"/>
              </w:rPr>
              <w:t>该阶段油气回收实现过程：在加油站为汽车加油过程中，通过真空泵产生一定真空度，经过加油枪、油气回收管、真空泵等油气回收设备，按照气液比控制在1.0至1.2之间的要求，将加油过程中挥发的油气回收到油罐内。</w:t>
            </w:r>
          </w:p>
          <w:p w14:paraId="7CFABCC0">
            <w:pPr>
              <w:keepNext w:val="0"/>
              <w:keepLines w:val="0"/>
              <w:widowControl/>
              <w:suppressLineNumbers w:val="0"/>
              <w:ind w:firstLine="420" w:firstLineChars="200"/>
              <w:jc w:val="left"/>
            </w:pPr>
            <w:r>
              <w:rPr>
                <w:rFonts w:hint="eastAsia"/>
                <w:color w:val="auto"/>
              </w:rPr>
              <w:t>停止加油时，油泵信号中断，真空泵关闭。系统由油气回收加油枪、真空泵、拉断阀、油气分离器、反向同轴胶管等组成。</w:t>
            </w:r>
          </w:p>
        </w:tc>
      </w:tr>
      <w:tr w14:paraId="2BDE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4A954F8A">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14:paraId="44A8D79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59419F03">
      <w:pPr>
        <w:rPr>
          <w:rFonts w:hint="eastAsia"/>
          <w:lang w:eastAsia="zh-CN"/>
        </w:rPr>
      </w:pPr>
      <w:r>
        <w:rPr>
          <w:rFonts w:hint="eastAsia"/>
          <w:lang w:eastAsia="zh-CN"/>
        </w:rPr>
        <w:br w:type="page"/>
      </w:r>
    </w:p>
    <w:p w14:paraId="523DCE7C">
      <w:pPr>
        <w:rPr>
          <w:rFonts w:hint="eastAsia"/>
          <w:lang w:eastAsia="zh-CN"/>
        </w:rPr>
      </w:pPr>
      <w:r>
        <w:rPr>
          <w:color w:val="auto"/>
        </w:rPr>
        <w:drawing>
          <wp:inline distT="0" distB="0" distL="114300" distR="114300">
            <wp:extent cx="5579110" cy="4216400"/>
            <wp:effectExtent l="0" t="0" r="889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4"/>
                    <a:stretch>
                      <a:fillRect/>
                    </a:stretch>
                  </pic:blipFill>
                  <pic:spPr>
                    <a:xfrm>
                      <a:off x="0" y="0"/>
                      <a:ext cx="5579110" cy="4216400"/>
                    </a:xfrm>
                    <a:prstGeom prst="rect">
                      <a:avLst/>
                    </a:prstGeom>
                    <a:noFill/>
                    <a:ln>
                      <a:noFill/>
                    </a:ln>
                  </pic:spPr>
                </pic:pic>
              </a:graphicData>
            </a:graphic>
          </wp:inline>
        </w:drawing>
      </w:r>
      <w:r>
        <w:rPr>
          <w:color w:val="auto"/>
        </w:rPr>
        <w:drawing>
          <wp:inline distT="0" distB="0" distL="114300" distR="114300">
            <wp:extent cx="5551170" cy="4194810"/>
            <wp:effectExtent l="0" t="0" r="11430" b="889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5"/>
                    <a:stretch>
                      <a:fillRect/>
                    </a:stretch>
                  </pic:blipFill>
                  <pic:spPr>
                    <a:xfrm>
                      <a:off x="0" y="0"/>
                      <a:ext cx="5551170" cy="4194810"/>
                    </a:xfrm>
                    <a:prstGeom prst="rect">
                      <a:avLst/>
                    </a:prstGeom>
                    <a:noFill/>
                    <a:ln>
                      <a:noFill/>
                    </a:ln>
                  </pic:spPr>
                </pic:pic>
              </a:graphicData>
            </a:graphic>
          </wp:inline>
        </w:drawing>
      </w:r>
      <w:r>
        <w:drawing>
          <wp:inline distT="0" distB="0" distL="114300" distR="114300">
            <wp:extent cx="5271135" cy="4768850"/>
            <wp:effectExtent l="0" t="0" r="12065" b="6350"/>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6"/>
                    <a:srcRect t="15590"/>
                    <a:stretch>
                      <a:fillRect/>
                    </a:stretch>
                  </pic:blipFill>
                  <pic:spPr>
                    <a:xfrm>
                      <a:off x="0" y="0"/>
                      <a:ext cx="5271135" cy="4768850"/>
                    </a:xfrm>
                    <a:prstGeom prst="rect">
                      <a:avLst/>
                    </a:prstGeom>
                    <a:noFill/>
                    <a:ln>
                      <a:noFill/>
                    </a:ln>
                  </pic:spPr>
                </pic:pic>
              </a:graphicData>
            </a:graphic>
          </wp:inline>
        </w:drawing>
      </w:r>
      <w:r>
        <w:drawing>
          <wp:inline distT="0" distB="0" distL="114300" distR="114300">
            <wp:extent cx="5057775" cy="3599180"/>
            <wp:effectExtent l="0" t="0" r="0" b="0"/>
            <wp:docPr id="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pic:cNvPicPr>
                      <a:picLocks noChangeAspect="1"/>
                    </pic:cNvPicPr>
                  </pic:nvPicPr>
                  <pic:blipFill>
                    <a:blip r:embed="rId7"/>
                    <a:srcRect t="20281"/>
                    <a:stretch>
                      <a:fillRect/>
                    </a:stretch>
                  </pic:blipFill>
                  <pic:spPr>
                    <a:xfrm>
                      <a:off x="0" y="0"/>
                      <a:ext cx="5057775" cy="3599180"/>
                    </a:xfrm>
                    <a:prstGeom prst="rect">
                      <a:avLst/>
                    </a:prstGeom>
                    <a:noFill/>
                    <a:ln>
                      <a:noFill/>
                    </a:ln>
                  </pic:spPr>
                </pic:pic>
              </a:graphicData>
            </a:graphic>
          </wp:inline>
        </w:drawing>
      </w:r>
    </w:p>
    <w:p w14:paraId="2B1DFF98">
      <w:pPr>
        <w:pStyle w:val="22"/>
        <w:ind w:left="0" w:leftChars="0" w:firstLine="0" w:firstLineChars="0"/>
        <w:jc w:val="center"/>
        <w:rPr>
          <w:rFonts w:hint="eastAsia" w:eastAsia="宋体"/>
          <w:lang w:eastAsia="zh-CN"/>
        </w:rPr>
      </w:pPr>
      <w:r>
        <w:drawing>
          <wp:inline distT="0" distB="0" distL="114300" distR="114300">
            <wp:extent cx="5271135" cy="7402195"/>
            <wp:effectExtent l="0" t="0" r="12065" b="190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8"/>
                    <a:stretch>
                      <a:fillRect/>
                    </a:stretch>
                  </pic:blipFill>
                  <pic:spPr>
                    <a:xfrm>
                      <a:off x="0" y="0"/>
                      <a:ext cx="5271135" cy="7402195"/>
                    </a:xfrm>
                    <a:prstGeom prst="rect">
                      <a:avLst/>
                    </a:prstGeom>
                    <a:noFill/>
                    <a:ln>
                      <a:noFill/>
                    </a:ln>
                  </pic:spPr>
                </pic:pic>
              </a:graphicData>
            </a:graphic>
          </wp:inline>
        </w:drawing>
      </w:r>
      <w:r>
        <w:drawing>
          <wp:inline distT="0" distB="0" distL="114300" distR="114300">
            <wp:extent cx="5274310" cy="7722870"/>
            <wp:effectExtent l="0" t="0" r="8890" b="1143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9"/>
                    <a:stretch>
                      <a:fillRect/>
                    </a:stretch>
                  </pic:blipFill>
                  <pic:spPr>
                    <a:xfrm>
                      <a:off x="0" y="0"/>
                      <a:ext cx="5274310" cy="7722870"/>
                    </a:xfrm>
                    <a:prstGeom prst="rect">
                      <a:avLst/>
                    </a:prstGeom>
                    <a:noFill/>
                    <a:ln>
                      <a:noFill/>
                    </a:ln>
                  </pic:spPr>
                </pic:pic>
              </a:graphicData>
            </a:graphic>
          </wp:inline>
        </w:drawing>
      </w:r>
      <w:r>
        <w:drawing>
          <wp:inline distT="0" distB="0" distL="114300" distR="114300">
            <wp:extent cx="5269865" cy="7929245"/>
            <wp:effectExtent l="0" t="0" r="635" b="825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0"/>
                    <a:stretch>
                      <a:fillRect/>
                    </a:stretch>
                  </pic:blipFill>
                  <pic:spPr>
                    <a:xfrm>
                      <a:off x="0" y="0"/>
                      <a:ext cx="5269865" cy="7929245"/>
                    </a:xfrm>
                    <a:prstGeom prst="rect">
                      <a:avLst/>
                    </a:prstGeom>
                    <a:noFill/>
                    <a:ln>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679C0"/>
    <w:multiLevelType w:val="singleLevel"/>
    <w:tmpl w:val="850679C0"/>
    <w:lvl w:ilvl="0" w:tentative="0">
      <w:start w:val="1"/>
      <w:numFmt w:val="decimal"/>
      <w:pStyle w:val="47"/>
      <w:suff w:val="nothing"/>
      <w:lvlText w:val="%1）"/>
      <w:lvlJc w:val="left"/>
      <w:pPr>
        <w:tabs>
          <w:tab w:val="left" w:pos="312"/>
        </w:tabs>
      </w:pPr>
      <w:rPr>
        <w:rFonts w:hint="default" w:ascii="Times New Roman" w:hAnsi="Times New Roman" w:eastAsia="宋体" w:cs="Times New Roman"/>
        <w:sz w:val="24"/>
        <w:szCs w:val="24"/>
      </w:rPr>
    </w:lvl>
  </w:abstractNum>
  <w:abstractNum w:abstractNumId="1">
    <w:nsid w:val="5183855F"/>
    <w:multiLevelType w:val="singleLevel"/>
    <w:tmpl w:val="5183855F"/>
    <w:lvl w:ilvl="0" w:tentative="0">
      <w:start w:val="1"/>
      <w:numFmt w:val="chineseCounting"/>
      <w:pStyle w:val="42"/>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1YmJhMTRkMGU2NWU2MjE0YWI5MWU2ODcxNDk2YTgifQ=="/>
    <w:docVar w:name="KSO_WPS_MARK_KEY" w:val="f0c94484-18bf-41d0-a894-232196517eb0"/>
  </w:docVars>
  <w:rsids>
    <w:rsidRoot w:val="00E3751A"/>
    <w:rsid w:val="00047227"/>
    <w:rsid w:val="00194B7C"/>
    <w:rsid w:val="002012A2"/>
    <w:rsid w:val="00303C12"/>
    <w:rsid w:val="003A7C06"/>
    <w:rsid w:val="004340C8"/>
    <w:rsid w:val="00443349"/>
    <w:rsid w:val="004D1AF7"/>
    <w:rsid w:val="005858BE"/>
    <w:rsid w:val="00727066"/>
    <w:rsid w:val="00756850"/>
    <w:rsid w:val="00787BD2"/>
    <w:rsid w:val="007A2261"/>
    <w:rsid w:val="007C3A9A"/>
    <w:rsid w:val="00802085"/>
    <w:rsid w:val="008F01AE"/>
    <w:rsid w:val="009570B9"/>
    <w:rsid w:val="009A19ED"/>
    <w:rsid w:val="00C341C7"/>
    <w:rsid w:val="00C65B3D"/>
    <w:rsid w:val="00C75118"/>
    <w:rsid w:val="00C82162"/>
    <w:rsid w:val="00D40559"/>
    <w:rsid w:val="00D93BC0"/>
    <w:rsid w:val="00E3751A"/>
    <w:rsid w:val="00E95F3C"/>
    <w:rsid w:val="00F46A10"/>
    <w:rsid w:val="00F60933"/>
    <w:rsid w:val="00FF47EE"/>
    <w:rsid w:val="01381A2C"/>
    <w:rsid w:val="01E43C17"/>
    <w:rsid w:val="030516AD"/>
    <w:rsid w:val="03463A74"/>
    <w:rsid w:val="03A1635F"/>
    <w:rsid w:val="03C37305"/>
    <w:rsid w:val="04334FFF"/>
    <w:rsid w:val="04543719"/>
    <w:rsid w:val="045937F4"/>
    <w:rsid w:val="04664971"/>
    <w:rsid w:val="04714B20"/>
    <w:rsid w:val="04D11406"/>
    <w:rsid w:val="04E23328"/>
    <w:rsid w:val="050505ED"/>
    <w:rsid w:val="054F4E8B"/>
    <w:rsid w:val="06007F0A"/>
    <w:rsid w:val="062E2CC9"/>
    <w:rsid w:val="06567547"/>
    <w:rsid w:val="06EF6353"/>
    <w:rsid w:val="07D32EB9"/>
    <w:rsid w:val="07E46E00"/>
    <w:rsid w:val="0814540D"/>
    <w:rsid w:val="08300409"/>
    <w:rsid w:val="08302FF8"/>
    <w:rsid w:val="0845254C"/>
    <w:rsid w:val="08E81855"/>
    <w:rsid w:val="08ED0200"/>
    <w:rsid w:val="08FD6983"/>
    <w:rsid w:val="0946657C"/>
    <w:rsid w:val="096769A3"/>
    <w:rsid w:val="096F1B10"/>
    <w:rsid w:val="09806C85"/>
    <w:rsid w:val="09A37E9F"/>
    <w:rsid w:val="0A0E1339"/>
    <w:rsid w:val="0A173A74"/>
    <w:rsid w:val="0A4F7A65"/>
    <w:rsid w:val="0BC750FD"/>
    <w:rsid w:val="0C370800"/>
    <w:rsid w:val="0D0227BA"/>
    <w:rsid w:val="0D073DB5"/>
    <w:rsid w:val="0D081033"/>
    <w:rsid w:val="0E564C35"/>
    <w:rsid w:val="0EC817E1"/>
    <w:rsid w:val="0F1C6141"/>
    <w:rsid w:val="0F423341"/>
    <w:rsid w:val="0FE07C54"/>
    <w:rsid w:val="0FFD1618"/>
    <w:rsid w:val="10806817"/>
    <w:rsid w:val="10A546BD"/>
    <w:rsid w:val="10AD0B5D"/>
    <w:rsid w:val="10AE1BD9"/>
    <w:rsid w:val="10D96D50"/>
    <w:rsid w:val="117D68B3"/>
    <w:rsid w:val="11BA5E99"/>
    <w:rsid w:val="13337B71"/>
    <w:rsid w:val="13FA1B12"/>
    <w:rsid w:val="141C622E"/>
    <w:rsid w:val="14732EA1"/>
    <w:rsid w:val="147F5532"/>
    <w:rsid w:val="14D001B2"/>
    <w:rsid w:val="156C314D"/>
    <w:rsid w:val="15CB68F5"/>
    <w:rsid w:val="16B10157"/>
    <w:rsid w:val="172B1294"/>
    <w:rsid w:val="17505468"/>
    <w:rsid w:val="1752433D"/>
    <w:rsid w:val="17550DB0"/>
    <w:rsid w:val="17810296"/>
    <w:rsid w:val="17C601C4"/>
    <w:rsid w:val="182061EA"/>
    <w:rsid w:val="18301429"/>
    <w:rsid w:val="18351C95"/>
    <w:rsid w:val="188D103C"/>
    <w:rsid w:val="190E35A0"/>
    <w:rsid w:val="191A70DD"/>
    <w:rsid w:val="19992B53"/>
    <w:rsid w:val="19CE23A1"/>
    <w:rsid w:val="19D014C8"/>
    <w:rsid w:val="19F45335"/>
    <w:rsid w:val="1A330456"/>
    <w:rsid w:val="1A4E76A5"/>
    <w:rsid w:val="1ADA1B6B"/>
    <w:rsid w:val="1AF71484"/>
    <w:rsid w:val="1B63147C"/>
    <w:rsid w:val="1C2F6387"/>
    <w:rsid w:val="1C3244B8"/>
    <w:rsid w:val="1C3E4E60"/>
    <w:rsid w:val="1C461987"/>
    <w:rsid w:val="1C4B6410"/>
    <w:rsid w:val="1C67088B"/>
    <w:rsid w:val="1C970306"/>
    <w:rsid w:val="1CD13F56"/>
    <w:rsid w:val="1CD14F1F"/>
    <w:rsid w:val="1CEA3399"/>
    <w:rsid w:val="1DA60EEB"/>
    <w:rsid w:val="1F0F5E71"/>
    <w:rsid w:val="1F142A61"/>
    <w:rsid w:val="1F373426"/>
    <w:rsid w:val="1F642D26"/>
    <w:rsid w:val="1FAC2BD1"/>
    <w:rsid w:val="1FC658C9"/>
    <w:rsid w:val="1FF45CE7"/>
    <w:rsid w:val="20176124"/>
    <w:rsid w:val="2107263D"/>
    <w:rsid w:val="21313216"/>
    <w:rsid w:val="214C4107"/>
    <w:rsid w:val="21A13C43"/>
    <w:rsid w:val="222E1FA2"/>
    <w:rsid w:val="22366385"/>
    <w:rsid w:val="224031F6"/>
    <w:rsid w:val="2282270A"/>
    <w:rsid w:val="229735F9"/>
    <w:rsid w:val="22AD2D70"/>
    <w:rsid w:val="23532900"/>
    <w:rsid w:val="2359594A"/>
    <w:rsid w:val="237962D0"/>
    <w:rsid w:val="23B37411"/>
    <w:rsid w:val="242E50EF"/>
    <w:rsid w:val="244E33BB"/>
    <w:rsid w:val="24775815"/>
    <w:rsid w:val="24D12D46"/>
    <w:rsid w:val="24FD0CF7"/>
    <w:rsid w:val="25FB3FD9"/>
    <w:rsid w:val="260B2287"/>
    <w:rsid w:val="26134134"/>
    <w:rsid w:val="271635D9"/>
    <w:rsid w:val="27280E94"/>
    <w:rsid w:val="27F61196"/>
    <w:rsid w:val="28814447"/>
    <w:rsid w:val="29283150"/>
    <w:rsid w:val="297A3C20"/>
    <w:rsid w:val="298C1931"/>
    <w:rsid w:val="29925FE1"/>
    <w:rsid w:val="29C972C6"/>
    <w:rsid w:val="2B944ACD"/>
    <w:rsid w:val="2BD9110B"/>
    <w:rsid w:val="2C9D3BC7"/>
    <w:rsid w:val="2CF2686E"/>
    <w:rsid w:val="2E9E272A"/>
    <w:rsid w:val="2EAE6403"/>
    <w:rsid w:val="2F5C124E"/>
    <w:rsid w:val="31055C5A"/>
    <w:rsid w:val="3256187C"/>
    <w:rsid w:val="3259568C"/>
    <w:rsid w:val="32A31CA7"/>
    <w:rsid w:val="32A66941"/>
    <w:rsid w:val="334B2415"/>
    <w:rsid w:val="339918AA"/>
    <w:rsid w:val="33BD2F62"/>
    <w:rsid w:val="33C148CD"/>
    <w:rsid w:val="33E01751"/>
    <w:rsid w:val="341F407D"/>
    <w:rsid w:val="34BD4A82"/>
    <w:rsid w:val="351530F3"/>
    <w:rsid w:val="351B1DBB"/>
    <w:rsid w:val="35211925"/>
    <w:rsid w:val="35524794"/>
    <w:rsid w:val="36577381"/>
    <w:rsid w:val="366115C7"/>
    <w:rsid w:val="368F242B"/>
    <w:rsid w:val="36E75766"/>
    <w:rsid w:val="37285AB1"/>
    <w:rsid w:val="375C6F30"/>
    <w:rsid w:val="3781684D"/>
    <w:rsid w:val="3823766B"/>
    <w:rsid w:val="396748BA"/>
    <w:rsid w:val="39AC13AD"/>
    <w:rsid w:val="3A751F6D"/>
    <w:rsid w:val="3AAA1C17"/>
    <w:rsid w:val="3AB6680E"/>
    <w:rsid w:val="3AD61658"/>
    <w:rsid w:val="3ADD7367"/>
    <w:rsid w:val="3AF50232"/>
    <w:rsid w:val="3B251FB8"/>
    <w:rsid w:val="3B3712DA"/>
    <w:rsid w:val="3B516ED3"/>
    <w:rsid w:val="3B622014"/>
    <w:rsid w:val="3B822519"/>
    <w:rsid w:val="3BFC6477"/>
    <w:rsid w:val="3C7D28D5"/>
    <w:rsid w:val="3C9506A5"/>
    <w:rsid w:val="3CE43836"/>
    <w:rsid w:val="3D027FC2"/>
    <w:rsid w:val="3D3D4FC4"/>
    <w:rsid w:val="3D4729D1"/>
    <w:rsid w:val="3DEB4A20"/>
    <w:rsid w:val="3E2D53F7"/>
    <w:rsid w:val="3EB62D94"/>
    <w:rsid w:val="3EEC7F81"/>
    <w:rsid w:val="3F0E1560"/>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4915BF6"/>
    <w:rsid w:val="4546743F"/>
    <w:rsid w:val="45A13141"/>
    <w:rsid w:val="46966FC2"/>
    <w:rsid w:val="46F56910"/>
    <w:rsid w:val="47EE36B2"/>
    <w:rsid w:val="485E76F8"/>
    <w:rsid w:val="487A531F"/>
    <w:rsid w:val="48AF6D87"/>
    <w:rsid w:val="49CE6C17"/>
    <w:rsid w:val="4A437992"/>
    <w:rsid w:val="4A657908"/>
    <w:rsid w:val="4BE40D01"/>
    <w:rsid w:val="4CDE060B"/>
    <w:rsid w:val="4E2E60EA"/>
    <w:rsid w:val="4E3D5914"/>
    <w:rsid w:val="4E461B89"/>
    <w:rsid w:val="4E834801"/>
    <w:rsid w:val="4F4C1097"/>
    <w:rsid w:val="4F844CD5"/>
    <w:rsid w:val="4F9D18F3"/>
    <w:rsid w:val="4FB01626"/>
    <w:rsid w:val="4FF32FA8"/>
    <w:rsid w:val="50EA0B03"/>
    <w:rsid w:val="512A57AB"/>
    <w:rsid w:val="515A3854"/>
    <w:rsid w:val="5276471A"/>
    <w:rsid w:val="52B20F97"/>
    <w:rsid w:val="52CC47C0"/>
    <w:rsid w:val="52E07D49"/>
    <w:rsid w:val="5374510A"/>
    <w:rsid w:val="53F5005F"/>
    <w:rsid w:val="550C37A2"/>
    <w:rsid w:val="563253F0"/>
    <w:rsid w:val="563D2137"/>
    <w:rsid w:val="565D015E"/>
    <w:rsid w:val="56836AB2"/>
    <w:rsid w:val="56975AB3"/>
    <w:rsid w:val="56BC2DE3"/>
    <w:rsid w:val="56D42C4D"/>
    <w:rsid w:val="56EF512A"/>
    <w:rsid w:val="57301D47"/>
    <w:rsid w:val="57487036"/>
    <w:rsid w:val="575D6537"/>
    <w:rsid w:val="57800B40"/>
    <w:rsid w:val="57CD2DFE"/>
    <w:rsid w:val="58244FE5"/>
    <w:rsid w:val="583628E4"/>
    <w:rsid w:val="584B13F6"/>
    <w:rsid w:val="59217B49"/>
    <w:rsid w:val="59523166"/>
    <w:rsid w:val="59656964"/>
    <w:rsid w:val="59A860E0"/>
    <w:rsid w:val="59D926D2"/>
    <w:rsid w:val="5A034680"/>
    <w:rsid w:val="5A850BE5"/>
    <w:rsid w:val="5AA52A54"/>
    <w:rsid w:val="5B070568"/>
    <w:rsid w:val="5B856EE5"/>
    <w:rsid w:val="5BC05975"/>
    <w:rsid w:val="5BD743DE"/>
    <w:rsid w:val="5C3A1541"/>
    <w:rsid w:val="5CA15F65"/>
    <w:rsid w:val="5D63281F"/>
    <w:rsid w:val="5D706898"/>
    <w:rsid w:val="5D731EE5"/>
    <w:rsid w:val="5D7C7100"/>
    <w:rsid w:val="5D89238E"/>
    <w:rsid w:val="5D8C28DB"/>
    <w:rsid w:val="5DA30A1C"/>
    <w:rsid w:val="5E0319FE"/>
    <w:rsid w:val="5E1A42E3"/>
    <w:rsid w:val="5E3F6556"/>
    <w:rsid w:val="5E4A7A0E"/>
    <w:rsid w:val="5E8C3C37"/>
    <w:rsid w:val="5EBC6D64"/>
    <w:rsid w:val="5ED03402"/>
    <w:rsid w:val="5F182B4A"/>
    <w:rsid w:val="5F2D2C93"/>
    <w:rsid w:val="5FD163AE"/>
    <w:rsid w:val="60057BEA"/>
    <w:rsid w:val="60912DAE"/>
    <w:rsid w:val="6098413C"/>
    <w:rsid w:val="60B44CEE"/>
    <w:rsid w:val="60B460AF"/>
    <w:rsid w:val="60CF38D6"/>
    <w:rsid w:val="619747AF"/>
    <w:rsid w:val="621C336D"/>
    <w:rsid w:val="62864468"/>
    <w:rsid w:val="629E5C56"/>
    <w:rsid w:val="62A05F08"/>
    <w:rsid w:val="62EA5BC6"/>
    <w:rsid w:val="630737FB"/>
    <w:rsid w:val="638C3AFD"/>
    <w:rsid w:val="63C25DAA"/>
    <w:rsid w:val="64126CC6"/>
    <w:rsid w:val="648F0582"/>
    <w:rsid w:val="64F540D9"/>
    <w:rsid w:val="6559245A"/>
    <w:rsid w:val="65622F6B"/>
    <w:rsid w:val="658C415A"/>
    <w:rsid w:val="65BD6D5B"/>
    <w:rsid w:val="66415650"/>
    <w:rsid w:val="66C53C4A"/>
    <w:rsid w:val="673B297E"/>
    <w:rsid w:val="678F323C"/>
    <w:rsid w:val="67F105D6"/>
    <w:rsid w:val="67FD6F7B"/>
    <w:rsid w:val="68233EA0"/>
    <w:rsid w:val="68A30209"/>
    <w:rsid w:val="68C86C57"/>
    <w:rsid w:val="69C2222A"/>
    <w:rsid w:val="6AA57F27"/>
    <w:rsid w:val="6CC37EB5"/>
    <w:rsid w:val="6D1139EB"/>
    <w:rsid w:val="6D27066C"/>
    <w:rsid w:val="6D3457FF"/>
    <w:rsid w:val="6DC01176"/>
    <w:rsid w:val="6E0E1EE1"/>
    <w:rsid w:val="6E2A4841"/>
    <w:rsid w:val="6EEF19E2"/>
    <w:rsid w:val="6F3D1DEF"/>
    <w:rsid w:val="6F963F3C"/>
    <w:rsid w:val="6FB940CF"/>
    <w:rsid w:val="6FE54B28"/>
    <w:rsid w:val="71276AD1"/>
    <w:rsid w:val="7160445C"/>
    <w:rsid w:val="71697143"/>
    <w:rsid w:val="716C6A50"/>
    <w:rsid w:val="717476DC"/>
    <w:rsid w:val="717958C4"/>
    <w:rsid w:val="71BE777B"/>
    <w:rsid w:val="7207397B"/>
    <w:rsid w:val="729E3A33"/>
    <w:rsid w:val="72C43B37"/>
    <w:rsid w:val="73670AB5"/>
    <w:rsid w:val="737D1DEA"/>
    <w:rsid w:val="74150FF5"/>
    <w:rsid w:val="748B2EA1"/>
    <w:rsid w:val="74AE0F56"/>
    <w:rsid w:val="75620F8D"/>
    <w:rsid w:val="76391AC6"/>
    <w:rsid w:val="7672193D"/>
    <w:rsid w:val="770403EE"/>
    <w:rsid w:val="771C50B0"/>
    <w:rsid w:val="771E190D"/>
    <w:rsid w:val="77832F9B"/>
    <w:rsid w:val="77C519A6"/>
    <w:rsid w:val="78063C29"/>
    <w:rsid w:val="784004D1"/>
    <w:rsid w:val="78725E9B"/>
    <w:rsid w:val="7877129B"/>
    <w:rsid w:val="787B0173"/>
    <w:rsid w:val="79302291"/>
    <w:rsid w:val="797D7F1B"/>
    <w:rsid w:val="79CB65A5"/>
    <w:rsid w:val="79F44E86"/>
    <w:rsid w:val="79FE7AE0"/>
    <w:rsid w:val="7A083C89"/>
    <w:rsid w:val="7AA15E8B"/>
    <w:rsid w:val="7B424553"/>
    <w:rsid w:val="7BB96559"/>
    <w:rsid w:val="7BF25D18"/>
    <w:rsid w:val="7C304A31"/>
    <w:rsid w:val="7C6520EB"/>
    <w:rsid w:val="7C85225C"/>
    <w:rsid w:val="7D1943FF"/>
    <w:rsid w:val="7D7347EF"/>
    <w:rsid w:val="7D9755D5"/>
    <w:rsid w:val="7D9B14E2"/>
    <w:rsid w:val="7DB761A8"/>
    <w:rsid w:val="7DD52B5A"/>
    <w:rsid w:val="7E522673"/>
    <w:rsid w:val="7E81400A"/>
    <w:rsid w:val="7EA63A70"/>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4">
    <w:name w:val="heading 2"/>
    <w:basedOn w:val="5"/>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5">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6">
    <w:name w:val="heading 4"/>
    <w:basedOn w:val="1"/>
    <w:next w:val="1"/>
    <w:unhideWhenUsed/>
    <w:qFormat/>
    <w:uiPriority w:val="0"/>
    <w:pPr>
      <w:keepNext/>
      <w:keepLines/>
      <w:outlineLvl w:val="3"/>
    </w:pPr>
    <w:rPr>
      <w:b/>
    </w:rPr>
  </w:style>
  <w:style w:type="character" w:default="1" w:styleId="25">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customStyle="1" w:styleId="2">
    <w:name w:val="样式 首行缩进:  2 字符"/>
    <w:basedOn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styleId="7">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8">
    <w:name w:val="Body Text"/>
    <w:basedOn w:val="1"/>
    <w:next w:val="1"/>
    <w:qFormat/>
    <w:uiPriority w:val="99"/>
    <w:rPr>
      <w:sz w:val="28"/>
      <w:szCs w:val="28"/>
    </w:rPr>
  </w:style>
  <w:style w:type="paragraph" w:styleId="9">
    <w:name w:val="Body Text Indent"/>
    <w:basedOn w:val="1"/>
    <w:next w:val="10"/>
    <w:unhideWhenUsed/>
    <w:qFormat/>
    <w:uiPriority w:val="99"/>
    <w:pPr>
      <w:spacing w:after="120"/>
      <w:ind w:left="420" w:leftChars="200"/>
    </w:pPr>
  </w:style>
  <w:style w:type="paragraph" w:styleId="10">
    <w:name w:val="toc 5"/>
    <w:basedOn w:val="1"/>
    <w:next w:val="1"/>
    <w:semiHidden/>
    <w:qFormat/>
    <w:uiPriority w:val="0"/>
    <w:pPr>
      <w:ind w:left="1120"/>
      <w:jc w:val="left"/>
    </w:pPr>
    <w:rPr>
      <w:sz w:val="18"/>
      <w:szCs w:val="18"/>
    </w:rPr>
  </w:style>
  <w:style w:type="paragraph" w:styleId="11">
    <w:name w:val="Plain Text"/>
    <w:basedOn w:val="1"/>
    <w:qFormat/>
    <w:uiPriority w:val="0"/>
    <w:rPr>
      <w:rFonts w:ascii="宋体" w:hAnsi="Courier New" w:cs="Courier New"/>
      <w:szCs w:val="21"/>
    </w:rPr>
  </w:style>
  <w:style w:type="paragraph" w:styleId="12">
    <w:name w:val="Date"/>
    <w:basedOn w:val="1"/>
    <w:next w:val="1"/>
    <w:link w:val="46"/>
    <w:qFormat/>
    <w:uiPriority w:val="0"/>
    <w:pPr>
      <w:ind w:left="100" w:leftChars="2500"/>
    </w:pPr>
    <w:rPr>
      <w:rFonts w:ascii="Times New Roman" w:hAnsi="Times New Roman"/>
      <w:b/>
      <w:bCs/>
      <w:sz w:val="28"/>
    </w:rPr>
  </w:style>
  <w:style w:type="paragraph" w:styleId="13">
    <w:name w:val="Body Text Indent 2"/>
    <w:basedOn w:val="1"/>
    <w:qFormat/>
    <w:uiPriority w:val="0"/>
    <w:pPr>
      <w:ind w:firstLine="538" w:firstLineChars="192"/>
    </w:pPr>
    <w:rPr>
      <w:rFonts w:ascii="宋体" w:hAnsi="宋体"/>
      <w:sz w:val="28"/>
    </w:rPr>
  </w:style>
  <w:style w:type="paragraph" w:styleId="14">
    <w:name w:val="Balloon Text"/>
    <w:basedOn w:val="1"/>
    <w:link w:val="32"/>
    <w:qFormat/>
    <w:uiPriority w:val="0"/>
    <w:rPr>
      <w:sz w:val="18"/>
      <w:szCs w:val="18"/>
    </w:rPr>
  </w:style>
  <w:style w:type="paragraph" w:styleId="15">
    <w:name w:val="footer"/>
    <w:basedOn w:val="1"/>
    <w:next w:val="16"/>
    <w:qFormat/>
    <w:uiPriority w:val="0"/>
    <w:pPr>
      <w:tabs>
        <w:tab w:val="center" w:pos="4153"/>
        <w:tab w:val="right" w:pos="8306"/>
      </w:tabs>
      <w:snapToGrid w:val="0"/>
    </w:pPr>
    <w:rPr>
      <w:sz w:val="18"/>
      <w:szCs w:val="18"/>
    </w:rPr>
  </w:style>
  <w:style w:type="paragraph" w:styleId="16">
    <w:name w:val="Normal (Web)"/>
    <w:basedOn w:val="1"/>
    <w:next w:val="17"/>
    <w:qFormat/>
    <w:uiPriority w:val="0"/>
    <w:pPr>
      <w:spacing w:before="100" w:beforeAutospacing="1" w:after="100" w:afterAutospacing="1"/>
      <w:jc w:val="left"/>
    </w:pPr>
    <w:rPr>
      <w:kern w:val="0"/>
      <w:sz w:val="24"/>
    </w:rPr>
  </w:style>
  <w:style w:type="paragraph" w:customStyle="1" w:styleId="17">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pPr>
      <w:jc w:val="left"/>
    </w:pPr>
    <w:rPr>
      <w:rFonts w:ascii="宋体"/>
      <w:b/>
      <w:bCs/>
      <w:caps/>
      <w:sz w:val="20"/>
      <w:szCs w:val="20"/>
    </w:rPr>
  </w:style>
  <w:style w:type="paragraph" w:styleId="20">
    <w:name w:val="Body Text Indent 3"/>
    <w:basedOn w:val="1"/>
    <w:qFormat/>
    <w:uiPriority w:val="0"/>
    <w:pPr>
      <w:ind w:firstLine="630"/>
    </w:pPr>
    <w:rPr>
      <w:rFonts w:ascii="Times New Roman" w:hAnsi="Times New Roman" w:eastAsia="仿宋_GB2312"/>
      <w:sz w:val="28"/>
    </w:rPr>
  </w:style>
  <w:style w:type="paragraph" w:styleId="21">
    <w:name w:val="Body Text First Indent"/>
    <w:basedOn w:val="8"/>
    <w:next w:val="1"/>
    <w:qFormat/>
    <w:uiPriority w:val="0"/>
    <w:pPr>
      <w:spacing w:after="120"/>
      <w:ind w:firstLine="420" w:firstLineChars="100"/>
    </w:pPr>
  </w:style>
  <w:style w:type="paragraph" w:styleId="22">
    <w:name w:val="Body Text First Indent 2"/>
    <w:basedOn w:val="9"/>
    <w:next w:val="23"/>
    <w:unhideWhenUsed/>
    <w:qFormat/>
    <w:uiPriority w:val="99"/>
    <w:pPr>
      <w:ind w:firstLine="420" w:firstLineChars="200"/>
    </w:pPr>
  </w:style>
  <w:style w:type="paragraph" w:customStyle="1" w:styleId="23">
    <w:name w:val="正文2"/>
    <w:basedOn w:val="1"/>
    <w:qFormat/>
    <w:uiPriority w:val="0"/>
    <w:pPr>
      <w:spacing w:line="440" w:lineRule="atLeast"/>
      <w:ind w:firstLine="567"/>
    </w:pPr>
    <w:rPr>
      <w:sz w:val="24"/>
      <w:szCs w:val="20"/>
    </w:rPr>
  </w:style>
  <w:style w:type="paragraph" w:customStyle="1" w:styleId="26">
    <w:name w:val="Default"/>
    <w:basedOn w:val="27"/>
    <w:next w:val="22"/>
    <w:qFormat/>
    <w:uiPriority w:val="0"/>
    <w:pPr>
      <w:autoSpaceDE w:val="0"/>
      <w:autoSpaceDN w:val="0"/>
    </w:pPr>
    <w:rPr>
      <w:rFonts w:hint="eastAsia" w:ascii="宋体"/>
      <w:sz w:val="24"/>
    </w:rPr>
  </w:style>
  <w:style w:type="paragraph" w:customStyle="1" w:styleId="2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9">
    <w:name w:val="样式 标题 2"/>
    <w:basedOn w:val="4"/>
    <w:qFormat/>
    <w:uiPriority w:val="0"/>
    <w:pPr>
      <w:spacing w:beforeLines="0" w:afterLines="0"/>
    </w:pPr>
    <w:rPr>
      <w:rFonts w:ascii="Arial" w:hAnsi="Arial" w:eastAsia="宋体" w:cs="宋体"/>
      <w:snapToGrid/>
      <w:kern w:val="2"/>
      <w:szCs w:val="32"/>
      <w:lang w:val="zh-CN"/>
    </w:rPr>
  </w:style>
  <w:style w:type="paragraph" w:customStyle="1" w:styleId="30">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p0"/>
    <w:basedOn w:val="1"/>
    <w:qFormat/>
    <w:uiPriority w:val="0"/>
    <w:pPr>
      <w:widowControl/>
    </w:pPr>
    <w:rPr>
      <w:kern w:val="0"/>
      <w:szCs w:val="21"/>
    </w:rPr>
  </w:style>
  <w:style w:type="character" w:customStyle="1" w:styleId="32">
    <w:name w:val="批注框文本 字符"/>
    <w:basedOn w:val="25"/>
    <w:link w:val="14"/>
    <w:qFormat/>
    <w:uiPriority w:val="0"/>
    <w:rPr>
      <w:rFonts w:ascii="Calibri" w:hAnsi="Calibri"/>
      <w:kern w:val="2"/>
      <w:sz w:val="18"/>
      <w:szCs w:val="18"/>
    </w:rPr>
  </w:style>
  <w:style w:type="paragraph" w:customStyle="1" w:styleId="33">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4">
    <w:name w:val="表头 Char Char Char"/>
    <w:basedOn w:val="25"/>
    <w:qFormat/>
    <w:uiPriority w:val="0"/>
    <w:rPr>
      <w:rFonts w:ascii="宋体" w:hAnsi="Tahoma" w:eastAsia="宋体"/>
      <w:snapToGrid w:val="0"/>
      <w:spacing w:val="6"/>
      <w:kern w:val="10"/>
      <w:sz w:val="24"/>
    </w:rPr>
  </w:style>
  <w:style w:type="paragraph" w:customStyle="1" w:styleId="35">
    <w:name w:val="表格居中"/>
    <w:basedOn w:val="36"/>
    <w:qFormat/>
    <w:uiPriority w:val="0"/>
    <w:pPr>
      <w:jc w:val="center"/>
    </w:pPr>
  </w:style>
  <w:style w:type="paragraph" w:customStyle="1" w:styleId="36">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7">
    <w:name w:val="伟灿工贸-表格文字"/>
    <w:basedOn w:val="1"/>
    <w:qFormat/>
    <w:uiPriority w:val="0"/>
    <w:pPr>
      <w:jc w:val="center"/>
    </w:pPr>
    <w:rPr>
      <w:rFonts w:hint="eastAsia" w:ascii="宋体" w:hAnsi="宋体" w:cs="宋体"/>
      <w:szCs w:val="21"/>
    </w:rPr>
  </w:style>
  <w:style w:type="paragraph" w:customStyle="1" w:styleId="38">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39">
    <w:name w:val="表名、图名"/>
    <w:basedOn w:val="1"/>
    <w:next w:val="1"/>
    <w:qFormat/>
    <w:uiPriority w:val="0"/>
    <w:pPr>
      <w:jc w:val="center"/>
    </w:pPr>
    <w:rPr>
      <w:b/>
      <w:bCs/>
    </w:rPr>
  </w:style>
  <w:style w:type="paragraph" w:customStyle="1" w:styleId="40">
    <w:name w:val="标题 三"/>
    <w:basedOn w:val="1"/>
    <w:qFormat/>
    <w:uiPriority w:val="0"/>
    <w:pPr>
      <w:tabs>
        <w:tab w:val="left" w:pos="3544"/>
      </w:tabs>
      <w:snapToGrid w:val="0"/>
      <w:spacing w:line="360" w:lineRule="auto"/>
      <w:outlineLvl w:val="2"/>
    </w:pPr>
    <w:rPr>
      <w:rFonts w:ascii="宋体" w:hAnsi="宋体"/>
      <w:b/>
      <w:bCs/>
      <w:sz w:val="28"/>
      <w:szCs w:val="28"/>
    </w:rPr>
  </w:style>
  <w:style w:type="paragraph" w:customStyle="1" w:styleId="41">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42">
    <w:name w:val="工艺序号"/>
    <w:basedOn w:val="1"/>
    <w:qFormat/>
    <w:uiPriority w:val="0"/>
    <w:pPr>
      <w:numPr>
        <w:ilvl w:val="0"/>
        <w:numId w:val="1"/>
      </w:numPr>
    </w:pPr>
    <w:rPr>
      <w:b/>
      <w:bCs/>
    </w:rPr>
  </w:style>
  <w:style w:type="paragraph" w:customStyle="1" w:styleId="43">
    <w:name w:val="伟灿-表格文字"/>
    <w:basedOn w:val="1"/>
    <w:qFormat/>
    <w:uiPriority w:val="0"/>
    <w:pPr>
      <w:jc w:val="center"/>
    </w:pPr>
    <w:rPr>
      <w:rFonts w:hint="eastAsia" w:ascii="宋体" w:hAnsi="宋体" w:cs="宋体"/>
      <w:szCs w:val="21"/>
    </w:rPr>
  </w:style>
  <w:style w:type="paragraph" w:styleId="44">
    <w:name w:val="List Paragraph"/>
    <w:basedOn w:val="1"/>
    <w:qFormat/>
    <w:uiPriority w:val="99"/>
    <w:pPr>
      <w:ind w:firstLine="420" w:firstLineChars="200"/>
    </w:pPr>
  </w:style>
  <w:style w:type="paragraph" w:customStyle="1" w:styleId="45">
    <w:name w:val="表格1（标题）"/>
    <w:basedOn w:val="1"/>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6">
    <w:name w:val="日期 字符"/>
    <w:basedOn w:val="25"/>
    <w:link w:val="12"/>
    <w:qFormat/>
    <w:uiPriority w:val="0"/>
    <w:rPr>
      <w:b/>
      <w:bCs/>
      <w:kern w:val="2"/>
      <w:sz w:val="28"/>
      <w:szCs w:val="24"/>
    </w:rPr>
  </w:style>
  <w:style w:type="paragraph" w:customStyle="1" w:styleId="47">
    <w:name w:val="k-正文序列"/>
    <w:basedOn w:val="1"/>
    <w:qFormat/>
    <w:uiPriority w:val="0"/>
    <w:pPr>
      <w:numPr>
        <w:ilvl w:val="0"/>
        <w:numId w:val="2"/>
      </w:numPr>
    </w:pPr>
    <w:rPr>
      <w:rFonts w:hint="eastAsia"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8</Pages>
  <Words>2190</Words>
  <Characters>2495</Characters>
  <Lines>8</Lines>
  <Paragraphs>2</Paragraphs>
  <TotalTime>0</TotalTime>
  <ScaleCrop>false</ScaleCrop>
  <LinksUpToDate>false</LinksUpToDate>
  <CharactersWithSpaces>2498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2026-01-09T06:46:23Z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2C91919FAC3F4E3290C5E59A0B504719_13</vt:lpwstr>
  </property>
  <property fmtid="{D5CDD505-2E9C-101B-9397-08002B2CF9AE}" pid="4" name="KSOTemplateDocerSaveRecord">
    <vt:lpwstr>eyJoZGlkIjoiNDgzMjdiZTZhYWEwMDUyMzMwMzdhZWM2ZmNjMGMzMDkiLCJ1c2VySWQiOiI1NzcyNjAwMzgifQ==</vt:lpwstr>
  </property>
</Properties>
</file>