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50755C1B">
            <w:pPr>
              <w:widowControl/>
              <w:spacing w:after="150"/>
              <w:jc w:val="center"/>
              <w:rPr>
                <w:rFonts w:hint="eastAsia" w:ascii="宋体" w:hAnsi="宋体" w:eastAsia="宋体" w:cs="宋体"/>
                <w:sz w:val="24"/>
                <w:lang w:eastAsia="zh-CN"/>
              </w:rPr>
            </w:pPr>
            <w:r>
              <w:rPr>
                <w:rFonts w:hint="eastAsia" w:ascii="宋体" w:hAnsi="宋体" w:eastAsia="宋体" w:cs="宋体"/>
                <w:sz w:val="24"/>
                <w:lang w:eastAsia="zh-CN"/>
              </w:rPr>
              <w:t>中国石化江西吉安石油分公司吉安南大道北加油站项目安全验收评价报告</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lang w:val="en-US" w:eastAsia="zh-CN"/>
              </w:rPr>
              <w:t>2025</w:t>
            </w:r>
            <w:r>
              <w:rPr>
                <w:rFonts w:hint="eastAsia" w:ascii="宋体" w:hAnsi="宋体" w:cs="宋体"/>
                <w:sz w:val="24"/>
              </w:rPr>
              <w:t>年</w:t>
            </w:r>
            <w:r>
              <w:rPr>
                <w:rFonts w:hint="eastAsia" w:ascii="宋体" w:hAnsi="宋体" w:cs="宋体"/>
                <w:sz w:val="24"/>
                <w:lang w:val="en-US" w:eastAsia="zh-CN"/>
              </w:rPr>
              <w:t>12</w:t>
            </w:r>
            <w:r>
              <w:rPr>
                <w:rFonts w:hint="eastAsia" w:ascii="宋体" w:hAnsi="宋体" w:cs="宋体"/>
                <w:sz w:val="24"/>
              </w:rPr>
              <w:t>月</w:t>
            </w:r>
            <w:bookmarkStart w:id="0" w:name="_GoBack"/>
            <w:bookmarkEnd w:id="0"/>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eastAsia="zh-CN"/>
              </w:rPr>
              <w:t>熊克书</w:t>
            </w:r>
          </w:p>
        </w:tc>
        <w:tc>
          <w:tcPr>
            <w:tcW w:w="4803" w:type="dxa"/>
            <w:tcBorders>
              <w:tl2br w:val="nil"/>
              <w:tr2bl w:val="nil"/>
            </w:tcBorders>
            <w:shd w:val="clear" w:color="auto" w:fill="FFFFFF"/>
            <w:vAlign w:val="center"/>
          </w:tcPr>
          <w:p w14:paraId="2E3657A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eastAsia="zh-CN"/>
              </w:rPr>
              <w:t>S011035000110192001546</w:t>
            </w:r>
          </w:p>
        </w:tc>
        <w:tc>
          <w:tcPr>
            <w:tcW w:w="2115" w:type="dxa"/>
            <w:tcBorders>
              <w:tl2br w:val="nil"/>
              <w:tr2bl w:val="nil"/>
            </w:tcBorders>
            <w:shd w:val="clear" w:color="auto" w:fill="FFFFFF"/>
            <w:vAlign w:val="center"/>
          </w:tcPr>
          <w:p w14:paraId="1D907D1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eastAsia="zh-CN"/>
              </w:rPr>
              <w:t>舒斌</w:t>
            </w:r>
          </w:p>
        </w:tc>
        <w:tc>
          <w:tcPr>
            <w:tcW w:w="4803" w:type="dxa"/>
            <w:tcBorders>
              <w:tl2br w:val="nil"/>
              <w:tr2bl w:val="nil"/>
            </w:tcBorders>
            <w:shd w:val="clear" w:color="auto" w:fill="FFFFFF"/>
            <w:vAlign w:val="center"/>
          </w:tcPr>
          <w:p w14:paraId="2AF7BD6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eastAsia="zh-CN"/>
              </w:rPr>
              <w:t>0800000000205889</w:t>
            </w:r>
          </w:p>
        </w:tc>
        <w:tc>
          <w:tcPr>
            <w:tcW w:w="2115" w:type="dxa"/>
            <w:tcBorders>
              <w:tl2br w:val="nil"/>
              <w:tr2bl w:val="nil"/>
            </w:tcBorders>
            <w:shd w:val="clear" w:color="auto" w:fill="FFFFFF"/>
            <w:vAlign w:val="center"/>
          </w:tcPr>
          <w:p w14:paraId="135FF85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eastAsia="zh-CN"/>
              </w:rPr>
              <w:t>013031</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eastAsia="zh-CN"/>
              </w:rPr>
              <w:t>张晋慧</w:t>
            </w:r>
          </w:p>
        </w:tc>
        <w:tc>
          <w:tcPr>
            <w:tcW w:w="4803" w:type="dxa"/>
            <w:tcBorders>
              <w:tl2br w:val="nil"/>
              <w:tr2bl w:val="nil"/>
            </w:tcBorders>
            <w:shd w:val="clear" w:color="auto" w:fill="FFFFFF"/>
            <w:vAlign w:val="center"/>
          </w:tcPr>
          <w:p w14:paraId="5E54EC4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eastAsia="zh-CN"/>
              </w:rPr>
              <w:t>1100000000302946</w:t>
            </w:r>
          </w:p>
        </w:tc>
        <w:tc>
          <w:tcPr>
            <w:tcW w:w="2115" w:type="dxa"/>
            <w:tcBorders>
              <w:tl2br w:val="nil"/>
              <w:tr2bl w:val="nil"/>
            </w:tcBorders>
            <w:shd w:val="clear" w:color="auto" w:fill="FFFFFF"/>
            <w:vAlign w:val="center"/>
          </w:tcPr>
          <w:p w14:paraId="0EA3FFA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eastAsia="zh-CN"/>
              </w:rPr>
              <w:t>0</w:t>
            </w:r>
            <w:r>
              <w:rPr>
                <w:rFonts w:hint="eastAsia" w:ascii="Times New Roman" w:hAnsi="Times New Roman" w:eastAsia="宋体" w:cs="Times New Roman"/>
                <w:sz w:val="24"/>
                <w:lang w:val="en-US" w:eastAsia="zh-CN"/>
              </w:rPr>
              <w:t>20045</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5AB04B7">
            <w:pPr>
              <w:jc w:val="center"/>
              <w:rPr>
                <w:rFonts w:ascii="宋体" w:hAnsi="宋体" w:cs="宋体"/>
                <w:sz w:val="24"/>
              </w:rPr>
            </w:pPr>
          </w:p>
        </w:tc>
        <w:tc>
          <w:tcPr>
            <w:tcW w:w="1237" w:type="dxa"/>
            <w:tcBorders>
              <w:tl2br w:val="nil"/>
              <w:tr2bl w:val="nil"/>
            </w:tcBorders>
            <w:shd w:val="clear" w:color="auto" w:fill="FFFFFF"/>
            <w:vAlign w:val="center"/>
          </w:tcPr>
          <w:p w14:paraId="4F50823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赵云峰</w:t>
            </w:r>
          </w:p>
        </w:tc>
        <w:tc>
          <w:tcPr>
            <w:tcW w:w="4803" w:type="dxa"/>
            <w:tcBorders>
              <w:tl2br w:val="nil"/>
              <w:tr2bl w:val="nil"/>
            </w:tcBorders>
            <w:shd w:val="clear" w:color="auto" w:fill="FFFFFF"/>
            <w:vAlign w:val="center"/>
          </w:tcPr>
          <w:p w14:paraId="0E1A694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1600000000200809</w:t>
            </w:r>
          </w:p>
        </w:tc>
        <w:tc>
          <w:tcPr>
            <w:tcW w:w="2115" w:type="dxa"/>
            <w:tcBorders>
              <w:tl2br w:val="nil"/>
              <w:tr2bl w:val="nil"/>
            </w:tcBorders>
            <w:shd w:val="clear" w:color="auto" w:fill="FFFFFF"/>
            <w:vAlign w:val="center"/>
          </w:tcPr>
          <w:p w14:paraId="34039BB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030095</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谢雨飞</w:t>
            </w:r>
          </w:p>
        </w:tc>
        <w:tc>
          <w:tcPr>
            <w:tcW w:w="4803" w:type="dxa"/>
            <w:tcBorders>
              <w:tl2br w:val="nil"/>
              <w:tr2bl w:val="nil"/>
            </w:tcBorders>
            <w:shd w:val="clear" w:color="auto" w:fill="FFFFFF"/>
            <w:vAlign w:val="center"/>
          </w:tcPr>
          <w:p w14:paraId="70C9750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CAWS350000230200227</w:t>
            </w:r>
          </w:p>
        </w:tc>
        <w:tc>
          <w:tcPr>
            <w:tcW w:w="2115" w:type="dxa"/>
            <w:tcBorders>
              <w:tl2br w:val="nil"/>
              <w:tr2bl w:val="nil"/>
            </w:tcBorders>
            <w:shd w:val="clear" w:color="auto" w:fill="FFFFFF"/>
            <w:vAlign w:val="center"/>
          </w:tcPr>
          <w:p w14:paraId="2C5E2BF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043378</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45419EC2">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5781712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2A5711E2">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熊克书</w:t>
            </w:r>
            <w:r>
              <w:rPr>
                <w:rFonts w:hint="eastAsia" w:hAnsi="宋体"/>
                <w:kern w:val="0"/>
                <w:sz w:val="24"/>
              </w:rPr>
              <w:t xml:space="preserve"> 202</w:t>
            </w:r>
            <w:r>
              <w:rPr>
                <w:rFonts w:hint="eastAsia" w:hAnsi="宋体"/>
                <w:kern w:val="0"/>
                <w:sz w:val="24"/>
                <w:lang w:val="en-US" w:eastAsia="zh-CN"/>
              </w:rPr>
              <w:t>5</w:t>
            </w:r>
            <w:r>
              <w:rPr>
                <w:rFonts w:hint="eastAsia" w:hAnsi="宋体"/>
                <w:kern w:val="0"/>
                <w:sz w:val="24"/>
                <w:highlight w:val="none"/>
              </w:rPr>
              <w:t>年</w:t>
            </w:r>
            <w:r>
              <w:rPr>
                <w:rFonts w:hint="eastAsia" w:hAnsi="宋体"/>
                <w:kern w:val="0"/>
                <w:sz w:val="24"/>
                <w:highlight w:val="none"/>
                <w:lang w:val="en-US" w:eastAsia="zh-CN"/>
              </w:rPr>
              <w:t>9</w:t>
            </w:r>
            <w:r>
              <w:rPr>
                <w:rFonts w:hint="eastAsia" w:hAnsi="宋体"/>
                <w:kern w:val="0"/>
                <w:sz w:val="24"/>
                <w:highlight w:val="none"/>
              </w:rPr>
              <w:t>月</w:t>
            </w:r>
            <w:r>
              <w:rPr>
                <w:rFonts w:hint="eastAsia" w:hAnsi="宋体"/>
                <w:kern w:val="0"/>
                <w:sz w:val="24"/>
                <w:highlight w:val="none"/>
                <w:lang w:val="en-US" w:eastAsia="zh-CN"/>
              </w:rPr>
              <w:t>12</w:t>
            </w:r>
            <w:r>
              <w:rPr>
                <w:rFonts w:hint="eastAsia" w:hAnsi="宋体"/>
                <w:kern w:val="0"/>
                <w:sz w:val="24"/>
                <w:highlight w:val="none"/>
              </w:rPr>
              <w:t>日</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00480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76100CE6">
            <w:pPr>
              <w:widowControl/>
              <w:spacing w:after="150"/>
              <w:jc w:val="center"/>
              <w:rPr>
                <w:rFonts w:hint="default" w:ascii="Times New Roman" w:hAnsi="Times New Roman" w:eastAsia="宋体"/>
                <w:color w:val="FF0000"/>
                <w:sz w:val="24"/>
                <w:lang w:val="en-US" w:eastAsia="zh-CN"/>
              </w:rPr>
            </w:pPr>
            <w:r>
              <w:rPr>
                <w:rFonts w:hint="eastAsia" w:ascii="Times New Roman" w:hAnsi="Times New Roman"/>
                <w:sz w:val="24"/>
              </w:rPr>
              <w:t>熊克书</w:t>
            </w:r>
            <w:r>
              <w:rPr>
                <w:rFonts w:hint="eastAsia" w:ascii="Times New Roman" w:hAnsi="Times New Roman"/>
                <w:sz w:val="24"/>
                <w:lang w:val="en-US" w:eastAsia="zh-CN"/>
              </w:rPr>
              <w:t>2025年9月18日</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7C0AB6CA">
            <w:pPr>
              <w:ind w:firstLine="560"/>
              <w:rPr>
                <w:rFonts w:cs="宋体"/>
              </w:rPr>
            </w:pPr>
            <w:r>
              <w:rPr>
                <w:rFonts w:hint="eastAsia" w:cs="宋体"/>
              </w:rPr>
              <w:t>中国石化销售股份有限公司江西吉安石油分公司成立于2000年05月15日，企业类型：外商投资企业分公司，法定代表人甘国明。该公司在江西省吉安市吉州区兴桥镇吉安南大道新建加油站，该站位于江西省吉安市吉州区兴桥镇吉安南大道（吉州南大道与伯安大道交叉口东北角邻接石塘边路），加油站为企业自有（建站土地为企业购买所得）。</w:t>
            </w:r>
          </w:p>
          <w:p w14:paraId="0B26988B">
            <w:pPr>
              <w:ind w:firstLine="560"/>
            </w:pPr>
            <w:r>
              <w:rPr>
                <w:rFonts w:hint="eastAsia" w:ascii="Times New Roman" w:hAnsi="Times New Roman"/>
              </w:rPr>
              <w:t>该加油站建设项目为新建站，属新建项目</w:t>
            </w:r>
            <w:r>
              <w:rPr>
                <w:rFonts w:hint="eastAsia" w:cs="宋体"/>
              </w:rPr>
              <w:t>，</w:t>
            </w:r>
            <w:r>
              <w:rPr>
                <w:rFonts w:hint="eastAsia"/>
              </w:rPr>
              <w:t>2023年2月7日取得了吉安市吉州区行政审批局出具的《江西省企业投资项目备案通知书》，项目名称：中国石化江西吉安石油分公司吉安南大道北加油站项目，项目统一代码为：2302-360802-04-05-230136。该加油站为新建加油站项目。</w:t>
            </w:r>
          </w:p>
          <w:p w14:paraId="6B3E622D">
            <w:pPr>
              <w:ind w:firstLine="560"/>
            </w:pPr>
            <w:r>
              <w:rPr>
                <w:rFonts w:hint="eastAsia"/>
              </w:rPr>
              <w:t>中国石化江西吉安石油分公司吉安南大道北加油站项目</w:t>
            </w:r>
            <w:r>
              <w:t>位于</w:t>
            </w:r>
            <w:r>
              <w:rPr>
                <w:rFonts w:hint="eastAsia"/>
                <w:spacing w:val="-6"/>
              </w:rPr>
              <w:t>江西省吉安市吉州区兴桥镇吉安南大道（吉州南大道与伯安大道交叉口东北角邻接石塘边路）</w:t>
            </w:r>
            <w:r>
              <w:rPr>
                <w:rFonts w:hint="eastAsia"/>
              </w:rPr>
              <w:t>，</w:t>
            </w:r>
            <w:r>
              <w:t>加油站用地面积约</w:t>
            </w:r>
            <w:r>
              <w:rPr>
                <w:rFonts w:hint="eastAsia"/>
              </w:rPr>
              <w:t>6800</w:t>
            </w:r>
            <w:r>
              <w:t>m</w:t>
            </w:r>
            <w:r>
              <w:rPr>
                <w:vertAlign w:val="superscript"/>
              </w:rPr>
              <w:t>2</w:t>
            </w:r>
            <w:r>
              <w:rPr>
                <w:rFonts w:hint="eastAsia"/>
              </w:rPr>
              <w:t>。</w:t>
            </w:r>
            <w:r>
              <w:t>该加油站</w:t>
            </w:r>
            <w:r>
              <w:rPr>
                <w:rFonts w:hint="eastAsia"/>
              </w:rPr>
              <w:t>设有的容积30m³的0#柴油埋地卧式双层贮罐1台、容积30m³的92#汽油埋地卧式双层油罐2台、容积30m³的95#汽油埋地卧式油罐1台；最大存储量为120m³，实际油品折算总容量为105m³（柴油折半），属于二级加油站。该加油站埋地油罐设置在加油区，位于车行道下，储罐为承重罐。</w:t>
            </w:r>
          </w:p>
          <w:p w14:paraId="127D9598">
            <w:pPr>
              <w:ind w:firstLine="560"/>
            </w:pPr>
            <w:r>
              <w:rPr>
                <w:rFonts w:hint="eastAsia"/>
              </w:rPr>
              <w:t>该加油站2024年3月委托江西通安安全评价有限公司编制《中国石化江西吉安石油分公司吉安南大道北加油站项目安全条件评价报告》，并于2024年5月8日取得《危险化学品建设项目安全条件备案告知意见书》（吉市危化项目安条备字[2024〕4号）。</w:t>
            </w:r>
          </w:p>
          <w:p w14:paraId="38393C81">
            <w:pPr>
              <w:bidi w:val="0"/>
              <w:rPr>
                <w:rFonts w:hint="eastAsia"/>
                <w:lang w:eastAsia="zh-CN"/>
              </w:rPr>
            </w:pPr>
            <w:r>
              <w:rPr>
                <w:rFonts w:hint="eastAsia" w:ascii="Times New Roman" w:hAnsi="Times New Roman"/>
              </w:rPr>
              <w:t>该加油站</w:t>
            </w:r>
            <w:r>
              <w:rPr>
                <w:rFonts w:hint="eastAsia"/>
              </w:rPr>
              <w:t>2024年7月委托天津中德工程设计有限公司编制《中国石化江西吉安石油分公司吉安南大道北加油站项目安全设施设计》，并于2024年8月21日</w:t>
            </w:r>
            <w:r>
              <w:t>取得《危险化学品建设项目安全设施设计审查意见书》（</w:t>
            </w:r>
            <w:r>
              <w:rPr>
                <w:rFonts w:hint="eastAsia"/>
              </w:rPr>
              <w:t>吉市危化项目安设审字[2024]20号</w:t>
            </w:r>
            <w:r>
              <w:t>）。</w:t>
            </w:r>
          </w:p>
          <w:p w14:paraId="037F1136">
            <w:pPr>
              <w:spacing w:line="240" w:lineRule="auto"/>
              <w:ind w:firstLine="560"/>
              <w:rPr>
                <w:rFonts w:hint="eastAsia"/>
                <w:snapToGrid w:val="0"/>
              </w:rPr>
            </w:pP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60BC4E94">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24BED707">
            <w:pPr>
              <w:keepNext w:val="0"/>
              <w:keepLines w:val="0"/>
              <w:widowControl/>
              <w:suppressLineNumbers w:val="0"/>
              <w:ind w:left="0" w:leftChars="0" w:firstLine="218" w:firstLineChars="104"/>
              <w:jc w:val="left"/>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4378960" cy="709930"/>
                  <wp:effectExtent l="0" t="0" r="2540" b="13970"/>
                  <wp:docPr id="12" name="图片 12" descr="工艺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工艺图片"/>
                          <pic:cNvPicPr>
                            <a:picLocks noChangeAspect="1"/>
                          </pic:cNvPicPr>
                        </pic:nvPicPr>
                        <pic:blipFill>
                          <a:blip r:embed="rId4"/>
                          <a:stretch>
                            <a:fillRect/>
                          </a:stretch>
                        </pic:blipFill>
                        <pic:spPr>
                          <a:xfrm>
                            <a:off x="0" y="0"/>
                            <a:ext cx="4378960" cy="709930"/>
                          </a:xfrm>
                          <a:prstGeom prst="rect">
                            <a:avLst/>
                          </a:prstGeom>
                        </pic:spPr>
                      </pic:pic>
                    </a:graphicData>
                  </a:graphic>
                </wp:inline>
              </w:drawing>
            </w:r>
          </w:p>
          <w:p w14:paraId="7CFABCC0">
            <w:pPr>
              <w:pStyle w:val="21"/>
              <w:ind w:left="0" w:leftChars="0" w:firstLine="0" w:firstLineChars="0"/>
            </w:pP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4A954F8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9419F03">
      <w:pPr>
        <w:rPr>
          <w:rFonts w:hint="eastAsia"/>
          <w:lang w:eastAsia="zh-CN"/>
        </w:rPr>
      </w:pPr>
      <w:r>
        <w:rPr>
          <w:rFonts w:hint="eastAsia"/>
          <w:lang w:eastAsia="zh-CN"/>
        </w:rPr>
        <w:br w:type="page"/>
      </w:r>
    </w:p>
    <w:p w14:paraId="4E46B583">
      <w:pPr>
        <w:rPr>
          <w:rFonts w:hint="eastAsia"/>
          <w:lang w:eastAsia="zh-CN"/>
        </w:rPr>
      </w:pPr>
      <w:r>
        <w:drawing>
          <wp:inline distT="0" distB="0" distL="114300" distR="114300">
            <wp:extent cx="5716270" cy="4038600"/>
            <wp:effectExtent l="0" t="0" r="1778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5"/>
                    <a:stretch>
                      <a:fillRect/>
                    </a:stretch>
                  </pic:blipFill>
                  <pic:spPr>
                    <a:xfrm>
                      <a:off x="0" y="0"/>
                      <a:ext cx="5716270" cy="4038600"/>
                    </a:xfrm>
                    <a:prstGeom prst="rect">
                      <a:avLst/>
                    </a:prstGeom>
                    <a:noFill/>
                    <a:ln>
                      <a:noFill/>
                    </a:ln>
                  </pic:spPr>
                </pic:pic>
              </a:graphicData>
            </a:graphic>
          </wp:inline>
        </w:drawing>
      </w:r>
      <w:r>
        <w:drawing>
          <wp:inline distT="0" distB="0" distL="114300" distR="114300">
            <wp:extent cx="5821680" cy="3639820"/>
            <wp:effectExtent l="0" t="0" r="7620" b="1778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6"/>
                    <a:stretch>
                      <a:fillRect/>
                    </a:stretch>
                  </pic:blipFill>
                  <pic:spPr>
                    <a:xfrm>
                      <a:off x="0" y="0"/>
                      <a:ext cx="5821680" cy="3639820"/>
                    </a:xfrm>
                    <a:prstGeom prst="rect">
                      <a:avLst/>
                    </a:prstGeom>
                    <a:noFill/>
                    <a:ln>
                      <a:noFill/>
                    </a:ln>
                  </pic:spPr>
                </pic:pic>
              </a:graphicData>
            </a:graphic>
          </wp:inline>
        </w:drawing>
      </w:r>
    </w:p>
    <w:p w14:paraId="58FEB898">
      <w:pPr>
        <w:rPr>
          <w:rFonts w:hint="eastAsia"/>
          <w:lang w:eastAsia="zh-CN"/>
        </w:rPr>
      </w:pPr>
    </w:p>
    <w:p w14:paraId="7F3E3485">
      <w:pPr>
        <w:rPr>
          <w:rFonts w:hint="eastAsia"/>
          <w:lang w:eastAsia="zh-CN"/>
        </w:rPr>
      </w:pPr>
    </w:p>
    <w:p w14:paraId="523DCE7C">
      <w:pPr>
        <w:rPr>
          <w:rFonts w:hint="eastAsia"/>
          <w:lang w:eastAsia="zh-CN"/>
        </w:rPr>
      </w:pPr>
      <w:r>
        <w:rPr>
          <w:rFonts w:hint="eastAsia"/>
          <w:lang w:eastAsia="zh-CN"/>
        </w:rPr>
        <w:br w:type="page"/>
      </w:r>
    </w:p>
    <w:p w14:paraId="2B1DFF98">
      <w:pPr>
        <w:pStyle w:val="21"/>
        <w:ind w:left="0" w:leftChars="0" w:firstLine="0" w:firstLineChars="0"/>
        <w:jc w:val="center"/>
        <w:rPr>
          <w:rFonts w:hint="eastAsia" w:eastAsia="宋体"/>
          <w:lang w:eastAsia="zh-CN"/>
        </w:rPr>
      </w:pPr>
      <w:r>
        <w:drawing>
          <wp:inline distT="0" distB="0" distL="114300" distR="114300">
            <wp:extent cx="5273675" cy="7534275"/>
            <wp:effectExtent l="0" t="0" r="317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3675" cy="7534275"/>
                    </a:xfrm>
                    <a:prstGeom prst="rect">
                      <a:avLst/>
                    </a:prstGeom>
                    <a:noFill/>
                    <a:ln>
                      <a:noFill/>
                    </a:ln>
                  </pic:spPr>
                </pic:pic>
              </a:graphicData>
            </a:graphic>
          </wp:inline>
        </w:drawing>
      </w:r>
      <w:r>
        <w:drawing>
          <wp:inline distT="0" distB="0" distL="114300" distR="114300">
            <wp:extent cx="5638165" cy="7857490"/>
            <wp:effectExtent l="0" t="0" r="63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638165" cy="7857490"/>
                    </a:xfrm>
                    <a:prstGeom prst="rect">
                      <a:avLst/>
                    </a:prstGeom>
                    <a:noFill/>
                    <a:ln>
                      <a:noFill/>
                    </a:ln>
                  </pic:spPr>
                </pic:pic>
              </a:graphicData>
            </a:graphic>
          </wp:inline>
        </w:drawing>
      </w:r>
      <w:r>
        <w:drawing>
          <wp:inline distT="0" distB="0" distL="114300" distR="114300">
            <wp:extent cx="5274310" cy="81851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74310" cy="8185150"/>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1E43C17"/>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D0227BA"/>
    <w:rsid w:val="0D073DB5"/>
    <w:rsid w:val="0D081033"/>
    <w:rsid w:val="0E564C3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AF71484"/>
    <w:rsid w:val="1B245A15"/>
    <w:rsid w:val="1B63147C"/>
    <w:rsid w:val="1C2F6387"/>
    <w:rsid w:val="1C3244B8"/>
    <w:rsid w:val="1C3E4E60"/>
    <w:rsid w:val="1C461987"/>
    <w:rsid w:val="1C4B6410"/>
    <w:rsid w:val="1C67088B"/>
    <w:rsid w:val="1C970306"/>
    <w:rsid w:val="1CD13F56"/>
    <w:rsid w:val="1CD14F1F"/>
    <w:rsid w:val="1CEA3399"/>
    <w:rsid w:val="1DA60EEB"/>
    <w:rsid w:val="1F0F5E71"/>
    <w:rsid w:val="1F142A61"/>
    <w:rsid w:val="1F373426"/>
    <w:rsid w:val="1F642D26"/>
    <w:rsid w:val="1FAC2BD1"/>
    <w:rsid w:val="1FC658C9"/>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F2686E"/>
    <w:rsid w:val="2E9E272A"/>
    <w:rsid w:val="2EAE6403"/>
    <w:rsid w:val="2EAF6F46"/>
    <w:rsid w:val="2F5C124E"/>
    <w:rsid w:val="31055C5A"/>
    <w:rsid w:val="3256187C"/>
    <w:rsid w:val="3259568C"/>
    <w:rsid w:val="32A31CA7"/>
    <w:rsid w:val="32A66941"/>
    <w:rsid w:val="334B2415"/>
    <w:rsid w:val="339918AA"/>
    <w:rsid w:val="33BD2F62"/>
    <w:rsid w:val="33C148CD"/>
    <w:rsid w:val="33E01751"/>
    <w:rsid w:val="341F407D"/>
    <w:rsid w:val="34BD4A82"/>
    <w:rsid w:val="351530F3"/>
    <w:rsid w:val="351B1DBB"/>
    <w:rsid w:val="35211925"/>
    <w:rsid w:val="35524794"/>
    <w:rsid w:val="36577381"/>
    <w:rsid w:val="366115C7"/>
    <w:rsid w:val="368F242B"/>
    <w:rsid w:val="36E75766"/>
    <w:rsid w:val="37285AB1"/>
    <w:rsid w:val="375C6F30"/>
    <w:rsid w:val="3781684D"/>
    <w:rsid w:val="3823766B"/>
    <w:rsid w:val="396748BA"/>
    <w:rsid w:val="39AC13AD"/>
    <w:rsid w:val="3A751F6D"/>
    <w:rsid w:val="3AAA1C17"/>
    <w:rsid w:val="3AB6680E"/>
    <w:rsid w:val="3AD61658"/>
    <w:rsid w:val="3ADD7367"/>
    <w:rsid w:val="3AF50232"/>
    <w:rsid w:val="3B251FB8"/>
    <w:rsid w:val="3B3712DA"/>
    <w:rsid w:val="3B516ED3"/>
    <w:rsid w:val="3B622014"/>
    <w:rsid w:val="3BFC6477"/>
    <w:rsid w:val="3C7D28D5"/>
    <w:rsid w:val="3C9506A5"/>
    <w:rsid w:val="3CE43836"/>
    <w:rsid w:val="3D027FC2"/>
    <w:rsid w:val="3D3D4FC4"/>
    <w:rsid w:val="3D4729D1"/>
    <w:rsid w:val="3DEB4A20"/>
    <w:rsid w:val="3E2D53F7"/>
    <w:rsid w:val="3EB62D94"/>
    <w:rsid w:val="3EEC7F81"/>
    <w:rsid w:val="3F0E1560"/>
    <w:rsid w:val="3F8E05A4"/>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9D18F3"/>
    <w:rsid w:val="4FB01626"/>
    <w:rsid w:val="4FF32FA8"/>
    <w:rsid w:val="50EA0B03"/>
    <w:rsid w:val="512A57AB"/>
    <w:rsid w:val="515A3854"/>
    <w:rsid w:val="5276471A"/>
    <w:rsid w:val="52B20F97"/>
    <w:rsid w:val="52CC47C0"/>
    <w:rsid w:val="52E07D49"/>
    <w:rsid w:val="5374510A"/>
    <w:rsid w:val="53B81EE5"/>
    <w:rsid w:val="53F5005F"/>
    <w:rsid w:val="550C37A2"/>
    <w:rsid w:val="563253F0"/>
    <w:rsid w:val="563D2137"/>
    <w:rsid w:val="565D015E"/>
    <w:rsid w:val="56836AB2"/>
    <w:rsid w:val="56BC2DE3"/>
    <w:rsid w:val="56D42C4D"/>
    <w:rsid w:val="56EF512A"/>
    <w:rsid w:val="57301D47"/>
    <w:rsid w:val="57487036"/>
    <w:rsid w:val="575D6537"/>
    <w:rsid w:val="57800B40"/>
    <w:rsid w:val="57CD2DFE"/>
    <w:rsid w:val="58244FE5"/>
    <w:rsid w:val="583628E4"/>
    <w:rsid w:val="584B13F6"/>
    <w:rsid w:val="59217B49"/>
    <w:rsid w:val="59656964"/>
    <w:rsid w:val="59A860E0"/>
    <w:rsid w:val="59D926D2"/>
    <w:rsid w:val="5A034680"/>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864468"/>
    <w:rsid w:val="629E5C56"/>
    <w:rsid w:val="62A05F08"/>
    <w:rsid w:val="62EA5BC6"/>
    <w:rsid w:val="630737FB"/>
    <w:rsid w:val="638C3AFD"/>
    <w:rsid w:val="63C25DAA"/>
    <w:rsid w:val="64126CC6"/>
    <w:rsid w:val="64640401"/>
    <w:rsid w:val="648F0582"/>
    <w:rsid w:val="64F540D9"/>
    <w:rsid w:val="6559245A"/>
    <w:rsid w:val="65622F6B"/>
    <w:rsid w:val="658C415A"/>
    <w:rsid w:val="65BD6D5B"/>
    <w:rsid w:val="66415650"/>
    <w:rsid w:val="66C53C4A"/>
    <w:rsid w:val="673B297E"/>
    <w:rsid w:val="678F323C"/>
    <w:rsid w:val="67F105D6"/>
    <w:rsid w:val="67FD6F7B"/>
    <w:rsid w:val="68233EA0"/>
    <w:rsid w:val="68A30209"/>
    <w:rsid w:val="68C86C57"/>
    <w:rsid w:val="69C2222A"/>
    <w:rsid w:val="6AA57F27"/>
    <w:rsid w:val="6CC37EB5"/>
    <w:rsid w:val="6D1139EB"/>
    <w:rsid w:val="6D27066C"/>
    <w:rsid w:val="6D3457FF"/>
    <w:rsid w:val="6E0E1EE1"/>
    <w:rsid w:val="6E2A4841"/>
    <w:rsid w:val="6EEF19E2"/>
    <w:rsid w:val="6F3D1DEF"/>
    <w:rsid w:val="6F8306AD"/>
    <w:rsid w:val="6F963F3C"/>
    <w:rsid w:val="6FB940CF"/>
    <w:rsid w:val="6FE54B28"/>
    <w:rsid w:val="71276AD1"/>
    <w:rsid w:val="7160445C"/>
    <w:rsid w:val="71697143"/>
    <w:rsid w:val="716C6A50"/>
    <w:rsid w:val="717476DC"/>
    <w:rsid w:val="717958C4"/>
    <w:rsid w:val="71BE777B"/>
    <w:rsid w:val="7207397B"/>
    <w:rsid w:val="729E3A33"/>
    <w:rsid w:val="72C43B37"/>
    <w:rsid w:val="73670AB5"/>
    <w:rsid w:val="737D1DEA"/>
    <w:rsid w:val="74150FF5"/>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CB65A5"/>
    <w:rsid w:val="79F44E86"/>
    <w:rsid w:val="79FE7AE0"/>
    <w:rsid w:val="7A083C89"/>
    <w:rsid w:val="7AA15E8B"/>
    <w:rsid w:val="7B424553"/>
    <w:rsid w:val="7BB96559"/>
    <w:rsid w:val="7BF25D18"/>
    <w:rsid w:val="7C304A31"/>
    <w:rsid w:val="7C6520EB"/>
    <w:rsid w:val="7C85225C"/>
    <w:rsid w:val="7D1943FF"/>
    <w:rsid w:val="7D7347EF"/>
    <w:rsid w:val="7D9755D5"/>
    <w:rsid w:val="7D9B14E2"/>
    <w:rsid w:val="7DB761A8"/>
    <w:rsid w:val="7DD52B5A"/>
    <w:rsid w:val="7E522673"/>
    <w:rsid w:val="7E81400A"/>
    <w:rsid w:val="7EA63A70"/>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5"/>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5">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6">
    <w:name w:val="heading 4"/>
    <w:basedOn w:val="1"/>
    <w:next w:val="1"/>
    <w:unhideWhenUsed/>
    <w:qFormat/>
    <w:uiPriority w:val="0"/>
    <w:pPr>
      <w:keepNext/>
      <w:keepLines/>
      <w:outlineLvl w:val="3"/>
    </w:pPr>
    <w:rPr>
      <w:b/>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ind w:firstLine="538" w:firstLineChars="192"/>
    </w:pPr>
    <w:rPr>
      <w:rFonts w:ascii="宋体" w:hAnsi="宋体"/>
      <w:sz w:val="28"/>
    </w:rPr>
  </w:style>
  <w:style w:type="paragraph" w:styleId="7">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8">
    <w:name w:val="Body Text"/>
    <w:basedOn w:val="1"/>
    <w:next w:val="1"/>
    <w:qFormat/>
    <w:uiPriority w:val="99"/>
    <w:rPr>
      <w:sz w:val="28"/>
      <w:szCs w:val="28"/>
    </w:rPr>
  </w:style>
  <w:style w:type="paragraph" w:styleId="9">
    <w:name w:val="Body Text Indent"/>
    <w:basedOn w:val="1"/>
    <w:next w:val="10"/>
    <w:unhideWhenUsed/>
    <w:qFormat/>
    <w:uiPriority w:val="99"/>
    <w:pPr>
      <w:spacing w:after="120"/>
      <w:ind w:left="420" w:leftChars="200"/>
    </w:pPr>
  </w:style>
  <w:style w:type="paragraph" w:styleId="10">
    <w:name w:val="toc 5"/>
    <w:basedOn w:val="1"/>
    <w:next w:val="1"/>
    <w:semiHidden/>
    <w:qFormat/>
    <w:uiPriority w:val="0"/>
    <w:pPr>
      <w:ind w:left="1120"/>
      <w:jc w:val="left"/>
    </w:pPr>
    <w:rPr>
      <w:sz w:val="18"/>
      <w:szCs w:val="18"/>
    </w:rPr>
  </w:style>
  <w:style w:type="paragraph" w:styleId="11">
    <w:name w:val="Plain Text"/>
    <w:basedOn w:val="1"/>
    <w:qFormat/>
    <w:uiPriority w:val="0"/>
    <w:rPr>
      <w:rFonts w:ascii="宋体" w:hAnsi="Courier New" w:cs="Courier New"/>
      <w:szCs w:val="21"/>
    </w:rPr>
  </w:style>
  <w:style w:type="paragraph" w:styleId="12">
    <w:name w:val="Date"/>
    <w:basedOn w:val="1"/>
    <w:next w:val="1"/>
    <w:link w:val="46"/>
    <w:qFormat/>
    <w:uiPriority w:val="0"/>
    <w:pPr>
      <w:ind w:left="100" w:leftChars="2500"/>
    </w:pPr>
    <w:rPr>
      <w:rFonts w:ascii="Times New Roman" w:hAnsi="Times New Roman"/>
      <w:b/>
      <w:bCs/>
      <w:sz w:val="28"/>
    </w:rPr>
  </w:style>
  <w:style w:type="paragraph" w:styleId="13">
    <w:name w:val="Balloon Text"/>
    <w:basedOn w:val="1"/>
    <w:link w:val="32"/>
    <w:qFormat/>
    <w:uiPriority w:val="0"/>
    <w:rPr>
      <w:sz w:val="18"/>
      <w:szCs w:val="18"/>
    </w:rPr>
  </w:style>
  <w:style w:type="paragraph" w:styleId="14">
    <w:name w:val="footer"/>
    <w:basedOn w:val="1"/>
    <w:next w:val="15"/>
    <w:qFormat/>
    <w:uiPriority w:val="0"/>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8"/>
    <w:next w:val="1"/>
    <w:qFormat/>
    <w:uiPriority w:val="0"/>
    <w:pPr>
      <w:spacing w:after="120"/>
      <w:ind w:firstLine="420" w:firstLineChars="100"/>
    </w:pPr>
  </w:style>
  <w:style w:type="paragraph" w:styleId="21">
    <w:name w:val="Body Text First Indent 2"/>
    <w:basedOn w:val="9"/>
    <w:next w:val="22"/>
    <w:unhideWhenUsed/>
    <w:qFormat/>
    <w:uiPriority w:val="99"/>
    <w:pPr>
      <w:ind w:firstLine="420" w:firstLineChars="200"/>
    </w:pPr>
  </w:style>
  <w:style w:type="paragraph" w:customStyle="1" w:styleId="22">
    <w:name w:val="正文2"/>
    <w:basedOn w:val="1"/>
    <w:qFormat/>
    <w:uiPriority w:val="0"/>
    <w:pPr>
      <w:spacing w:line="440" w:lineRule="atLeast"/>
      <w:ind w:firstLine="567"/>
    </w:pPr>
    <w:rPr>
      <w:sz w:val="24"/>
      <w:szCs w:val="20"/>
    </w:rPr>
  </w:style>
  <w:style w:type="paragraph" w:customStyle="1" w:styleId="25">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4"/>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4"/>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4"/>
    <w:link w:val="12"/>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6</Pages>
  <Words>847</Words>
  <Characters>1050</Characters>
  <Lines>8</Lines>
  <Paragraphs>2</Paragraphs>
  <TotalTime>0</TotalTime>
  <ScaleCrop>false</ScaleCrop>
  <LinksUpToDate>false</LinksUpToDate>
  <CharactersWithSpaces>1051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半世浮沉</cp:lastModifiedBy>
  <dcterms:modified xsi:type="dcterms:W3CDTF">2026-01-09T00:37:59Z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36657EBBF9304A29BC5805A30ED0A24D_13</vt:lpwstr>
  </property>
  <property fmtid="{D5CDD505-2E9C-101B-9397-08002B2CF9AE}" pid="4" name="KSOTemplateDocerSaveRecord">
    <vt:lpwstr>eyJoZGlkIjoiZWFiNjJmMGY3OTg0YWY0NTA0NjBmZTM3NmY0MDkxZjIiLCJ1c2VySWQiOiI0NTExNjk1MTUifQ==</vt:lpwstr>
  </property>
</Properties>
</file>