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宁阳驰顺石化有限公司经营危险化学品现状评价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left"/>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pStyle w:val="24"/>
              <w:adjustRightInd w:val="0"/>
              <w:snapToGrid w:val="0"/>
              <w:jc w:val="left"/>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w:t>
            </w:r>
            <w:r>
              <w:rPr>
                <w:rFonts w:hint="eastAsia"/>
                <w:color w:val="auto"/>
                <w:highlight w:val="none"/>
              </w:rPr>
              <w:t>双层储罐4台：</w:t>
            </w:r>
            <w:r>
              <w:rPr>
                <w:color w:val="auto"/>
                <w:highlight w:val="none"/>
              </w:rPr>
              <w:t>1</w:t>
            </w:r>
            <w:r>
              <w:rPr>
                <w:rFonts w:hint="eastAsia"/>
                <w:color w:val="auto"/>
                <w:highlight w:val="none"/>
              </w:rPr>
              <w:t>台30m</w:t>
            </w:r>
            <w:r>
              <w:rPr>
                <w:rFonts w:hint="eastAsia"/>
                <w:color w:val="auto"/>
                <w:highlight w:val="none"/>
                <w:vertAlign w:val="superscript"/>
              </w:rPr>
              <w:t>3</w:t>
            </w:r>
            <w:r>
              <w:rPr>
                <w:rFonts w:hint="eastAsia"/>
                <w:color w:val="auto"/>
                <w:highlight w:val="none"/>
              </w:rPr>
              <w:t>92#汽油罐、</w:t>
            </w:r>
            <w:r>
              <w:rPr>
                <w:color w:val="auto"/>
                <w:highlight w:val="none"/>
              </w:rPr>
              <w:t>1</w:t>
            </w:r>
            <w:r>
              <w:rPr>
                <w:rFonts w:hint="eastAsia"/>
                <w:color w:val="auto"/>
                <w:highlight w:val="none"/>
              </w:rPr>
              <w:t>台30m</w:t>
            </w:r>
            <w:r>
              <w:rPr>
                <w:rFonts w:hint="eastAsia"/>
                <w:color w:val="auto"/>
                <w:highlight w:val="none"/>
                <w:vertAlign w:val="superscript"/>
              </w:rPr>
              <w:t>3</w:t>
            </w:r>
            <w:r>
              <w:rPr>
                <w:rFonts w:hint="eastAsia"/>
                <w:color w:val="auto"/>
                <w:highlight w:val="none"/>
              </w:rPr>
              <w:t>95#汽油罐、2台50m</w:t>
            </w:r>
            <w:r>
              <w:rPr>
                <w:rFonts w:hint="eastAsia"/>
                <w:color w:val="auto"/>
                <w:highlight w:val="none"/>
                <w:vertAlign w:val="superscript"/>
              </w:rPr>
              <w:t>3</w:t>
            </w:r>
            <w:r>
              <w:rPr>
                <w:rFonts w:hint="eastAsia"/>
                <w:color w:val="auto"/>
                <w:highlight w:val="none"/>
              </w:rPr>
              <w:t>柴油罐，1台油气回收处理装置</w:t>
            </w:r>
            <w:r>
              <w:rPr>
                <w:rFonts w:hint="eastAsia"/>
                <w:color w:val="auto"/>
                <w:lang w:eastAsia="zh-CN"/>
              </w:rPr>
              <w:t>。</w:t>
            </w:r>
            <w:r>
              <w:rPr>
                <w:rFonts w:hint="eastAsia"/>
                <w:color w:val="auto"/>
                <w:lang w:val="en-US" w:eastAsia="zh-CN"/>
              </w:rPr>
              <w:t>加油站</w:t>
            </w:r>
            <w:r>
              <w:rPr>
                <w:color w:val="auto"/>
                <w:highlight w:val="none"/>
              </w:rPr>
              <w:t>设置罩棚一处，</w:t>
            </w:r>
            <w:r>
              <w:rPr>
                <w:rFonts w:hint="eastAsia"/>
                <w:color w:val="auto"/>
                <w:highlight w:val="none"/>
              </w:rPr>
              <w:t>罩棚下共设置4台双枪加油机</w:t>
            </w:r>
            <w:r>
              <w:rPr>
                <w:rFonts w:hint="eastAsia" w:ascii="宋体" w:hAnsi="宋体" w:cs="宋体"/>
                <w:bCs/>
                <w:color w:val="auto"/>
                <w:highlight w:val="none"/>
              </w:rPr>
              <w:t>：</w:t>
            </w:r>
            <w:r>
              <w:rPr>
                <w:rFonts w:hint="eastAsia" w:ascii="宋体" w:hAnsi="宋体"/>
                <w:color w:val="auto"/>
                <w:highlight w:val="none"/>
              </w:rPr>
              <w:t>2台柴油加油机、1台95#汽油加油机、1台0#/92#加油机</w:t>
            </w:r>
            <w:r>
              <w:rPr>
                <w:rFonts w:hint="eastAsia"/>
                <w:color w:val="auto"/>
                <w:highlight w:val="none"/>
              </w:rPr>
              <w:t>，均为潜油泵式</w:t>
            </w:r>
            <w:r>
              <w:rPr>
                <w:rFonts w:hint="eastAsia" w:ascii="宋体" w:hAnsi="宋体" w:eastAsia="宋体" w:cs="宋体"/>
                <w:color w:val="auto"/>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C126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7E328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6DD091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359"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2025.10.9</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2025.10.23</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2025.10.24</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2025.10.25</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安全评价报告提交时间：2025.11.6</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15BE2397">
      <w:pPr>
        <w:pStyle w:val="18"/>
        <w:widowControl w:val="0"/>
        <w:adjustRightInd w:val="0"/>
        <w:snapToGrid w:val="0"/>
        <w:spacing w:before="0" w:beforeLines="0" w:after="0" w:afterLines="0" w:line="360" w:lineRule="auto"/>
        <w:rPr>
          <w:color w:val="auto"/>
          <w:highlight w:val="none"/>
        </w:rPr>
      </w:pPr>
      <w:bookmarkStart w:id="0" w:name="_Toc102634226"/>
      <w:bookmarkStart w:id="1" w:name="_Toc102633969"/>
      <w:bookmarkStart w:id="2" w:name="_Toc102633895"/>
      <w:bookmarkStart w:id="3" w:name="_Toc19744"/>
      <w:bookmarkStart w:id="4" w:name="_Toc15033742"/>
      <w:r>
        <w:rPr>
          <w:color w:val="auto"/>
          <w:highlight w:val="none"/>
        </w:rPr>
        <w:t>第二章 加油站概况</w:t>
      </w:r>
      <w:bookmarkEnd w:id="0"/>
      <w:bookmarkEnd w:id="1"/>
      <w:bookmarkEnd w:id="2"/>
      <w:bookmarkEnd w:id="3"/>
      <w:bookmarkEnd w:id="4"/>
    </w:p>
    <w:p w14:paraId="3A6803B0">
      <w:pPr>
        <w:snapToGrid w:val="0"/>
        <w:spacing w:line="360" w:lineRule="auto"/>
        <w:jc w:val="center"/>
        <w:outlineLvl w:val="1"/>
        <w:rPr>
          <w:rFonts w:ascii="Calibri" w:hAnsi="Calibri" w:eastAsia="楷体_GB2312"/>
          <w:b/>
          <w:color w:val="auto"/>
          <w:kern w:val="0"/>
          <w:sz w:val="32"/>
          <w:szCs w:val="20"/>
          <w:highlight w:val="none"/>
        </w:rPr>
      </w:pPr>
      <w:bookmarkStart w:id="5" w:name="_Toc4524"/>
      <w:bookmarkStart w:id="6" w:name="_Toc272364524"/>
      <w:bookmarkStart w:id="7" w:name="_Toc208733856"/>
      <w:bookmarkStart w:id="8" w:name="_Toc102634227"/>
      <w:bookmarkStart w:id="9" w:name="_Toc26504"/>
      <w:bookmarkStart w:id="10" w:name="_Toc102633896"/>
      <w:bookmarkStart w:id="11" w:name="_Toc15033743"/>
      <w:bookmarkStart w:id="12" w:name="_Toc30066"/>
      <w:bookmarkStart w:id="13" w:name="_Toc102633970"/>
      <w:r>
        <w:rPr>
          <w:rFonts w:ascii="Calibri" w:hAnsi="Calibri" w:eastAsia="楷体_GB2312"/>
          <w:b/>
          <w:color w:val="auto"/>
          <w:kern w:val="0"/>
          <w:sz w:val="32"/>
          <w:szCs w:val="20"/>
          <w:highlight w:val="none"/>
        </w:rPr>
        <w:t>第一节 加油站基本情况</w:t>
      </w:r>
      <w:bookmarkEnd w:id="5"/>
      <w:bookmarkEnd w:id="6"/>
      <w:bookmarkEnd w:id="7"/>
      <w:bookmarkEnd w:id="8"/>
      <w:bookmarkEnd w:id="9"/>
      <w:bookmarkEnd w:id="10"/>
      <w:bookmarkEnd w:id="11"/>
      <w:bookmarkEnd w:id="12"/>
      <w:bookmarkEnd w:id="13"/>
    </w:p>
    <w:p w14:paraId="43625ABE">
      <w:pPr>
        <w:adjustRightInd w:val="0"/>
        <w:snapToGrid w:val="0"/>
        <w:spacing w:line="360" w:lineRule="auto"/>
        <w:ind w:firstLine="560" w:firstLineChars="200"/>
        <w:rPr>
          <w:rFonts w:ascii="宋体"/>
          <w:color w:val="auto"/>
          <w:highlight w:val="none"/>
        </w:rPr>
      </w:pPr>
      <w:r>
        <w:rPr>
          <w:rFonts w:hint="eastAsia" w:ascii="宋体" w:hAnsi="宋体"/>
          <w:color w:val="auto"/>
          <w:sz w:val="28"/>
          <w:szCs w:val="28"/>
          <w:highlight w:val="none"/>
        </w:rPr>
        <w:t>宁阳驰顺石化有限公司（原宁阳县东疏镇奔驰加油站）位于山东省泰安市宁阳县东疏镇后学村北200米蒙馆路南侧</w:t>
      </w:r>
      <w:r>
        <w:rPr>
          <w:rFonts w:hint="eastAsia" w:ascii="宋体" w:hAnsi="宋体" w:cs="宋体"/>
          <w:color w:val="auto"/>
          <w:sz w:val="28"/>
          <w:szCs w:val="28"/>
          <w:highlight w:val="none"/>
        </w:rPr>
        <w:t>。加油站北侧为G342国道（原名蒙馆路），南侧为空地，西侧村道、民房，东侧是架空通信线、林地，西南侧为架空电力线、架空通信线。</w:t>
      </w:r>
      <w:r>
        <w:rPr>
          <w:rFonts w:hint="eastAsia" w:ascii="宋体" w:hAnsi="宋体"/>
          <w:color w:val="auto"/>
          <w:sz w:val="28"/>
          <w:highlight w:val="none"/>
        </w:rPr>
        <w:t>该站经营许可范围为汽油、柴油，现其主要经营储存汽油、0#柴油（换季销售-</w:t>
      </w:r>
      <w:r>
        <w:rPr>
          <w:rFonts w:ascii="宋体" w:hAnsi="宋体"/>
          <w:color w:val="auto"/>
          <w:sz w:val="28"/>
          <w:highlight w:val="none"/>
        </w:rPr>
        <w:t>10#</w:t>
      </w:r>
      <w:r>
        <w:rPr>
          <w:rFonts w:hint="eastAsia" w:ascii="宋体" w:hAnsi="宋体"/>
          <w:color w:val="auto"/>
          <w:sz w:val="28"/>
          <w:highlight w:val="none"/>
        </w:rPr>
        <w:t>柴油）</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此次现状评价报告与上次报告相比，周边环境、站内设备设施、主要建构筑物未发生变化。</w:t>
      </w:r>
    </w:p>
    <w:p w14:paraId="2F4002C4">
      <w:pPr>
        <w:pStyle w:val="17"/>
        <w:widowControl w:val="0"/>
        <w:adjustRightInd w:val="0"/>
        <w:snapToGrid w:val="0"/>
        <w:spacing w:line="360" w:lineRule="auto"/>
        <w:ind w:firstLine="560"/>
        <w:rPr>
          <w:rFonts w:ascii="宋体" w:hAnsi="宋体"/>
          <w:color w:val="auto"/>
          <w:szCs w:val="28"/>
          <w:highlight w:val="none"/>
        </w:rPr>
      </w:pPr>
      <w:r>
        <w:rPr>
          <w:rFonts w:hint="eastAsia" w:ascii="宋体" w:hAnsi="宋体"/>
          <w:color w:val="auto"/>
          <w:szCs w:val="28"/>
          <w:highlight w:val="none"/>
        </w:rPr>
        <w:t>该加油站主要建有站房、罩棚、油罐区、加油区和洗车区等。</w:t>
      </w:r>
    </w:p>
    <w:p w14:paraId="45B6E794">
      <w:pPr>
        <w:pStyle w:val="17"/>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Cs w:val="28"/>
          <w:highlight w:val="none"/>
        </w:rPr>
        <w:t>加油区在站房北侧，</w:t>
      </w:r>
      <w:r>
        <w:rPr>
          <w:rFonts w:hint="eastAsia" w:ascii="宋体"/>
          <w:color w:val="auto"/>
          <w:highlight w:val="none"/>
        </w:rPr>
        <w:t>现有</w:t>
      </w:r>
      <w:r>
        <w:rPr>
          <w:rFonts w:hint="eastAsia"/>
          <w:color w:val="auto"/>
          <w:highlight w:val="none"/>
        </w:rPr>
        <w:t>4台双枪加油机</w:t>
      </w:r>
      <w:r>
        <w:rPr>
          <w:rFonts w:hint="eastAsia" w:ascii="宋体" w:hAnsi="宋体" w:cs="宋体"/>
          <w:bCs/>
          <w:color w:val="auto"/>
          <w:highlight w:val="none"/>
        </w:rPr>
        <w:t>：其中</w:t>
      </w:r>
      <w:r>
        <w:rPr>
          <w:rFonts w:hint="eastAsia" w:ascii="宋体" w:hAnsi="宋体"/>
          <w:color w:val="auto"/>
          <w:kern w:val="2"/>
          <w:szCs w:val="21"/>
          <w:highlight w:val="none"/>
        </w:rPr>
        <w:t>2台柴油加油机、1台95#汽油加油机、1台0#/92#加油机</w:t>
      </w:r>
      <w:r>
        <w:rPr>
          <w:rFonts w:hint="eastAsia" w:ascii="宋体"/>
          <w:color w:val="auto"/>
          <w:highlight w:val="none"/>
        </w:rPr>
        <w:t>，均为潜油泵式；</w:t>
      </w:r>
      <w:r>
        <w:rPr>
          <w:rFonts w:hint="eastAsia" w:ascii="宋体" w:hAnsi="宋体"/>
          <w:color w:val="auto"/>
          <w:szCs w:val="28"/>
          <w:highlight w:val="none"/>
        </w:rPr>
        <w:t>油罐区在站房西南侧，</w:t>
      </w:r>
      <w:r>
        <w:rPr>
          <w:rFonts w:hint="eastAsia" w:ascii="宋体"/>
          <w:color w:val="auto"/>
          <w:highlight w:val="none"/>
        </w:rPr>
        <w:t>现有</w:t>
      </w:r>
      <w:r>
        <w:rPr>
          <w:rFonts w:hint="eastAsia"/>
          <w:color w:val="auto"/>
          <w:highlight w:val="none"/>
        </w:rPr>
        <w:t>双层储罐4台：</w:t>
      </w:r>
      <w:r>
        <w:rPr>
          <w:rFonts w:hint="eastAsia" w:ascii="宋体" w:hAnsi="宋体"/>
          <w:color w:val="auto"/>
          <w:szCs w:val="28"/>
          <w:highlight w:val="none"/>
        </w:rPr>
        <w:t>1</w:t>
      </w:r>
      <w:r>
        <w:rPr>
          <w:rFonts w:hint="eastAsia" w:ascii="宋体"/>
          <w:color w:val="auto"/>
          <w:highlight w:val="none"/>
        </w:rPr>
        <w:t>台3</w:t>
      </w:r>
      <w:r>
        <w:rPr>
          <w:rFonts w:ascii="宋体"/>
          <w:color w:val="auto"/>
          <w:highlight w:val="none"/>
        </w:rPr>
        <w:t>0</w:t>
      </w:r>
      <w:r>
        <w:rPr>
          <w:rFonts w:hint="eastAsia" w:ascii="宋体"/>
          <w:color w:val="auto"/>
          <w:highlight w:val="none"/>
        </w:rPr>
        <w:t>m</w:t>
      </w:r>
      <w:r>
        <w:rPr>
          <w:rFonts w:hint="eastAsia" w:ascii="宋体"/>
          <w:color w:val="auto"/>
          <w:highlight w:val="none"/>
          <w:vertAlign w:val="superscript"/>
        </w:rPr>
        <w:t>3</w:t>
      </w:r>
      <w:r>
        <w:rPr>
          <w:rFonts w:hint="eastAsia" w:ascii="宋体"/>
          <w:color w:val="auto"/>
          <w:highlight w:val="none"/>
        </w:rPr>
        <w:t>92#汽油罐、</w:t>
      </w:r>
      <w:r>
        <w:rPr>
          <w:rFonts w:hint="eastAsia" w:ascii="宋体" w:hAnsi="宋体"/>
          <w:color w:val="auto"/>
          <w:szCs w:val="28"/>
          <w:highlight w:val="none"/>
        </w:rPr>
        <w:t>1</w:t>
      </w:r>
      <w:r>
        <w:rPr>
          <w:rFonts w:hint="eastAsia" w:ascii="宋体"/>
          <w:color w:val="auto"/>
          <w:highlight w:val="none"/>
        </w:rPr>
        <w:t>台3</w:t>
      </w:r>
      <w:r>
        <w:rPr>
          <w:rFonts w:ascii="宋体"/>
          <w:color w:val="auto"/>
          <w:highlight w:val="none"/>
        </w:rPr>
        <w:t>0</w:t>
      </w:r>
      <w:r>
        <w:rPr>
          <w:rFonts w:hint="eastAsia" w:ascii="宋体"/>
          <w:color w:val="auto"/>
          <w:highlight w:val="none"/>
        </w:rPr>
        <w:t>m</w:t>
      </w:r>
      <w:r>
        <w:rPr>
          <w:rFonts w:hint="eastAsia" w:ascii="宋体"/>
          <w:color w:val="auto"/>
          <w:highlight w:val="none"/>
          <w:vertAlign w:val="superscript"/>
        </w:rPr>
        <w:t>3</w:t>
      </w:r>
      <w:r>
        <w:rPr>
          <w:rFonts w:hint="eastAsia" w:ascii="宋体"/>
          <w:color w:val="auto"/>
          <w:highlight w:val="none"/>
        </w:rPr>
        <w:t>95#汽油罐、2台5</w:t>
      </w:r>
      <w:r>
        <w:rPr>
          <w:rFonts w:ascii="宋体"/>
          <w:color w:val="auto"/>
          <w:highlight w:val="none"/>
        </w:rPr>
        <w:t>0</w:t>
      </w:r>
      <w:r>
        <w:rPr>
          <w:rFonts w:hint="eastAsia" w:ascii="宋体"/>
          <w:color w:val="auto"/>
          <w:highlight w:val="none"/>
        </w:rPr>
        <w:t>m</w:t>
      </w:r>
      <w:r>
        <w:rPr>
          <w:rFonts w:hint="eastAsia" w:ascii="宋体"/>
          <w:color w:val="auto"/>
          <w:highlight w:val="none"/>
          <w:vertAlign w:val="superscript"/>
        </w:rPr>
        <w:t>3</w:t>
      </w:r>
      <w:r>
        <w:rPr>
          <w:rFonts w:hint="eastAsia" w:ascii="宋体"/>
          <w:color w:val="auto"/>
          <w:highlight w:val="none"/>
        </w:rPr>
        <w:t>柴油罐</w:t>
      </w:r>
      <w:r>
        <w:rPr>
          <w:rFonts w:hint="eastAsia"/>
          <w:color w:val="auto"/>
          <w:highlight w:val="none"/>
        </w:rPr>
        <w:t>，</w:t>
      </w:r>
      <w:r>
        <w:rPr>
          <w:rFonts w:hint="eastAsia" w:ascii="宋体"/>
          <w:color w:val="auto"/>
          <w:highlight w:val="none"/>
        </w:rPr>
        <w:t>卸油口位于罐区北侧；</w:t>
      </w:r>
      <w:r>
        <w:rPr>
          <w:rFonts w:hint="eastAsia" w:ascii="宋体" w:hAnsi="宋体"/>
          <w:color w:val="auto"/>
          <w:szCs w:val="28"/>
          <w:highlight w:val="none"/>
        </w:rPr>
        <w:t>4台油罐均安装了液位仪、检漏仪，</w:t>
      </w:r>
      <w:r>
        <w:rPr>
          <w:rFonts w:hint="eastAsia" w:ascii="宋体"/>
          <w:color w:val="auto"/>
          <w:highlight w:val="none"/>
        </w:rPr>
        <w:t>通气管5根（含油气回收处理装置1根）；加油区东侧设洗车机一处；加油区北侧设车用尿素溶液加注机一台；该站汽油设有卸油油气回收系统、加油油气回收系统及油气回收处理装置</w:t>
      </w:r>
      <w:r>
        <w:rPr>
          <w:rFonts w:hint="eastAsia" w:ascii="宋体" w:hAnsi="宋体"/>
          <w:color w:val="auto"/>
          <w:szCs w:val="28"/>
          <w:highlight w:val="none"/>
        </w:rPr>
        <w:t>；</w:t>
      </w:r>
      <w:r>
        <w:rPr>
          <w:rFonts w:hint="eastAsia" w:ascii="宋体"/>
          <w:color w:val="auto"/>
          <w:highlight w:val="none"/>
        </w:rPr>
        <w:t>按《汽车加油加气加氢站技术标准》GB50156-2021标准规定：V=60+100/2=110m</w:t>
      </w:r>
      <w:r>
        <w:rPr>
          <w:rFonts w:hint="eastAsia" w:ascii="宋体"/>
          <w:color w:val="auto"/>
          <w:highlight w:val="none"/>
          <w:vertAlign w:val="superscript"/>
        </w:rPr>
        <w:t>3</w:t>
      </w:r>
      <w:r>
        <w:rPr>
          <w:rFonts w:hint="eastAsia" w:ascii="宋体"/>
          <w:color w:val="auto"/>
          <w:highlight w:val="none"/>
        </w:rPr>
        <w:t>，该站属二级加油站。</w:t>
      </w:r>
    </w:p>
    <w:p w14:paraId="14DEF275">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1F397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4808363D">
            <w:pPr>
              <w:pStyle w:val="20"/>
              <w:widowControl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7E15A3CA">
            <w:pPr>
              <w:pStyle w:val="20"/>
              <w:widowControl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6E16E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79930DA6">
            <w:pPr>
              <w:pStyle w:val="20"/>
              <w:widowControl w:val="0"/>
              <w:spacing w:line="360" w:lineRule="auto"/>
              <w:rPr>
                <w:rFonts w:ascii="宋体" w:hAnsi="宋体"/>
                <w:b/>
                <w:bCs/>
                <w:color w:val="auto"/>
                <w:highlight w:val="none"/>
              </w:rPr>
            </w:pPr>
          </w:p>
        </w:tc>
        <w:tc>
          <w:tcPr>
            <w:tcW w:w="1667" w:type="pct"/>
            <w:vAlign w:val="center"/>
          </w:tcPr>
          <w:p w14:paraId="197F9C6F">
            <w:pPr>
              <w:pStyle w:val="20"/>
              <w:widowControl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4FA0FD01">
            <w:pPr>
              <w:pStyle w:val="20"/>
              <w:widowControl w:val="0"/>
              <w:spacing w:line="360" w:lineRule="auto"/>
              <w:rPr>
                <w:rFonts w:ascii="宋体" w:hAnsi="宋体"/>
                <w:b/>
                <w:bCs/>
                <w:color w:val="auto"/>
                <w:highlight w:val="none"/>
              </w:rPr>
            </w:pPr>
            <w:r>
              <w:rPr>
                <w:rFonts w:ascii="宋体" w:hAnsi="宋体"/>
                <w:b/>
                <w:bCs/>
                <w:color w:val="auto"/>
                <w:highlight w:val="none"/>
              </w:rPr>
              <w:t>单罐容积</w:t>
            </w:r>
          </w:p>
        </w:tc>
      </w:tr>
      <w:tr w14:paraId="6DC8E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0EBD6D5">
            <w:pPr>
              <w:pStyle w:val="20"/>
              <w:widowControl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729D5FB3">
            <w:pPr>
              <w:pStyle w:val="20"/>
              <w:widowControl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1A6D4A52">
            <w:pPr>
              <w:pStyle w:val="20"/>
              <w:widowControl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3C401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F5AB7AA">
            <w:pPr>
              <w:pStyle w:val="20"/>
              <w:widowControl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6644E5AC">
            <w:pPr>
              <w:pStyle w:val="20"/>
              <w:widowControl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7C2BED6B">
            <w:pPr>
              <w:pStyle w:val="20"/>
              <w:widowControl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6A281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2D84B1F">
            <w:pPr>
              <w:pStyle w:val="20"/>
              <w:widowControl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3EC68621">
            <w:pPr>
              <w:pStyle w:val="20"/>
              <w:widowControl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61147DB9">
            <w:pPr>
              <w:pStyle w:val="20"/>
              <w:widowControl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1FC5B2F1">
      <w:pPr>
        <w:pStyle w:val="21"/>
        <w:widowControl w:val="0"/>
        <w:spacing w:line="360" w:lineRule="auto"/>
        <w:ind w:firstLine="436"/>
        <w:rPr>
          <w:color w:val="auto"/>
          <w:highlight w:val="none"/>
        </w:rPr>
      </w:pPr>
      <w:r>
        <w:rPr>
          <w:color w:val="auto"/>
          <w:highlight w:val="none"/>
        </w:rPr>
        <w:t>注：</w:t>
      </w:r>
      <w:r>
        <w:rPr>
          <w:rFonts w:hint="eastAsia"/>
          <w:color w:val="auto"/>
          <w:highlight w:val="none"/>
        </w:rPr>
        <w:t>V为油罐总容积。</w:t>
      </w:r>
      <w:r>
        <w:rPr>
          <w:color w:val="auto"/>
          <w:highlight w:val="none"/>
        </w:rPr>
        <w:t>柴油罐容积可折半计入油罐总容积。</w:t>
      </w:r>
    </w:p>
    <w:p w14:paraId="7E6E83B7">
      <w:pPr>
        <w:pStyle w:val="17"/>
        <w:widowControl w:val="0"/>
        <w:adjustRightInd w:val="0"/>
        <w:snapToGrid w:val="0"/>
        <w:spacing w:line="360" w:lineRule="auto"/>
        <w:ind w:firstLine="560"/>
        <w:rPr>
          <w:rFonts w:ascii="宋体"/>
          <w:color w:val="auto"/>
          <w:highlight w:val="none"/>
        </w:rPr>
      </w:pPr>
      <w:r>
        <w:rPr>
          <w:rFonts w:ascii="宋体"/>
          <w:color w:val="auto"/>
          <w:highlight w:val="none"/>
        </w:rPr>
        <w:t>该站现有职工</w:t>
      </w:r>
      <w:r>
        <w:rPr>
          <w:rFonts w:hint="eastAsia" w:ascii="宋体"/>
          <w:color w:val="auto"/>
          <w:highlight w:val="none"/>
        </w:rPr>
        <w:t>6人</w:t>
      </w:r>
      <w:r>
        <w:rPr>
          <w:rFonts w:ascii="宋体"/>
          <w:color w:val="auto"/>
          <w:highlight w:val="none"/>
        </w:rPr>
        <w:t>，</w:t>
      </w:r>
      <w:r>
        <w:rPr>
          <w:rFonts w:hint="eastAsia" w:ascii="宋体"/>
          <w:color w:val="auto"/>
          <w:highlight w:val="none"/>
        </w:rPr>
        <w:t>其中主要</w:t>
      </w:r>
      <w:r>
        <w:rPr>
          <w:rFonts w:ascii="宋体"/>
          <w:color w:val="auto"/>
          <w:highlight w:val="none"/>
        </w:rPr>
        <w:t>负责人</w:t>
      </w:r>
      <w:r>
        <w:rPr>
          <w:rFonts w:hint="eastAsia" w:ascii="宋体"/>
          <w:color w:val="auto"/>
          <w:highlight w:val="none"/>
        </w:rPr>
        <w:t>1</w:t>
      </w:r>
      <w:r>
        <w:rPr>
          <w:rFonts w:ascii="宋体"/>
          <w:color w:val="auto"/>
          <w:highlight w:val="none"/>
        </w:rPr>
        <w:t>人，</w:t>
      </w:r>
      <w:r>
        <w:rPr>
          <w:rFonts w:hint="eastAsia" w:ascii="宋体"/>
          <w:color w:val="auto"/>
          <w:highlight w:val="none"/>
        </w:rPr>
        <w:t>安全生产管理</w:t>
      </w:r>
      <w:r>
        <w:rPr>
          <w:rFonts w:ascii="宋体"/>
          <w:color w:val="auto"/>
          <w:highlight w:val="none"/>
        </w:rPr>
        <w:t>员</w:t>
      </w:r>
      <w:r>
        <w:rPr>
          <w:rFonts w:hint="eastAsia" w:ascii="宋体"/>
          <w:color w:val="auto"/>
          <w:highlight w:val="none"/>
        </w:rPr>
        <w:t>1人。主要负责人和安全生产管理人员</w:t>
      </w:r>
      <w:r>
        <w:rPr>
          <w:rFonts w:ascii="宋体"/>
          <w:color w:val="auto"/>
          <w:highlight w:val="none"/>
        </w:rPr>
        <w:t>已</w:t>
      </w:r>
      <w:r>
        <w:rPr>
          <w:rFonts w:hint="eastAsia" w:ascii="宋体"/>
          <w:color w:val="auto"/>
          <w:highlight w:val="none"/>
        </w:rPr>
        <w:t>参加了</w:t>
      </w:r>
      <w:r>
        <w:rPr>
          <w:rFonts w:ascii="宋体"/>
          <w:color w:val="auto"/>
          <w:highlight w:val="none"/>
        </w:rPr>
        <w:t>危险化学品安全管理培训，</w:t>
      </w:r>
      <w:r>
        <w:rPr>
          <w:rFonts w:hint="eastAsia" w:ascii="宋体"/>
          <w:color w:val="auto"/>
          <w:highlight w:val="none"/>
        </w:rPr>
        <w:t>并取得考核合格证，</w:t>
      </w:r>
      <w:r>
        <w:rPr>
          <w:rFonts w:ascii="宋体"/>
          <w:color w:val="auto"/>
          <w:highlight w:val="none"/>
        </w:rPr>
        <w:t>详见附件。</w:t>
      </w:r>
    </w:p>
    <w:p w14:paraId="70BFFE36">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韩立栋（加油站原房东）于2005年9月3日与宁阳县东疏镇人民政府签定了《土地使用权转让协议书》，土地使用权限为50年，有效期至2055年9月3日，详见附件。</w:t>
      </w:r>
    </w:p>
    <w:p w14:paraId="10884BD7">
      <w:pPr>
        <w:adjustRightInd w:val="0"/>
        <w:snapToGrid w:val="0"/>
        <w:spacing w:line="360" w:lineRule="auto"/>
        <w:ind w:firstLine="560" w:firstLineChars="200"/>
        <w:rPr>
          <w:rFonts w:ascii="宋体" w:hAnsi="宋体"/>
          <w:color w:val="auto"/>
          <w:sz w:val="28"/>
          <w:szCs w:val="28"/>
          <w:highlight w:val="none"/>
        </w:rPr>
      </w:pPr>
      <w:r>
        <w:rPr>
          <w:rFonts w:hint="eastAsia" w:ascii="宋体"/>
          <w:color w:val="auto"/>
          <w:kern w:val="0"/>
          <w:sz w:val="28"/>
          <w:szCs w:val="20"/>
          <w:highlight w:val="none"/>
        </w:rPr>
        <w:t>加油站</w:t>
      </w:r>
      <w:r>
        <w:rPr>
          <w:rFonts w:hint="eastAsia" w:ascii="宋体" w:hAnsi="宋体"/>
          <w:color w:val="auto"/>
          <w:sz w:val="28"/>
          <w:szCs w:val="28"/>
          <w:highlight w:val="none"/>
        </w:rPr>
        <w:t>（曾用名为宁阳县东疏镇奔驰加油站）</w:t>
      </w:r>
      <w:r>
        <w:rPr>
          <w:rFonts w:hint="eastAsia" w:ascii="宋体"/>
          <w:color w:val="auto"/>
          <w:kern w:val="0"/>
          <w:sz w:val="28"/>
          <w:szCs w:val="20"/>
          <w:highlight w:val="none"/>
        </w:rPr>
        <w:t>于2007年11月6日取得了宁阳县公安消防大队出具的</w:t>
      </w:r>
      <w:r>
        <w:rPr>
          <w:rFonts w:hint="eastAsia" w:ascii="宋体" w:hAnsi="宋体"/>
          <w:color w:val="auto"/>
          <w:sz w:val="28"/>
          <w:szCs w:val="28"/>
          <w:highlight w:val="none"/>
        </w:rPr>
        <w:t>《建筑工程消防验收意见书》，编号：宁公消验字[2006]第32号，详见附件。</w:t>
      </w:r>
    </w:p>
    <w:p w14:paraId="57D23213">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加油站于2023年1月2日换发了《危险化学品经营许可证》，证书编号：鲁泰危化经[2023]000497号，证书有效期至2026年1月1日，证书见附件。</w:t>
      </w:r>
    </w:p>
    <w:p w14:paraId="35D7DADE">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该站编制了生产安全事故应急预案，于2024年12月1</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日在宁阳县应急管理局进行了备案，备案编号为：370921-2024-YJ0091，详见附件。</w:t>
      </w:r>
    </w:p>
    <w:p w14:paraId="34F459EE">
      <w:pPr>
        <w:adjustRightInd w:val="0"/>
        <w:snapToGrid w:val="0"/>
        <w:spacing w:line="360" w:lineRule="auto"/>
        <w:ind w:firstLine="560" w:firstLineChars="200"/>
        <w:rPr>
          <w:rFonts w:ascii="宋体" w:hAnsi="宋体"/>
          <w:color w:val="auto"/>
          <w:sz w:val="28"/>
          <w:szCs w:val="28"/>
          <w:highlight w:val="none"/>
        </w:rPr>
      </w:pPr>
      <w:bookmarkStart w:id="14" w:name="_Hlk508440011"/>
      <w:r>
        <w:rPr>
          <w:rFonts w:hint="eastAsia" w:ascii="宋体" w:hAnsi="宋体"/>
          <w:color w:val="auto"/>
          <w:sz w:val="28"/>
          <w:szCs w:val="28"/>
          <w:highlight w:val="none"/>
        </w:rPr>
        <w:t>加油站于202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年0</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15</w:t>
      </w:r>
      <w:r>
        <w:rPr>
          <w:rFonts w:hint="eastAsia" w:ascii="宋体" w:hAnsi="宋体"/>
          <w:color w:val="auto"/>
          <w:sz w:val="28"/>
          <w:szCs w:val="28"/>
          <w:highlight w:val="none"/>
        </w:rPr>
        <w:t>日换发了《成品油零售经营批准证书》，证书编号：鲁油零售证书第3709043006号，证书有效期至20</w:t>
      </w:r>
      <w:r>
        <w:rPr>
          <w:rFonts w:hint="eastAsia" w:ascii="宋体" w:hAnsi="宋体"/>
          <w:color w:val="auto"/>
          <w:sz w:val="28"/>
          <w:szCs w:val="28"/>
          <w:highlight w:val="none"/>
          <w:lang w:val="en-US" w:eastAsia="zh-CN"/>
        </w:rPr>
        <w:t>30</w:t>
      </w:r>
      <w:r>
        <w:rPr>
          <w:rFonts w:hint="eastAsia" w:ascii="宋体" w:hAnsi="宋体"/>
          <w:color w:val="auto"/>
          <w:sz w:val="28"/>
          <w:szCs w:val="28"/>
          <w:highlight w:val="none"/>
        </w:rPr>
        <w:t>年0</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15</w:t>
      </w:r>
      <w:r>
        <w:rPr>
          <w:rFonts w:hint="eastAsia" w:ascii="宋体" w:hAnsi="宋体"/>
          <w:color w:val="auto"/>
          <w:sz w:val="28"/>
          <w:szCs w:val="28"/>
          <w:highlight w:val="none"/>
        </w:rPr>
        <w:t>日，证书见附件。</w:t>
      </w:r>
    </w:p>
    <w:bookmarkEnd w:id="14"/>
    <w:p w14:paraId="1D2ACCCA">
      <w:pPr>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山东泰吉检测技术有限公司对该站进行了相关防雷设施的检测，出具了合格的《雷电防护装置定期检测报告》，报告编号：1122024001[2025]D</w:t>
      </w:r>
      <w:r>
        <w:rPr>
          <w:rFonts w:hint="eastAsia" w:ascii="宋体" w:hAnsi="宋体"/>
          <w:color w:val="auto"/>
          <w:sz w:val="28"/>
          <w:szCs w:val="28"/>
          <w:highlight w:val="none"/>
          <w:lang w:val="en-US" w:eastAsia="zh-CN"/>
        </w:rPr>
        <w:t>190</w:t>
      </w:r>
      <w:r>
        <w:rPr>
          <w:rFonts w:hint="eastAsia" w:ascii="宋体" w:hAnsi="宋体"/>
          <w:color w:val="auto"/>
          <w:sz w:val="28"/>
          <w:szCs w:val="28"/>
          <w:highlight w:val="none"/>
        </w:rPr>
        <w:t>，防雷类别：二类，结论为“</w:t>
      </w:r>
      <w:r>
        <w:rPr>
          <w:rFonts w:hint="eastAsia" w:ascii="宋体" w:hAnsi="宋体"/>
          <w:color w:val="auto"/>
          <w:sz w:val="28"/>
          <w:szCs w:val="28"/>
          <w:highlight w:val="none"/>
          <w:lang w:val="en-US" w:eastAsia="zh-CN"/>
        </w:rPr>
        <w:t>合格：</w:t>
      </w:r>
      <w:r>
        <w:rPr>
          <w:rFonts w:hint="eastAsia" w:ascii="宋体" w:hAnsi="宋体"/>
          <w:color w:val="auto"/>
          <w:sz w:val="28"/>
          <w:szCs w:val="28"/>
          <w:highlight w:val="none"/>
        </w:rPr>
        <w:t>防雷装置符合现行国家防雷规范标准要求”，有效期至202</w:t>
      </w: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年</w:t>
      </w:r>
      <w:r>
        <w:rPr>
          <w:rFonts w:hint="eastAsia" w:ascii="宋体" w:hAnsi="宋体"/>
          <w:color w:val="auto"/>
          <w:sz w:val="28"/>
          <w:szCs w:val="28"/>
          <w:highlight w:val="none"/>
          <w:lang w:val="en-US" w:eastAsia="zh-CN"/>
        </w:rPr>
        <w:t>05</w:t>
      </w:r>
      <w:r>
        <w:rPr>
          <w:rFonts w:hint="eastAsia" w:ascii="宋体" w:hAnsi="宋体"/>
          <w:color w:val="auto"/>
          <w:sz w:val="28"/>
          <w:szCs w:val="28"/>
          <w:highlight w:val="none"/>
        </w:rPr>
        <w:t>月06日，检测报告见附件。</w:t>
      </w:r>
    </w:p>
    <w:p w14:paraId="044E63FB">
      <w:pPr>
        <w:adjustRightInd w:val="0"/>
        <w:snapToGrid w:val="0"/>
        <w:spacing w:line="360" w:lineRule="auto"/>
        <w:ind w:firstLine="560" w:firstLineChars="200"/>
        <w:rPr>
          <w:rFonts w:hint="eastAsia" w:ascii="宋体" w:hAnsi="宋体"/>
          <w:color w:val="auto"/>
          <w:sz w:val="28"/>
          <w:szCs w:val="28"/>
          <w:highlight w:val="none"/>
        </w:rPr>
      </w:pPr>
      <w:r>
        <w:rPr>
          <w:rFonts w:hint="eastAsia" w:ascii="宋体" w:hAnsi="宋体"/>
          <w:color w:val="auto"/>
          <w:sz w:val="28"/>
          <w:szCs w:val="28"/>
          <w:highlight w:val="none"/>
        </w:rPr>
        <w:t>公司在</w:t>
      </w:r>
      <w:r>
        <w:rPr>
          <w:rFonts w:hint="eastAsia" w:ascii="宋体" w:hAnsi="宋体"/>
          <w:color w:val="auto"/>
          <w:sz w:val="28"/>
          <w:szCs w:val="28"/>
          <w:highlight w:val="none"/>
          <w:lang w:val="en-US" w:eastAsia="zh-CN"/>
        </w:rPr>
        <w:t>中国平安</w:t>
      </w:r>
      <w:r>
        <w:rPr>
          <w:rFonts w:hint="eastAsia" w:ascii="宋体" w:hAnsi="宋体"/>
          <w:color w:val="auto"/>
          <w:sz w:val="28"/>
          <w:szCs w:val="28"/>
          <w:highlight w:val="none"/>
        </w:rPr>
        <w:t>财产保险股份有限公司</w:t>
      </w:r>
      <w:r>
        <w:rPr>
          <w:rFonts w:hint="eastAsia" w:ascii="宋体" w:hAnsi="宋体"/>
          <w:color w:val="auto"/>
          <w:sz w:val="28"/>
          <w:szCs w:val="28"/>
          <w:highlight w:val="none"/>
          <w:lang w:val="en-US" w:eastAsia="zh-CN"/>
        </w:rPr>
        <w:t>山东分</w:t>
      </w:r>
      <w:r>
        <w:rPr>
          <w:rFonts w:hint="eastAsia" w:ascii="宋体" w:hAnsi="宋体"/>
          <w:color w:val="auto"/>
          <w:sz w:val="28"/>
          <w:szCs w:val="28"/>
          <w:highlight w:val="none"/>
        </w:rPr>
        <w:t>公司投保安全生产责任保险，保单号为13612043902913684731，保险期限自2025年04月04日起至2026年04月03日止，详见附件。</w:t>
      </w:r>
    </w:p>
    <w:p w14:paraId="106AEF98">
      <w:pPr>
        <w:adjustRightInd w:val="0"/>
        <w:snapToGrid w:val="0"/>
        <w:spacing w:line="360" w:lineRule="auto"/>
        <w:ind w:firstLine="560" w:firstLineChars="200"/>
        <w:rPr>
          <w:rFonts w:ascii="宋体"/>
          <w:color w:val="auto"/>
          <w:sz w:val="28"/>
          <w:szCs w:val="28"/>
          <w:highlight w:val="none"/>
        </w:rPr>
      </w:pPr>
      <w:r>
        <w:rPr>
          <w:rFonts w:hint="eastAsia" w:ascii="宋体" w:hAnsi="宋体"/>
          <w:color w:val="auto"/>
          <w:sz w:val="28"/>
          <w:szCs w:val="28"/>
          <w:highlight w:val="none"/>
        </w:rPr>
        <w:t>河南明安检测技术有限公司于202</w:t>
      </w: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年1</w:t>
      </w:r>
      <w:r>
        <w:rPr>
          <w:rFonts w:hint="eastAsia" w:ascii="宋体" w:hAnsi="宋体"/>
          <w:color w:val="auto"/>
          <w:sz w:val="28"/>
          <w:szCs w:val="28"/>
          <w:highlight w:val="none"/>
          <w:lang w:val="en-US" w:eastAsia="zh-CN"/>
        </w:rPr>
        <w:t>0</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27日</w:t>
      </w:r>
      <w:r>
        <w:rPr>
          <w:rFonts w:hint="eastAsia" w:ascii="宋体" w:hAnsi="宋体"/>
          <w:color w:val="auto"/>
          <w:sz w:val="28"/>
          <w:szCs w:val="28"/>
          <w:highlight w:val="none"/>
        </w:rPr>
        <w:t>，对该站的可燃气体探测器进行了检验，</w:t>
      </w:r>
      <w:r>
        <w:rPr>
          <w:rFonts w:hint="eastAsia" w:ascii="宋体" w:hAnsi="宋体"/>
          <w:color w:val="auto"/>
          <w:sz w:val="28"/>
          <w:szCs w:val="28"/>
          <w:highlight w:val="none"/>
          <w:lang w:val="en-US" w:eastAsia="zh-CN"/>
        </w:rPr>
        <w:t>并出具</w:t>
      </w:r>
      <w:r>
        <w:rPr>
          <w:rFonts w:hint="eastAsia" w:ascii="宋体" w:hAnsi="宋体"/>
          <w:color w:val="auto"/>
          <w:sz w:val="28"/>
          <w:szCs w:val="28"/>
          <w:highlight w:val="none"/>
        </w:rPr>
        <w:t>合格的《</w:t>
      </w:r>
      <w:r>
        <w:rPr>
          <w:rFonts w:hint="eastAsia" w:ascii="宋体" w:hAnsi="宋体"/>
          <w:color w:val="auto"/>
          <w:sz w:val="28"/>
          <w:szCs w:val="28"/>
          <w:highlight w:val="none"/>
          <w:lang w:val="en-US" w:eastAsia="zh-CN"/>
        </w:rPr>
        <w:t>检验报告</w:t>
      </w:r>
      <w:r>
        <w:rPr>
          <w:rFonts w:hint="eastAsia" w:ascii="宋体" w:hAnsi="宋体"/>
          <w:color w:val="auto"/>
          <w:sz w:val="28"/>
          <w:szCs w:val="28"/>
          <w:highlight w:val="none"/>
        </w:rPr>
        <w:t>》</w:t>
      </w:r>
      <w:r>
        <w:rPr>
          <w:rFonts w:hint="eastAsia" w:ascii="宋体" w:hAnsi="宋体"/>
          <w:color w:val="auto"/>
          <w:sz w:val="28"/>
          <w:szCs w:val="28"/>
          <w:highlight w:val="none"/>
          <w:lang w:eastAsia="zh-CN"/>
        </w:rPr>
        <w:t>，</w:t>
      </w:r>
      <w:r>
        <w:rPr>
          <w:rFonts w:hint="eastAsia" w:ascii="宋体" w:hAnsi="宋体"/>
          <w:color w:val="auto"/>
          <w:sz w:val="28"/>
          <w:szCs w:val="28"/>
          <w:highlight w:val="none"/>
        </w:rPr>
        <w:t>测试结果为合格，有效期</w:t>
      </w:r>
      <w:r>
        <w:rPr>
          <w:rFonts w:hint="eastAsia" w:ascii="宋体" w:hAnsi="宋体"/>
          <w:color w:val="auto"/>
          <w:sz w:val="28"/>
          <w:szCs w:val="28"/>
          <w:highlight w:val="none"/>
          <w:lang w:val="en-US" w:eastAsia="zh-CN"/>
        </w:rPr>
        <w:t>至2026年10月26日</w:t>
      </w:r>
      <w:r>
        <w:rPr>
          <w:rFonts w:hint="eastAsia" w:ascii="宋体" w:hAnsi="宋体"/>
          <w:color w:val="auto"/>
          <w:sz w:val="28"/>
          <w:szCs w:val="28"/>
          <w:highlight w:val="none"/>
        </w:rPr>
        <w:t>，详见</w:t>
      </w:r>
      <w:r>
        <w:rPr>
          <w:rFonts w:hint="eastAsia" w:ascii="宋体" w:hAnsi="宋体"/>
          <w:color w:val="auto"/>
          <w:sz w:val="28"/>
          <w:szCs w:val="28"/>
          <w:highlight w:val="none"/>
          <w:lang w:val="en-US" w:eastAsia="zh-CN"/>
        </w:rPr>
        <w:t>附件</w:t>
      </w:r>
      <w:r>
        <w:rPr>
          <w:rFonts w:hint="eastAsia" w:ascii="宋体" w:hAnsi="宋体"/>
          <w:color w:val="auto"/>
          <w:sz w:val="28"/>
          <w:szCs w:val="28"/>
          <w:highlight w:val="none"/>
        </w:rPr>
        <w:t>。</w:t>
      </w:r>
    </w:p>
    <w:p w14:paraId="7176503D">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62F132F0">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基本健全，有生产经营单位生产事故应急预案，并定期进行应急救援演练。该加油站消防器材配备齐全，加油站配备了35kg推车式干粉灭火器2具，8kg手提式干粉灭火器8具，5kg手提式干粉灭火器6具，</w:t>
      </w:r>
      <w:r>
        <w:rPr>
          <w:rFonts w:hint="eastAsia" w:ascii="宋体" w:hAnsi="宋体" w:cs="宋体"/>
          <w:bCs/>
          <w:color w:val="auto"/>
          <w:highlight w:val="none"/>
        </w:rPr>
        <w:t>手提式泡沫灭火器4具</w:t>
      </w:r>
      <w:r>
        <w:rPr>
          <w:rFonts w:hint="eastAsia" w:ascii="宋体" w:hAnsi="宋体" w:cs="宋体"/>
          <w:bCs/>
          <w:color w:val="auto"/>
          <w:highlight w:val="none"/>
          <w:lang w:eastAsia="zh-CN"/>
        </w:rPr>
        <w:t>，</w:t>
      </w:r>
      <w:r>
        <w:rPr>
          <w:rFonts w:hint="eastAsia" w:ascii="宋体"/>
          <w:color w:val="auto"/>
          <w:highlight w:val="none"/>
        </w:rPr>
        <w:t>CO</w:t>
      </w:r>
      <w:r>
        <w:rPr>
          <w:rFonts w:hint="eastAsia" w:ascii="宋体"/>
          <w:color w:val="auto"/>
          <w:highlight w:val="none"/>
          <w:vertAlign w:val="subscript"/>
        </w:rPr>
        <w:t>2</w:t>
      </w:r>
      <w:r>
        <w:rPr>
          <w:rFonts w:hint="eastAsia" w:ascii="宋体"/>
          <w:color w:val="auto"/>
          <w:highlight w:val="none"/>
        </w:rPr>
        <w:t>灭火器4具，灭火毯6块，消防锨2把，消防桶2个，消防沙池2m</w:t>
      </w:r>
      <w:r>
        <w:rPr>
          <w:rFonts w:hint="eastAsia" w:ascii="宋体"/>
          <w:color w:val="auto"/>
          <w:highlight w:val="none"/>
          <w:vertAlign w:val="superscript"/>
        </w:rPr>
        <w:t>3</w:t>
      </w:r>
      <w:r>
        <w:rPr>
          <w:rFonts w:hint="eastAsia" w:ascii="宋体"/>
          <w:color w:val="auto"/>
          <w:highlight w:val="none"/>
        </w:rPr>
        <w:t>。</w:t>
      </w:r>
    </w:p>
    <w:p w14:paraId="1033DE9C">
      <w:pPr>
        <w:pStyle w:val="18"/>
        <w:spacing w:before="312" w:after="312"/>
        <w:rPr>
          <w:color w:val="auto"/>
        </w:rPr>
      </w:pPr>
      <w:r>
        <w:rPr>
          <w:rFonts w:hint="eastAsia"/>
          <w:color w:val="auto"/>
        </w:rPr>
        <w:t>第四章 评价单元划分与评价方法选择</w:t>
      </w:r>
    </w:p>
    <w:p w14:paraId="30EFAFE2">
      <w:pPr>
        <w:pStyle w:val="4"/>
        <w:spacing w:before="312" w:beforeLines="100" w:after="312" w:afterLines="100" w:line="360" w:lineRule="auto"/>
        <w:ind w:firstLine="0"/>
        <w:rPr>
          <w:color w:val="auto"/>
        </w:rPr>
      </w:pPr>
      <w:bookmarkStart w:id="15" w:name="_Toc102634407"/>
      <w:bookmarkStart w:id="16" w:name="_Toc102634256"/>
      <w:bookmarkStart w:id="17" w:name="_Toc12643"/>
      <w:bookmarkStart w:id="18" w:name="_Toc7829"/>
      <w:bookmarkStart w:id="19" w:name="_Toc198026273"/>
      <w:bookmarkStart w:id="20" w:name="_Toc15033754"/>
      <w:bookmarkStart w:id="21" w:name="_Toc23543"/>
      <w:bookmarkStart w:id="22" w:name="_Toc102633981"/>
      <w:bookmarkStart w:id="23" w:name="_Toc238007574"/>
      <w:bookmarkStart w:id="24" w:name="_Toc102633907"/>
      <w:bookmarkStart w:id="25" w:name="_Toc272364536"/>
      <w:bookmarkStart w:id="26" w:name="_Toc192907201"/>
      <w:r>
        <w:rPr>
          <w:rFonts w:hint="eastAsia"/>
          <w:color w:val="auto"/>
        </w:rPr>
        <w:t>第一节 评价单元的划分</w:t>
      </w:r>
      <w:bookmarkEnd w:id="15"/>
      <w:bookmarkEnd w:id="16"/>
      <w:bookmarkEnd w:id="17"/>
      <w:bookmarkEnd w:id="18"/>
      <w:bookmarkEnd w:id="19"/>
      <w:bookmarkEnd w:id="20"/>
      <w:bookmarkEnd w:id="21"/>
      <w:bookmarkEnd w:id="22"/>
      <w:bookmarkEnd w:id="23"/>
      <w:bookmarkEnd w:id="24"/>
      <w:bookmarkEnd w:id="25"/>
      <w:bookmarkEnd w:id="26"/>
    </w:p>
    <w:p w14:paraId="763B4731">
      <w:pPr>
        <w:pStyle w:val="17"/>
        <w:widowControl w:val="0"/>
        <w:adjustRightInd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B2717B0">
      <w:pPr>
        <w:pStyle w:val="22"/>
        <w:widowControl w:val="0"/>
        <w:adjustRightInd w:val="0"/>
        <w:snapToGrid w:val="0"/>
        <w:spacing w:line="360" w:lineRule="auto"/>
        <w:ind w:firstLine="560"/>
        <w:jc w:val="both"/>
        <w:rPr>
          <w:color w:val="auto"/>
        </w:rPr>
      </w:pPr>
      <w:bookmarkStart w:id="27" w:name="_Toc102634257"/>
      <w:r>
        <w:rPr>
          <w:rFonts w:hint="eastAsia"/>
          <w:color w:val="auto"/>
        </w:rPr>
        <w:t>一</w:t>
      </w:r>
      <w:r>
        <w:rPr>
          <w:color w:val="auto"/>
        </w:rPr>
        <w:t>、以危险有害因素的类别为主划分评价单元</w:t>
      </w:r>
      <w:bookmarkEnd w:id="27"/>
    </w:p>
    <w:p w14:paraId="05C4A291">
      <w:pPr>
        <w:pStyle w:val="17"/>
        <w:widowControl w:val="0"/>
        <w:adjustRightInd w:val="0"/>
        <w:snapToGrid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639D502B">
      <w:pPr>
        <w:pStyle w:val="17"/>
        <w:widowControl w:val="0"/>
        <w:adjustRightInd w:val="0"/>
        <w:snapToGrid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5196401">
      <w:pPr>
        <w:pStyle w:val="22"/>
        <w:widowControl w:val="0"/>
        <w:adjustRightInd w:val="0"/>
        <w:snapToGrid w:val="0"/>
        <w:spacing w:line="360" w:lineRule="auto"/>
        <w:ind w:firstLine="560"/>
        <w:jc w:val="both"/>
        <w:rPr>
          <w:color w:val="auto"/>
        </w:rPr>
      </w:pPr>
      <w:bookmarkStart w:id="28" w:name="_Toc102634258"/>
      <w:r>
        <w:rPr>
          <w:rFonts w:hint="eastAsia"/>
          <w:color w:val="auto"/>
        </w:rPr>
        <w:t>二</w:t>
      </w:r>
      <w:r>
        <w:rPr>
          <w:color w:val="auto"/>
        </w:rPr>
        <w:t>、以物质特征划分评价单元</w:t>
      </w:r>
      <w:bookmarkEnd w:id="28"/>
    </w:p>
    <w:p w14:paraId="5A1E40CB">
      <w:pPr>
        <w:pStyle w:val="17"/>
        <w:widowControl w:val="0"/>
        <w:adjustRightInd w:val="0"/>
        <w:snapToGrid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5A8A20F">
      <w:pPr>
        <w:pStyle w:val="17"/>
        <w:widowControl w:val="0"/>
        <w:adjustRightInd w:val="0"/>
        <w:snapToGrid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415DEC05">
      <w:pPr>
        <w:pStyle w:val="17"/>
        <w:widowControl w:val="0"/>
        <w:adjustRightInd w:val="0"/>
        <w:snapToGrid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rPr>
        <w:t>四</w:t>
      </w:r>
      <w:r>
        <w:rPr>
          <w:rFonts w:ascii="宋体"/>
          <w:color w:val="auto"/>
        </w:rPr>
        <w:t>个单元：</w:t>
      </w:r>
    </w:p>
    <w:p w14:paraId="4B345C19">
      <w:pPr>
        <w:pStyle w:val="17"/>
        <w:widowControl w:val="0"/>
        <w:adjustRightInd w:val="0"/>
        <w:snapToGrid w:val="0"/>
        <w:spacing w:line="360" w:lineRule="auto"/>
        <w:ind w:firstLine="560"/>
        <w:rPr>
          <w:rFonts w:ascii="宋体"/>
          <w:color w:val="auto"/>
        </w:rPr>
      </w:pPr>
      <w:r>
        <w:rPr>
          <w:rFonts w:ascii="宋体"/>
          <w:color w:val="auto"/>
        </w:rPr>
        <w:t>1、安全管理；</w:t>
      </w:r>
    </w:p>
    <w:p w14:paraId="32BE1495">
      <w:pPr>
        <w:pStyle w:val="17"/>
        <w:widowControl w:val="0"/>
        <w:adjustRightInd w:val="0"/>
        <w:snapToGrid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41286861">
      <w:pPr>
        <w:pStyle w:val="17"/>
        <w:widowControl w:val="0"/>
        <w:adjustRightInd w:val="0"/>
        <w:snapToGrid w:val="0"/>
        <w:spacing w:line="360" w:lineRule="auto"/>
        <w:ind w:firstLine="560"/>
        <w:rPr>
          <w:rFonts w:ascii="宋体"/>
          <w:color w:val="auto"/>
        </w:rPr>
      </w:pPr>
      <w:r>
        <w:rPr>
          <w:rFonts w:ascii="宋体"/>
          <w:color w:val="auto"/>
        </w:rPr>
        <w:t>3、加油工艺及设施；</w:t>
      </w:r>
    </w:p>
    <w:p w14:paraId="46391952">
      <w:pPr>
        <w:pStyle w:val="17"/>
        <w:widowControl w:val="0"/>
        <w:adjustRightInd w:val="0"/>
        <w:snapToGrid w:val="0"/>
        <w:spacing w:line="360" w:lineRule="auto"/>
        <w:ind w:firstLine="560"/>
        <w:rPr>
          <w:rFonts w:ascii="宋体"/>
          <w:color w:val="auto"/>
        </w:rPr>
      </w:pPr>
      <w:r>
        <w:rPr>
          <w:rFonts w:ascii="宋体"/>
          <w:color w:val="auto"/>
        </w:rPr>
        <w:t>4、其它安全设施</w:t>
      </w:r>
    </w:p>
    <w:p w14:paraId="5DA9EF16">
      <w:pPr>
        <w:pStyle w:val="4"/>
        <w:spacing w:before="312" w:beforeLines="100" w:after="312" w:afterLines="100" w:line="360" w:lineRule="auto"/>
        <w:ind w:firstLine="0"/>
        <w:rPr>
          <w:rFonts w:hint="eastAsia"/>
          <w:color w:val="auto"/>
        </w:rPr>
      </w:pPr>
      <w:bookmarkStart w:id="29" w:name="_Toc102634408"/>
      <w:bookmarkStart w:id="30" w:name="_Toc102634259"/>
      <w:bookmarkStart w:id="31" w:name="_Toc22810"/>
      <w:bookmarkStart w:id="32" w:name="_Toc102633908"/>
      <w:bookmarkStart w:id="33" w:name="_Toc102633982"/>
    </w:p>
    <w:p w14:paraId="178D2E97">
      <w:pPr>
        <w:pStyle w:val="4"/>
        <w:spacing w:before="312" w:beforeLines="100" w:after="312" w:afterLines="100" w:line="360" w:lineRule="auto"/>
        <w:ind w:firstLine="0"/>
        <w:rPr>
          <w:color w:val="auto"/>
        </w:rPr>
      </w:pPr>
      <w:r>
        <w:rPr>
          <w:rFonts w:hint="eastAsia"/>
          <w:color w:val="auto"/>
        </w:rPr>
        <w:t>第二节 评价方法的选择</w:t>
      </w:r>
      <w:bookmarkEnd w:id="29"/>
      <w:bookmarkEnd w:id="30"/>
      <w:bookmarkEnd w:id="31"/>
      <w:bookmarkEnd w:id="32"/>
      <w:bookmarkEnd w:id="33"/>
    </w:p>
    <w:p w14:paraId="1E411B7E">
      <w:pPr>
        <w:pStyle w:val="17"/>
        <w:widowControl w:val="0"/>
        <w:adjustRightInd w:val="0"/>
        <w:snapToGrid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42C872EF">
      <w:pPr>
        <w:pStyle w:val="17"/>
        <w:widowControl w:val="0"/>
        <w:adjustRightInd w:val="0"/>
        <w:snapToGrid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EEE2394">
      <w:pPr>
        <w:pStyle w:val="17"/>
        <w:widowControl w:val="0"/>
        <w:adjustRightInd w:val="0"/>
        <w:snapToGrid w:val="0"/>
        <w:spacing w:line="360" w:lineRule="auto"/>
        <w:ind w:firstLine="560"/>
        <w:rPr>
          <w:rFonts w:ascii="宋体"/>
          <w:color w:val="auto"/>
        </w:rPr>
      </w:pPr>
      <w:r>
        <w:rPr>
          <w:rFonts w:ascii="宋体"/>
          <w:color w:val="auto"/>
        </w:rPr>
        <w:t>根据本次安全评价的特点，结合</w:t>
      </w:r>
      <w:r>
        <w:rPr>
          <w:rFonts w:hint="eastAsia" w:ascii="宋体"/>
          <w:color w:val="auto"/>
        </w:rPr>
        <w:t>泰安市岱岳区山口平安加油站</w:t>
      </w:r>
      <w:r>
        <w:rPr>
          <w:rFonts w:ascii="宋体"/>
          <w:color w:val="auto"/>
        </w:rPr>
        <w:t>的具体情况，选用安全检查表、事故树法及危险度评价法对加油站进行评价。具体应用如下表所示：</w:t>
      </w:r>
    </w:p>
    <w:p w14:paraId="30D795B2">
      <w:pPr>
        <w:pStyle w:val="19"/>
        <w:widowControl w:val="0"/>
        <w:adjustRightInd w:val="0"/>
        <w:snapToGrid w:val="0"/>
        <w:outlineLvl w:val="9"/>
        <w:rPr>
          <w:rFonts w:ascii="黑体" w:hAnsi="黑体"/>
          <w:color w:val="auto"/>
        </w:rPr>
      </w:pPr>
      <w:r>
        <w:rPr>
          <w:rFonts w:ascii="黑体" w:hAnsi="黑体"/>
          <w:color w:val="auto"/>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3FBF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9969897">
            <w:pPr>
              <w:pStyle w:val="20"/>
              <w:widowControl w:val="0"/>
              <w:adjustRightInd w:val="0"/>
              <w:snapToGrid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0168CB46">
            <w:pPr>
              <w:pStyle w:val="20"/>
              <w:widowControl w:val="0"/>
              <w:adjustRightInd w:val="0"/>
              <w:snapToGrid w:val="0"/>
              <w:spacing w:line="360" w:lineRule="auto"/>
              <w:rPr>
                <w:rFonts w:ascii="宋体"/>
                <w:b/>
                <w:color w:val="auto"/>
              </w:rPr>
            </w:pPr>
            <w:r>
              <w:rPr>
                <w:rFonts w:ascii="宋体"/>
                <w:b/>
                <w:bCs/>
                <w:color w:val="auto"/>
                <w:lang w:val="en-GB"/>
              </w:rPr>
              <w:t>评价单元</w:t>
            </w:r>
          </w:p>
        </w:tc>
        <w:tc>
          <w:tcPr>
            <w:tcW w:w="3339" w:type="pct"/>
            <w:gridSpan w:val="3"/>
            <w:vAlign w:val="center"/>
          </w:tcPr>
          <w:p w14:paraId="2C4AFDEB">
            <w:pPr>
              <w:pStyle w:val="20"/>
              <w:widowControl w:val="0"/>
              <w:adjustRightInd w:val="0"/>
              <w:snapToGrid w:val="0"/>
              <w:spacing w:line="360" w:lineRule="auto"/>
              <w:rPr>
                <w:rFonts w:ascii="宋体"/>
                <w:b/>
                <w:color w:val="auto"/>
              </w:rPr>
            </w:pPr>
            <w:r>
              <w:rPr>
                <w:rFonts w:ascii="宋体"/>
                <w:b/>
                <w:color w:val="auto"/>
                <w:lang w:val="en-GB"/>
              </w:rPr>
              <w:t>评价方法</w:t>
            </w:r>
          </w:p>
        </w:tc>
      </w:tr>
      <w:tr w14:paraId="31037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03509717">
            <w:pPr>
              <w:pStyle w:val="20"/>
              <w:widowControl w:val="0"/>
              <w:adjustRightInd w:val="0"/>
              <w:snapToGrid w:val="0"/>
              <w:spacing w:line="360" w:lineRule="auto"/>
              <w:rPr>
                <w:rFonts w:ascii="宋体"/>
                <w:b/>
                <w:color w:val="auto"/>
                <w:lang w:val="en-GB"/>
              </w:rPr>
            </w:pPr>
          </w:p>
        </w:tc>
        <w:tc>
          <w:tcPr>
            <w:tcW w:w="1285" w:type="pct"/>
            <w:vMerge w:val="continue"/>
            <w:vAlign w:val="center"/>
          </w:tcPr>
          <w:p w14:paraId="45C0FD29">
            <w:pPr>
              <w:pStyle w:val="20"/>
              <w:widowControl w:val="0"/>
              <w:adjustRightInd w:val="0"/>
              <w:snapToGrid w:val="0"/>
              <w:spacing w:line="360" w:lineRule="auto"/>
              <w:rPr>
                <w:rFonts w:ascii="宋体"/>
                <w:b/>
                <w:color w:val="auto"/>
              </w:rPr>
            </w:pPr>
          </w:p>
        </w:tc>
        <w:tc>
          <w:tcPr>
            <w:tcW w:w="1196" w:type="pct"/>
            <w:vAlign w:val="center"/>
          </w:tcPr>
          <w:p w14:paraId="17BCE365">
            <w:pPr>
              <w:pStyle w:val="20"/>
              <w:widowControl w:val="0"/>
              <w:adjustRightInd w:val="0"/>
              <w:snapToGrid w:val="0"/>
              <w:spacing w:line="360" w:lineRule="auto"/>
              <w:rPr>
                <w:rFonts w:ascii="宋体"/>
                <w:b/>
                <w:color w:val="auto"/>
                <w:lang w:val="en-GB"/>
              </w:rPr>
            </w:pPr>
            <w:r>
              <w:rPr>
                <w:rFonts w:ascii="宋体"/>
                <w:b/>
                <w:color w:val="auto"/>
                <w:lang w:val="en-GB"/>
              </w:rPr>
              <w:t>安全检查表</w:t>
            </w:r>
          </w:p>
        </w:tc>
        <w:tc>
          <w:tcPr>
            <w:tcW w:w="1170" w:type="pct"/>
            <w:vAlign w:val="center"/>
          </w:tcPr>
          <w:p w14:paraId="446C4779">
            <w:pPr>
              <w:pStyle w:val="20"/>
              <w:widowControl w:val="0"/>
              <w:adjustRightInd w:val="0"/>
              <w:snapToGrid w:val="0"/>
              <w:spacing w:line="360" w:lineRule="auto"/>
              <w:rPr>
                <w:rFonts w:ascii="宋体"/>
                <w:b/>
                <w:color w:val="auto"/>
                <w:lang w:val="en-GB"/>
              </w:rPr>
            </w:pPr>
            <w:r>
              <w:rPr>
                <w:rFonts w:ascii="宋体"/>
                <w:b/>
                <w:color w:val="auto"/>
                <w:lang w:val="en-GB"/>
              </w:rPr>
              <w:t>危险度评价法</w:t>
            </w:r>
          </w:p>
        </w:tc>
        <w:tc>
          <w:tcPr>
            <w:tcW w:w="972" w:type="pct"/>
            <w:vAlign w:val="center"/>
          </w:tcPr>
          <w:p w14:paraId="08FEC620">
            <w:pPr>
              <w:pStyle w:val="20"/>
              <w:widowControl w:val="0"/>
              <w:adjustRightInd w:val="0"/>
              <w:snapToGrid w:val="0"/>
              <w:spacing w:line="360" w:lineRule="auto"/>
              <w:rPr>
                <w:rFonts w:ascii="宋体"/>
                <w:b/>
                <w:color w:val="auto"/>
                <w:lang w:val="en-GB"/>
              </w:rPr>
            </w:pPr>
            <w:r>
              <w:rPr>
                <w:rFonts w:ascii="宋体"/>
                <w:b/>
                <w:color w:val="auto"/>
                <w:lang w:val="en-GB"/>
              </w:rPr>
              <w:t>事故树法</w:t>
            </w:r>
          </w:p>
        </w:tc>
      </w:tr>
      <w:tr w14:paraId="27EE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C5D8607">
            <w:pPr>
              <w:pStyle w:val="20"/>
              <w:widowControl w:val="0"/>
              <w:adjustRightInd w:val="0"/>
              <w:snapToGrid w:val="0"/>
              <w:spacing w:line="360" w:lineRule="auto"/>
              <w:rPr>
                <w:rFonts w:ascii="宋体"/>
                <w:color w:val="auto"/>
                <w:lang w:val="en-GB"/>
              </w:rPr>
            </w:pPr>
            <w:r>
              <w:rPr>
                <w:rFonts w:ascii="宋体"/>
                <w:color w:val="auto"/>
                <w:lang w:val="en-GB"/>
              </w:rPr>
              <w:t>1</w:t>
            </w:r>
          </w:p>
        </w:tc>
        <w:tc>
          <w:tcPr>
            <w:tcW w:w="1285" w:type="pct"/>
            <w:vAlign w:val="center"/>
          </w:tcPr>
          <w:p w14:paraId="5AEBABC2">
            <w:pPr>
              <w:pStyle w:val="20"/>
              <w:widowControl w:val="0"/>
              <w:adjustRightInd w:val="0"/>
              <w:snapToGrid w:val="0"/>
              <w:spacing w:line="360" w:lineRule="auto"/>
              <w:rPr>
                <w:rFonts w:ascii="宋体"/>
                <w:color w:val="auto"/>
                <w:lang w:val="en-GB"/>
              </w:rPr>
            </w:pPr>
            <w:r>
              <w:rPr>
                <w:rFonts w:ascii="宋体"/>
                <w:color w:val="auto"/>
                <w:lang w:val="en-GB"/>
              </w:rPr>
              <w:t>安全管理单元</w:t>
            </w:r>
          </w:p>
        </w:tc>
        <w:tc>
          <w:tcPr>
            <w:tcW w:w="1196" w:type="pct"/>
            <w:vAlign w:val="center"/>
          </w:tcPr>
          <w:p w14:paraId="1E291D00">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2A4A5594">
            <w:pPr>
              <w:pStyle w:val="20"/>
              <w:widowControl w:val="0"/>
              <w:adjustRightInd w:val="0"/>
              <w:snapToGrid w:val="0"/>
              <w:spacing w:line="360" w:lineRule="auto"/>
              <w:rPr>
                <w:rFonts w:ascii="宋体"/>
                <w:color w:val="auto"/>
              </w:rPr>
            </w:pPr>
          </w:p>
        </w:tc>
        <w:tc>
          <w:tcPr>
            <w:tcW w:w="972" w:type="pct"/>
            <w:vAlign w:val="center"/>
          </w:tcPr>
          <w:p w14:paraId="00C1DAAC">
            <w:pPr>
              <w:pStyle w:val="20"/>
              <w:widowControl w:val="0"/>
              <w:adjustRightInd w:val="0"/>
              <w:snapToGrid w:val="0"/>
              <w:spacing w:line="360" w:lineRule="auto"/>
              <w:rPr>
                <w:rFonts w:ascii="宋体"/>
                <w:color w:val="auto"/>
              </w:rPr>
            </w:pPr>
          </w:p>
        </w:tc>
      </w:tr>
      <w:tr w14:paraId="76973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A4AADEA">
            <w:pPr>
              <w:pStyle w:val="20"/>
              <w:widowControl w:val="0"/>
              <w:adjustRightInd w:val="0"/>
              <w:snapToGrid w:val="0"/>
              <w:spacing w:line="360" w:lineRule="auto"/>
              <w:rPr>
                <w:rFonts w:ascii="宋体"/>
                <w:color w:val="auto"/>
                <w:lang w:val="en-GB"/>
              </w:rPr>
            </w:pPr>
            <w:r>
              <w:rPr>
                <w:rFonts w:ascii="宋体"/>
                <w:color w:val="auto"/>
                <w:lang w:val="en-GB"/>
              </w:rPr>
              <w:t>2</w:t>
            </w:r>
          </w:p>
        </w:tc>
        <w:tc>
          <w:tcPr>
            <w:tcW w:w="1285" w:type="pct"/>
            <w:vAlign w:val="center"/>
          </w:tcPr>
          <w:p w14:paraId="6DFEA469">
            <w:pPr>
              <w:pStyle w:val="20"/>
              <w:widowControl w:val="0"/>
              <w:adjustRightInd w:val="0"/>
              <w:snapToGrid w:val="0"/>
              <w:spacing w:line="360" w:lineRule="auto"/>
              <w:rPr>
                <w:rFonts w:ascii="宋体"/>
                <w:color w:val="auto"/>
                <w:lang w:val="en-GB"/>
              </w:rPr>
            </w:pPr>
            <w:r>
              <w:rPr>
                <w:rFonts w:ascii="宋体"/>
                <w:color w:val="auto"/>
                <w:lang w:val="en-GB"/>
              </w:rPr>
              <w:t>站址选择及总平面布置</w:t>
            </w:r>
          </w:p>
        </w:tc>
        <w:tc>
          <w:tcPr>
            <w:tcW w:w="1196" w:type="pct"/>
            <w:vAlign w:val="center"/>
          </w:tcPr>
          <w:p w14:paraId="5CF653C1">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70F8023B">
            <w:pPr>
              <w:pStyle w:val="20"/>
              <w:widowControl w:val="0"/>
              <w:adjustRightInd w:val="0"/>
              <w:snapToGrid w:val="0"/>
              <w:spacing w:line="360" w:lineRule="auto"/>
              <w:rPr>
                <w:rFonts w:ascii="宋体"/>
                <w:color w:val="auto"/>
              </w:rPr>
            </w:pPr>
          </w:p>
        </w:tc>
        <w:tc>
          <w:tcPr>
            <w:tcW w:w="972" w:type="pct"/>
            <w:vAlign w:val="center"/>
          </w:tcPr>
          <w:p w14:paraId="757A7995">
            <w:pPr>
              <w:pStyle w:val="20"/>
              <w:widowControl w:val="0"/>
              <w:adjustRightInd w:val="0"/>
              <w:snapToGrid w:val="0"/>
              <w:spacing w:line="360" w:lineRule="auto"/>
              <w:rPr>
                <w:rFonts w:ascii="宋体"/>
                <w:color w:val="auto"/>
              </w:rPr>
            </w:pPr>
          </w:p>
        </w:tc>
      </w:tr>
      <w:tr w14:paraId="62F83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1EE35C5">
            <w:pPr>
              <w:pStyle w:val="20"/>
              <w:widowControl w:val="0"/>
              <w:adjustRightInd w:val="0"/>
              <w:snapToGrid w:val="0"/>
              <w:spacing w:line="360" w:lineRule="auto"/>
              <w:rPr>
                <w:rFonts w:ascii="宋体"/>
                <w:color w:val="auto"/>
                <w:lang w:val="en-GB"/>
              </w:rPr>
            </w:pPr>
            <w:r>
              <w:rPr>
                <w:rFonts w:ascii="宋体"/>
                <w:color w:val="auto"/>
                <w:lang w:val="en-GB"/>
              </w:rPr>
              <w:t>3</w:t>
            </w:r>
          </w:p>
        </w:tc>
        <w:tc>
          <w:tcPr>
            <w:tcW w:w="1285" w:type="pct"/>
            <w:vAlign w:val="center"/>
          </w:tcPr>
          <w:p w14:paraId="4A918E6C">
            <w:pPr>
              <w:pStyle w:val="20"/>
              <w:widowControl w:val="0"/>
              <w:adjustRightInd w:val="0"/>
              <w:snapToGrid w:val="0"/>
              <w:spacing w:line="360" w:lineRule="auto"/>
              <w:rPr>
                <w:rFonts w:ascii="宋体"/>
                <w:color w:val="auto"/>
                <w:lang w:val="en-GB"/>
              </w:rPr>
            </w:pPr>
            <w:r>
              <w:rPr>
                <w:rFonts w:ascii="宋体"/>
                <w:color w:val="auto"/>
                <w:lang w:val="en-GB"/>
              </w:rPr>
              <w:t>加油工艺及设施</w:t>
            </w:r>
          </w:p>
        </w:tc>
        <w:tc>
          <w:tcPr>
            <w:tcW w:w="1196" w:type="pct"/>
            <w:vAlign w:val="center"/>
          </w:tcPr>
          <w:p w14:paraId="4D11A67E">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92D00C6">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972" w:type="pct"/>
            <w:vAlign w:val="center"/>
          </w:tcPr>
          <w:p w14:paraId="0E836CF9">
            <w:pPr>
              <w:pStyle w:val="20"/>
              <w:widowControl w:val="0"/>
              <w:adjustRightInd w:val="0"/>
              <w:snapToGrid w:val="0"/>
              <w:spacing w:line="360" w:lineRule="auto"/>
              <w:rPr>
                <w:rFonts w:ascii="宋体"/>
                <w:color w:val="auto"/>
              </w:rPr>
            </w:pPr>
            <w:r>
              <w:rPr>
                <w:rFonts w:hint="eastAsia" w:ascii="宋体" w:hAnsi="宋体" w:cs="宋体"/>
                <w:color w:val="auto"/>
              </w:rPr>
              <w:t>★</w:t>
            </w:r>
          </w:p>
        </w:tc>
      </w:tr>
      <w:tr w14:paraId="033D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6CB1BBD">
            <w:pPr>
              <w:pStyle w:val="20"/>
              <w:widowControl w:val="0"/>
              <w:adjustRightInd w:val="0"/>
              <w:snapToGrid w:val="0"/>
              <w:spacing w:line="360" w:lineRule="auto"/>
              <w:rPr>
                <w:rFonts w:ascii="宋体"/>
                <w:color w:val="auto"/>
                <w:lang w:val="en-GB"/>
              </w:rPr>
            </w:pPr>
            <w:r>
              <w:rPr>
                <w:rFonts w:ascii="宋体"/>
                <w:color w:val="auto"/>
                <w:lang w:val="en-GB"/>
              </w:rPr>
              <w:t>4</w:t>
            </w:r>
          </w:p>
        </w:tc>
        <w:tc>
          <w:tcPr>
            <w:tcW w:w="1285" w:type="pct"/>
            <w:vAlign w:val="center"/>
          </w:tcPr>
          <w:p w14:paraId="18F40D56">
            <w:pPr>
              <w:pStyle w:val="20"/>
              <w:widowControl w:val="0"/>
              <w:adjustRightInd w:val="0"/>
              <w:snapToGrid w:val="0"/>
              <w:spacing w:line="360" w:lineRule="auto"/>
              <w:rPr>
                <w:rFonts w:ascii="宋体"/>
                <w:color w:val="auto"/>
                <w:lang w:val="en-GB"/>
              </w:rPr>
            </w:pPr>
            <w:r>
              <w:rPr>
                <w:rFonts w:ascii="宋体"/>
                <w:color w:val="auto"/>
                <w:lang w:val="en-GB"/>
              </w:rPr>
              <w:t>其它安全设施</w:t>
            </w:r>
          </w:p>
        </w:tc>
        <w:tc>
          <w:tcPr>
            <w:tcW w:w="1196" w:type="pct"/>
            <w:vAlign w:val="center"/>
          </w:tcPr>
          <w:p w14:paraId="65B05064">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808F65A">
            <w:pPr>
              <w:pStyle w:val="20"/>
              <w:widowControl w:val="0"/>
              <w:adjustRightInd w:val="0"/>
              <w:snapToGrid w:val="0"/>
              <w:spacing w:line="360" w:lineRule="auto"/>
              <w:rPr>
                <w:rFonts w:ascii="宋体"/>
                <w:color w:val="auto"/>
              </w:rPr>
            </w:pPr>
          </w:p>
        </w:tc>
        <w:tc>
          <w:tcPr>
            <w:tcW w:w="972" w:type="pct"/>
            <w:vAlign w:val="center"/>
          </w:tcPr>
          <w:p w14:paraId="4ADFB55C">
            <w:pPr>
              <w:pStyle w:val="20"/>
              <w:widowControl w:val="0"/>
              <w:adjustRightInd w:val="0"/>
              <w:snapToGrid w:val="0"/>
              <w:spacing w:line="360" w:lineRule="auto"/>
              <w:rPr>
                <w:rFonts w:ascii="宋体"/>
                <w:color w:val="auto"/>
              </w:rPr>
            </w:pPr>
          </w:p>
        </w:tc>
      </w:tr>
    </w:tbl>
    <w:p w14:paraId="63FFFE3C">
      <w:pPr>
        <w:pStyle w:val="17"/>
        <w:widowControl w:val="0"/>
        <w:spacing w:line="360" w:lineRule="auto"/>
        <w:ind w:firstLine="420"/>
        <w:rPr>
          <w:rFonts w:ascii="宋体"/>
          <w:color w:val="auto"/>
        </w:rPr>
      </w:pPr>
      <w:r>
        <w:rPr>
          <w:rFonts w:ascii="黑体" w:hAnsi="黑体" w:eastAsia="黑体"/>
          <w:color w:val="auto"/>
          <w:sz w:val="21"/>
          <w:szCs w:val="21"/>
          <w:u w:color="000000"/>
        </w:rPr>
        <w:t>注：表中“★”表示采用的评价方法。</w:t>
      </w:r>
    </w:p>
    <w:p w14:paraId="6EC93C82">
      <w:pPr>
        <w:pStyle w:val="21"/>
        <w:widowControl w:val="0"/>
        <w:snapToGrid w:val="0"/>
        <w:spacing w:line="360" w:lineRule="auto"/>
        <w:ind w:firstLine="872" w:firstLineChars="400"/>
        <w:rPr>
          <w:color w:val="auto"/>
        </w:rPr>
      </w:pPr>
    </w:p>
    <w:p w14:paraId="2F4766DE">
      <w:pPr>
        <w:pStyle w:val="18"/>
        <w:keepNext w:val="0"/>
        <w:keepLines w:val="0"/>
        <w:kinsoku/>
        <w:wordWrap/>
        <w:overflowPunct/>
        <w:topLinePunct w:val="0"/>
        <w:autoSpaceDE/>
        <w:autoSpaceDN/>
        <w:bidi w:val="0"/>
        <w:adjustRightInd w:val="0"/>
        <w:snapToGrid w:val="0"/>
        <w:spacing w:before="0" w:beforeLines="0" w:after="0" w:afterLines="0" w:line="360" w:lineRule="auto"/>
        <w:textAlignment w:val="auto"/>
        <w:rPr>
          <w:color w:val="auto"/>
          <w:highlight w:val="none"/>
        </w:rPr>
      </w:pPr>
      <w:bookmarkStart w:id="34" w:name="_Toc7871"/>
      <w:r>
        <w:rPr>
          <w:rFonts w:hint="eastAsia"/>
          <w:color w:val="auto"/>
          <w:highlight w:val="none"/>
        </w:rPr>
        <w:t>第六章  安全对策措施及建议</w:t>
      </w:r>
      <w:bookmarkEnd w:id="34"/>
    </w:p>
    <w:p w14:paraId="614212B6">
      <w:pPr>
        <w:pStyle w:val="4"/>
        <w:keepNext w:val="0"/>
        <w:keepLines w:val="0"/>
        <w:kinsoku/>
        <w:wordWrap/>
        <w:overflowPunct/>
        <w:topLinePunct w:val="0"/>
        <w:autoSpaceDE/>
        <w:autoSpaceDN/>
        <w:bidi w:val="0"/>
        <w:adjustRightInd w:val="0"/>
        <w:snapToGrid w:val="0"/>
        <w:spacing w:line="360" w:lineRule="auto"/>
        <w:ind w:firstLine="0"/>
        <w:textAlignment w:val="auto"/>
        <w:rPr>
          <w:color w:val="auto"/>
          <w:highlight w:val="none"/>
        </w:rPr>
      </w:pPr>
      <w:bookmarkStart w:id="35" w:name="_Toc225046264"/>
      <w:bookmarkStart w:id="36" w:name="_Toc339456079"/>
      <w:bookmarkStart w:id="37" w:name="_Toc242065302"/>
      <w:bookmarkStart w:id="38" w:name="_Toc102634277"/>
      <w:bookmarkStart w:id="39" w:name="_Toc102633989"/>
      <w:bookmarkStart w:id="40" w:name="_Toc102634415"/>
      <w:bookmarkStart w:id="41" w:name="_Toc2607"/>
      <w:bookmarkStart w:id="42" w:name="_Toc15033762"/>
      <w:bookmarkStart w:id="43" w:name="_Toc4961"/>
      <w:bookmarkStart w:id="44" w:name="_Toc102633915"/>
      <w:bookmarkStart w:id="45" w:name="_Toc348877039"/>
      <w:r>
        <w:rPr>
          <w:rFonts w:hint="eastAsia"/>
          <w:color w:val="auto"/>
          <w:highlight w:val="none"/>
        </w:rPr>
        <w:t xml:space="preserve">第一节 </w:t>
      </w:r>
      <w:bookmarkEnd w:id="35"/>
      <w:bookmarkEnd w:id="36"/>
      <w:r>
        <w:rPr>
          <w:rFonts w:hint="eastAsia"/>
          <w:color w:val="auto"/>
          <w:highlight w:val="none"/>
        </w:rPr>
        <w:t>存在的问题及整改建议</w:t>
      </w:r>
      <w:bookmarkEnd w:id="37"/>
      <w:bookmarkEnd w:id="38"/>
      <w:bookmarkEnd w:id="39"/>
      <w:bookmarkEnd w:id="40"/>
      <w:bookmarkEnd w:id="41"/>
      <w:bookmarkEnd w:id="42"/>
      <w:bookmarkEnd w:id="43"/>
      <w:bookmarkEnd w:id="44"/>
      <w:bookmarkEnd w:id="45"/>
    </w:p>
    <w:p w14:paraId="3ED4B592">
      <w:pPr>
        <w:keepNext w:val="0"/>
        <w:keepLines w:val="0"/>
        <w:tabs>
          <w:tab w:val="left" w:pos="698"/>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eastAsia="宋体"/>
          <w:color w:val="auto"/>
          <w:kern w:val="0"/>
          <w:sz w:val="28"/>
          <w:szCs w:val="20"/>
          <w:highlight w:val="none"/>
          <w:lang w:val="en-US" w:eastAsia="zh-CN"/>
        </w:rPr>
      </w:pPr>
      <w:bookmarkStart w:id="46" w:name="_Toc15033763"/>
      <w:bookmarkStart w:id="47" w:name="_Toc49590281"/>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46"/>
      <w:bookmarkEnd w:id="47"/>
      <w:r>
        <w:rPr>
          <w:rFonts w:hint="eastAsia" w:ascii="宋体"/>
          <w:color w:val="auto"/>
          <w:kern w:val="0"/>
          <w:sz w:val="28"/>
          <w:szCs w:val="20"/>
          <w:highlight w:val="none"/>
        </w:rPr>
        <w:t>该加油站</w:t>
      </w:r>
      <w:r>
        <w:rPr>
          <w:rFonts w:hint="eastAsia" w:ascii="宋体"/>
          <w:color w:val="auto"/>
          <w:kern w:val="0"/>
          <w:sz w:val="28"/>
          <w:szCs w:val="20"/>
          <w:highlight w:val="none"/>
          <w:lang w:val="en-US" w:eastAsia="zh-CN"/>
        </w:rPr>
        <w:t>除自控系统暂未运行外，</w:t>
      </w:r>
      <w:r>
        <w:rPr>
          <w:rFonts w:hint="eastAsia" w:ascii="宋体"/>
          <w:color w:val="auto"/>
          <w:kern w:val="0"/>
          <w:sz w:val="28"/>
          <w:szCs w:val="20"/>
          <w:highlight w:val="none"/>
        </w:rPr>
        <w:t>在安全管理、站址选择及总平面布置、加油工艺及设施、其它设施等方面符合有关法律、标准规范的要求。</w:t>
      </w:r>
    </w:p>
    <w:p w14:paraId="014679A2">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4636F7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07B4FC4B">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453F84D1">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30D7146A">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0F3B49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5BF1765">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1</w:t>
            </w:r>
          </w:p>
        </w:tc>
        <w:tc>
          <w:tcPr>
            <w:tcW w:w="3845" w:type="dxa"/>
            <w:vAlign w:val="center"/>
          </w:tcPr>
          <w:p w14:paraId="4EF14EC3">
            <w:pPr>
              <w:widowControl/>
              <w:tabs>
                <w:tab w:val="left" w:pos="6120"/>
              </w:tabs>
              <w:adjustRightInd w:val="0"/>
              <w:spacing w:before="31" w:beforeLines="10" w:after="31" w:afterLines="10" w:line="320" w:lineRule="exact"/>
              <w:jc w:val="center"/>
              <w:textAlignment w:val="baseline"/>
              <w:rPr>
                <w:rFonts w:hint="eastAsia" w:ascii="宋体" w:hAnsi="宋体" w:eastAsia="宋体" w:cs="宋体"/>
                <w:color w:val="auto"/>
                <w:kern w:val="0"/>
                <w:highlight w:val="none"/>
                <w:u w:color="000000"/>
              </w:rPr>
            </w:pPr>
            <w:r>
              <w:rPr>
                <w:rFonts w:hint="eastAsia" w:ascii="宋体" w:hAnsi="宋体"/>
                <w:color w:val="auto"/>
                <w:highlight w:val="none"/>
              </w:rPr>
              <w:t>液位仪、测漏仪</w:t>
            </w:r>
            <w:r>
              <w:rPr>
                <w:rStyle w:val="11"/>
                <w:rFonts w:hint="eastAsia"/>
                <w:color w:val="auto"/>
                <w:highlight w:val="none"/>
                <w:u w:color="000000"/>
              </w:rPr>
              <w:t>未设置不间断电源</w:t>
            </w:r>
            <w:r>
              <w:rPr>
                <w:rFonts w:hint="eastAsia" w:ascii="宋体" w:hAnsi="宋体"/>
                <w:color w:val="auto"/>
                <w:highlight w:val="none"/>
              </w:rPr>
              <w:t>。</w:t>
            </w:r>
          </w:p>
        </w:tc>
        <w:tc>
          <w:tcPr>
            <w:tcW w:w="4740" w:type="dxa"/>
            <w:shd w:val="clear" w:color="auto" w:fill="auto"/>
            <w:vAlign w:val="center"/>
          </w:tcPr>
          <w:p w14:paraId="1A677D36">
            <w:pPr>
              <w:widowControl/>
              <w:adjustRightInd w:val="0"/>
              <w:spacing w:before="31" w:beforeLines="10" w:after="31" w:afterLines="10" w:line="320" w:lineRule="exact"/>
              <w:jc w:val="center"/>
              <w:textAlignment w:val="baseline"/>
              <w:rPr>
                <w:rFonts w:hint="eastAsia" w:ascii="宋体" w:hAnsi="宋体" w:eastAsia="宋体" w:cs="宋体"/>
                <w:color w:val="auto"/>
                <w:kern w:val="0"/>
                <w:highlight w:val="none"/>
                <w:u w:color="000000"/>
              </w:rPr>
            </w:pPr>
            <w:r>
              <w:rPr>
                <w:rFonts w:hint="eastAsia" w:ascii="宋体" w:hAnsi="宋体"/>
                <w:color w:val="auto"/>
                <w:highlight w:val="none"/>
              </w:rPr>
              <w:t>液位仪、测漏仪</w:t>
            </w:r>
            <w:r>
              <w:rPr>
                <w:rStyle w:val="11"/>
                <w:rFonts w:hint="eastAsia"/>
                <w:color w:val="auto"/>
                <w:highlight w:val="none"/>
                <w:u w:color="000000"/>
              </w:rPr>
              <w:t>应设置不间断电源</w:t>
            </w:r>
            <w:r>
              <w:rPr>
                <w:rFonts w:hint="eastAsia" w:ascii="宋体" w:hAnsi="宋体"/>
                <w:color w:val="auto"/>
                <w:highlight w:val="none"/>
              </w:rPr>
              <w:t>。</w:t>
            </w:r>
          </w:p>
        </w:tc>
      </w:tr>
      <w:tr w14:paraId="4B657E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CE7D3C1">
            <w:pPr>
              <w:widowControl/>
              <w:tabs>
                <w:tab w:val="left" w:pos="6120"/>
              </w:tabs>
              <w:adjustRightInd w:val="0"/>
              <w:spacing w:before="31" w:beforeLines="10" w:after="31" w:afterLines="10" w:line="320" w:lineRule="exact"/>
              <w:jc w:val="center"/>
              <w:textAlignment w:val="baseline"/>
              <w:rPr>
                <w:rFonts w:hint="eastAsia" w:ascii="宋体" w:hAnsi="宋体" w:eastAsia="宋体"/>
                <w:bCs/>
                <w:color w:val="auto"/>
                <w:kern w:val="0"/>
                <w:position w:val="2"/>
                <w:highlight w:val="none"/>
                <w:u w:color="000000"/>
                <w:lang w:val="en-US" w:eastAsia="zh-CN"/>
              </w:rPr>
            </w:pPr>
            <w:r>
              <w:rPr>
                <w:rFonts w:hint="eastAsia" w:ascii="宋体" w:hAnsi="宋体"/>
                <w:bCs/>
                <w:color w:val="auto"/>
                <w:kern w:val="0"/>
                <w:position w:val="2"/>
                <w:highlight w:val="none"/>
                <w:u w:color="000000"/>
                <w:lang w:val="en-US" w:eastAsia="zh-CN"/>
              </w:rPr>
              <w:t>2</w:t>
            </w:r>
          </w:p>
        </w:tc>
        <w:tc>
          <w:tcPr>
            <w:tcW w:w="3845" w:type="dxa"/>
            <w:vAlign w:val="center"/>
          </w:tcPr>
          <w:p w14:paraId="178AEA5B">
            <w:pPr>
              <w:widowControl/>
              <w:tabs>
                <w:tab w:val="left" w:pos="6120"/>
              </w:tabs>
              <w:adjustRightInd w:val="0"/>
              <w:spacing w:before="31" w:beforeLines="10" w:after="31" w:afterLines="10" w:line="320" w:lineRule="exact"/>
              <w:jc w:val="center"/>
              <w:textAlignment w:val="baseline"/>
              <w:rPr>
                <w:rFonts w:hint="eastAsia" w:ascii="宋体" w:hAnsi="宋体" w:eastAsia="宋体" w:cs="宋体"/>
                <w:color w:val="auto"/>
                <w:spacing w:val="10"/>
                <w:highlight w:val="none"/>
              </w:rPr>
            </w:pPr>
            <w:r>
              <w:rPr>
                <w:rFonts w:hint="eastAsia" w:ascii="宋体" w:hAnsi="宋体"/>
                <w:color w:val="auto"/>
                <w:highlight w:val="none"/>
              </w:rPr>
              <w:t>发电机未设排烟管。</w:t>
            </w:r>
          </w:p>
        </w:tc>
        <w:tc>
          <w:tcPr>
            <w:tcW w:w="4740" w:type="dxa"/>
            <w:shd w:val="clear" w:color="auto" w:fill="auto"/>
            <w:vAlign w:val="center"/>
          </w:tcPr>
          <w:p w14:paraId="2FFF9130">
            <w:pPr>
              <w:widowControl/>
              <w:adjustRightInd w:val="0"/>
              <w:spacing w:before="31" w:beforeLines="10" w:after="31" w:afterLines="10" w:line="320" w:lineRule="exact"/>
              <w:jc w:val="center"/>
              <w:textAlignment w:val="baseline"/>
              <w:rPr>
                <w:rFonts w:hint="eastAsia" w:ascii="宋体" w:hAnsi="宋体" w:eastAsia="宋体" w:cs="宋体"/>
                <w:color w:val="auto"/>
                <w:spacing w:val="10"/>
                <w:highlight w:val="none"/>
                <w:lang w:val="en-US" w:eastAsia="zh-CN"/>
              </w:rPr>
            </w:pPr>
            <w:r>
              <w:rPr>
                <w:rFonts w:hint="eastAsia" w:ascii="宋体" w:hAnsi="宋体"/>
                <w:color w:val="auto"/>
                <w:highlight w:val="none"/>
              </w:rPr>
              <w:t>发电机应设排烟管，并设置阻火器。</w:t>
            </w:r>
          </w:p>
        </w:tc>
      </w:tr>
    </w:tbl>
    <w:p w14:paraId="4DD935D5">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20F309BE">
      <w:pPr>
        <w:widowControl/>
        <w:spacing w:line="360" w:lineRule="auto"/>
        <w:jc w:val="center"/>
        <w:textAlignment w:val="baseline"/>
        <w:rPr>
          <w:rFonts w:ascii="黑体" w:hAnsi="黑体" w:eastAsia="黑体" w:cs="黑体"/>
          <w:color w:val="auto"/>
          <w:kern w:val="0"/>
          <w:sz w:val="24"/>
          <w:szCs w:val="24"/>
          <w:highlight w:val="none"/>
          <w:u w:color="000000"/>
        </w:rPr>
      </w:pPr>
    </w:p>
    <w:p w14:paraId="45B31E4E">
      <w:pPr>
        <w:widowControl/>
        <w:spacing w:line="360" w:lineRule="auto"/>
        <w:jc w:val="center"/>
        <w:textAlignment w:val="baseline"/>
        <w:rPr>
          <w:rFonts w:ascii="黑体" w:hAnsi="黑体" w:eastAsia="黑体" w:cs="黑体"/>
          <w:color w:val="auto"/>
          <w:kern w:val="0"/>
          <w:sz w:val="24"/>
          <w:szCs w:val="24"/>
          <w:u w:color="000000"/>
        </w:rPr>
      </w:pPr>
    </w:p>
    <w:p w14:paraId="052AEFF2">
      <w:pPr>
        <w:pStyle w:val="13"/>
        <w:rPr>
          <w:rFonts w:ascii="黑体" w:hAnsi="黑体" w:eastAsia="黑体" w:cs="黑体"/>
          <w:color w:val="auto"/>
          <w:u w:color="000000"/>
        </w:rPr>
      </w:pPr>
    </w:p>
    <w:p w14:paraId="5B43CB4A">
      <w:pPr>
        <w:pStyle w:val="13"/>
        <w:rPr>
          <w:rFonts w:ascii="黑体" w:hAnsi="黑体" w:eastAsia="黑体" w:cs="黑体"/>
          <w:color w:val="auto"/>
          <w:u w:color="000000"/>
        </w:rPr>
      </w:pPr>
    </w:p>
    <w:p w14:paraId="52DAB9F2">
      <w:pPr>
        <w:pStyle w:val="13"/>
        <w:rPr>
          <w:rFonts w:ascii="黑体" w:hAnsi="黑体" w:eastAsia="黑体" w:cs="黑体"/>
          <w:color w:val="auto"/>
          <w:u w:color="000000"/>
        </w:rPr>
      </w:pPr>
    </w:p>
    <w:p w14:paraId="57AB597A">
      <w:pPr>
        <w:pStyle w:val="13"/>
        <w:rPr>
          <w:rFonts w:ascii="黑体" w:hAnsi="黑体" w:eastAsia="黑体" w:cs="黑体"/>
          <w:color w:val="auto"/>
          <w:u w:color="000000"/>
        </w:rPr>
      </w:pPr>
    </w:p>
    <w:p w14:paraId="0A9A7043">
      <w:pPr>
        <w:pStyle w:val="13"/>
        <w:rPr>
          <w:rFonts w:ascii="黑体" w:hAnsi="黑体" w:eastAsia="黑体" w:cs="黑体"/>
          <w:color w:val="auto"/>
          <w:u w:color="000000"/>
        </w:rPr>
      </w:pPr>
    </w:p>
    <w:p w14:paraId="61D17D19">
      <w:pPr>
        <w:widowControl/>
        <w:spacing w:line="360" w:lineRule="auto"/>
        <w:jc w:val="center"/>
        <w:textAlignment w:val="baseline"/>
        <w:rPr>
          <w:rFonts w:ascii="黑体" w:hAnsi="黑体" w:eastAsia="黑体" w:cs="黑体"/>
          <w:color w:val="auto"/>
          <w:kern w:val="0"/>
          <w:sz w:val="24"/>
          <w:szCs w:val="24"/>
          <w:u w:color="000000"/>
        </w:rPr>
      </w:pPr>
    </w:p>
    <w:p w14:paraId="40935F4E">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r>
        <w:rPr>
          <w:rFonts w:hint="default" w:ascii="宋体"/>
          <w:color w:val="auto"/>
          <w:kern w:val="0"/>
          <w:sz w:val="28"/>
          <w:szCs w:val="20"/>
          <w:lang w:val="en-US" w:eastAsia="zh-CN"/>
        </w:rPr>
        <w:drawing>
          <wp:inline distT="0" distB="0" distL="114300" distR="114300">
            <wp:extent cx="4995545" cy="8880475"/>
            <wp:effectExtent l="0" t="0" r="3175" b="4445"/>
            <wp:docPr id="7" name="图片 7" descr="c0e0b0f3562fee96f75ea487958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0e0b0f3562fee96f75ea4879589962"/>
                    <pic:cNvPicPr>
                      <a:picLocks noChangeAspect="1"/>
                    </pic:cNvPicPr>
                  </pic:nvPicPr>
                  <pic:blipFill>
                    <a:blip r:embed="rId4"/>
                    <a:stretch>
                      <a:fillRect/>
                    </a:stretch>
                  </pic:blipFill>
                  <pic:spPr>
                    <a:xfrm>
                      <a:off x="0" y="0"/>
                      <a:ext cx="4995545" cy="888047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4995545" cy="8880475"/>
            <wp:effectExtent l="0" t="0" r="3175" b="4445"/>
            <wp:docPr id="6" name="图片 6" descr="248a1125defa636501ed3395d750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48a1125defa636501ed3395d750c1f"/>
                    <pic:cNvPicPr>
                      <a:picLocks noChangeAspect="1"/>
                    </pic:cNvPicPr>
                  </pic:nvPicPr>
                  <pic:blipFill>
                    <a:blip r:embed="rId5"/>
                    <a:stretch>
                      <a:fillRect/>
                    </a:stretch>
                  </pic:blipFill>
                  <pic:spPr>
                    <a:xfrm>
                      <a:off x="0" y="0"/>
                      <a:ext cx="4995545" cy="888047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4995545" cy="8061960"/>
            <wp:effectExtent l="0" t="0" r="3175" b="0"/>
            <wp:docPr id="8" name="图片 8" descr="97b7cf0f5cdd0d248cbd62d104eb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b7cf0f5cdd0d248cbd62d104ebbd0"/>
                    <pic:cNvPicPr>
                      <a:picLocks noChangeAspect="1"/>
                    </pic:cNvPicPr>
                  </pic:nvPicPr>
                  <pic:blipFill>
                    <a:blip r:embed="rId6"/>
                    <a:srcRect t="772" b="8445"/>
                    <a:stretch>
                      <a:fillRect/>
                    </a:stretch>
                  </pic:blipFill>
                  <pic:spPr>
                    <a:xfrm>
                      <a:off x="0" y="0"/>
                      <a:ext cx="4995545" cy="806196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4995545" cy="8449945"/>
            <wp:effectExtent l="0" t="0" r="3175" b="8255"/>
            <wp:docPr id="9" name="图片 9" descr="fc1d8400e5db743e3e10439870e7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c1d8400e5db743e3e10439870e7d56"/>
                    <pic:cNvPicPr>
                      <a:picLocks noChangeAspect="1"/>
                    </pic:cNvPicPr>
                  </pic:nvPicPr>
                  <pic:blipFill>
                    <a:blip r:embed="rId7"/>
                    <a:srcRect t="4848"/>
                    <a:stretch>
                      <a:fillRect/>
                    </a:stretch>
                  </pic:blipFill>
                  <pic:spPr>
                    <a:xfrm>
                      <a:off x="0" y="0"/>
                      <a:ext cx="4995545" cy="844994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4995545" cy="8880475"/>
            <wp:effectExtent l="0" t="0" r="3175" b="4445"/>
            <wp:docPr id="10" name="图片 10" descr="58b1d5788e6405651b0f2f6d104c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8b1d5788e6405651b0f2f6d104cab5"/>
                    <pic:cNvPicPr>
                      <a:picLocks noChangeAspect="1"/>
                    </pic:cNvPicPr>
                  </pic:nvPicPr>
                  <pic:blipFill>
                    <a:blip r:embed="rId8"/>
                    <a:stretch>
                      <a:fillRect/>
                    </a:stretch>
                  </pic:blipFill>
                  <pic:spPr>
                    <a:xfrm>
                      <a:off x="0" y="0"/>
                      <a:ext cx="4995545" cy="8880475"/>
                    </a:xfrm>
                    <a:prstGeom prst="rect">
                      <a:avLst/>
                    </a:prstGeom>
                  </pic:spPr>
                </pic:pic>
              </a:graphicData>
            </a:graphic>
          </wp:inline>
        </w:drawing>
      </w:r>
      <w:bookmarkStart w:id="48" w:name="_GoBack"/>
      <w:r>
        <w:rPr>
          <w:rFonts w:hint="default" w:ascii="宋体"/>
          <w:color w:val="auto"/>
          <w:kern w:val="0"/>
          <w:sz w:val="28"/>
          <w:szCs w:val="20"/>
          <w:lang w:val="en-US" w:eastAsia="zh-CN"/>
        </w:rPr>
        <w:drawing>
          <wp:inline distT="0" distB="0" distL="114300" distR="114300">
            <wp:extent cx="4995545" cy="8880475"/>
            <wp:effectExtent l="0" t="0" r="3175" b="4445"/>
            <wp:docPr id="11" name="图片 11" descr="f87eccfcc2ddc69a02b2dd4aaffb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87eccfcc2ddc69a02b2dd4aaffb7f8"/>
                    <pic:cNvPicPr>
                      <a:picLocks noChangeAspect="1"/>
                    </pic:cNvPicPr>
                  </pic:nvPicPr>
                  <pic:blipFill>
                    <a:blip r:embed="rId9"/>
                    <a:stretch>
                      <a:fillRect/>
                    </a:stretch>
                  </pic:blipFill>
                  <pic:spPr>
                    <a:xfrm>
                      <a:off x="0" y="0"/>
                      <a:ext cx="4995545" cy="8880475"/>
                    </a:xfrm>
                    <a:prstGeom prst="rect">
                      <a:avLst/>
                    </a:prstGeom>
                  </pic:spPr>
                </pic:pic>
              </a:graphicData>
            </a:graphic>
          </wp:inline>
        </w:drawing>
      </w:r>
      <w:bookmarkEnd w:id="48"/>
      <w:r>
        <w:rPr>
          <w:rFonts w:hint="default" w:ascii="宋体"/>
          <w:color w:val="auto"/>
          <w:kern w:val="0"/>
          <w:sz w:val="28"/>
          <w:szCs w:val="20"/>
          <w:lang w:val="en-US" w:eastAsia="zh-CN"/>
        </w:rPr>
        <w:drawing>
          <wp:inline distT="0" distB="0" distL="114300" distR="114300">
            <wp:extent cx="5721985" cy="4291330"/>
            <wp:effectExtent l="0" t="0" r="8255" b="6350"/>
            <wp:docPr id="1" name="图片 1" descr="IMG_20251024_15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1024_153700"/>
                    <pic:cNvPicPr>
                      <a:picLocks noChangeAspect="1"/>
                    </pic:cNvPicPr>
                  </pic:nvPicPr>
                  <pic:blipFill>
                    <a:blip r:embed="rId10"/>
                    <a:stretch>
                      <a:fillRect/>
                    </a:stretch>
                  </pic:blipFill>
                  <pic:spPr>
                    <a:xfrm>
                      <a:off x="0" y="0"/>
                      <a:ext cx="5721985" cy="429133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21985" cy="4291330"/>
            <wp:effectExtent l="0" t="0" r="8255" b="6350"/>
            <wp:docPr id="2" name="图片 2" descr="IMG_20251024_15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1024_153732"/>
                    <pic:cNvPicPr>
                      <a:picLocks noChangeAspect="1"/>
                    </pic:cNvPicPr>
                  </pic:nvPicPr>
                  <pic:blipFill>
                    <a:blip r:embed="rId11"/>
                    <a:stretch>
                      <a:fillRect/>
                    </a:stretch>
                  </pic:blipFill>
                  <pic:spPr>
                    <a:xfrm>
                      <a:off x="0" y="0"/>
                      <a:ext cx="5721985" cy="4291330"/>
                    </a:xfrm>
                    <a:prstGeom prst="rect">
                      <a:avLst/>
                    </a:prstGeom>
                  </pic:spPr>
                </pic:pic>
              </a:graphicData>
            </a:graphic>
          </wp:inline>
        </w:drawing>
      </w:r>
    </w:p>
    <w:p w14:paraId="0F609D2E">
      <w:pPr>
        <w:pStyle w:val="2"/>
        <w:ind w:left="0" w:leftChars="0" w:firstLine="0" w:firstLineChars="0"/>
        <w:rPr>
          <w:rFonts w:hint="default"/>
          <w:lang w:val="en-US" w:eastAsia="zh-CN"/>
        </w:rPr>
      </w:pPr>
    </w:p>
    <w:p w14:paraId="4D17A589">
      <w:pPr>
        <w:pStyle w:val="2"/>
        <w:ind w:left="0" w:leftChars="0" w:firstLine="0" w:firstLineChars="0"/>
        <w:rPr>
          <w:rFonts w:hint="default"/>
          <w:lang w:val="en-US" w:eastAsia="zh-CN"/>
        </w:rPr>
      </w:pPr>
    </w:p>
    <w:p w14:paraId="5630B19F">
      <w:pPr>
        <w:pStyle w:val="2"/>
        <w:ind w:left="0" w:leftChars="0" w:firstLine="0" w:firstLineChars="0"/>
        <w:rPr>
          <w:rFonts w:hint="default"/>
          <w:lang w:val="en-US" w:eastAsia="zh-CN"/>
        </w:rPr>
      </w:pPr>
    </w:p>
    <w:p w14:paraId="5EB88A92">
      <w:pPr>
        <w:pStyle w:val="2"/>
        <w:ind w:left="0" w:leftChars="0" w:firstLine="0" w:firstLineChars="0"/>
        <w:rPr>
          <w:rFonts w:hint="default"/>
          <w:lang w:val="en-US" w:eastAsia="zh-CN"/>
        </w:rPr>
      </w:pPr>
    </w:p>
    <w:p w14:paraId="1857F8A6">
      <w:pPr>
        <w:pStyle w:val="2"/>
        <w:ind w:left="0" w:leftChars="0" w:firstLine="0" w:firstLineChars="0"/>
        <w:rPr>
          <w:rFonts w:hint="default"/>
          <w:lang w:val="en-US" w:eastAsia="zh-CN"/>
        </w:rPr>
      </w:pP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6F42D9"/>
    <w:rsid w:val="0EDC1223"/>
    <w:rsid w:val="12386C7D"/>
    <w:rsid w:val="13D12EE6"/>
    <w:rsid w:val="141A7924"/>
    <w:rsid w:val="153C4810"/>
    <w:rsid w:val="160D5A33"/>
    <w:rsid w:val="16BC1C2B"/>
    <w:rsid w:val="1C4A2E55"/>
    <w:rsid w:val="1DE92E23"/>
    <w:rsid w:val="1E1E483E"/>
    <w:rsid w:val="1F5B398D"/>
    <w:rsid w:val="1FF73CD4"/>
    <w:rsid w:val="22CB7136"/>
    <w:rsid w:val="284F788D"/>
    <w:rsid w:val="2A9D36CA"/>
    <w:rsid w:val="2CBC252D"/>
    <w:rsid w:val="2E5E68CC"/>
    <w:rsid w:val="2EC41433"/>
    <w:rsid w:val="2F917EEC"/>
    <w:rsid w:val="31297B3A"/>
    <w:rsid w:val="355F439E"/>
    <w:rsid w:val="35CC29B8"/>
    <w:rsid w:val="361E3E5D"/>
    <w:rsid w:val="37A6654A"/>
    <w:rsid w:val="386A7D3B"/>
    <w:rsid w:val="38B36882"/>
    <w:rsid w:val="3BB85D78"/>
    <w:rsid w:val="3C176B62"/>
    <w:rsid w:val="420C1409"/>
    <w:rsid w:val="43CB4C37"/>
    <w:rsid w:val="4706325F"/>
    <w:rsid w:val="47290367"/>
    <w:rsid w:val="48FE4AE5"/>
    <w:rsid w:val="4D64034B"/>
    <w:rsid w:val="4ECC7680"/>
    <w:rsid w:val="4F5D6EDB"/>
    <w:rsid w:val="537F016A"/>
    <w:rsid w:val="563D798B"/>
    <w:rsid w:val="567C6788"/>
    <w:rsid w:val="579A241E"/>
    <w:rsid w:val="58840D76"/>
    <w:rsid w:val="5C8B1D2D"/>
    <w:rsid w:val="5D511379"/>
    <w:rsid w:val="5E133C99"/>
    <w:rsid w:val="5FF76C68"/>
    <w:rsid w:val="60FB542C"/>
    <w:rsid w:val="636808F8"/>
    <w:rsid w:val="64FD4259"/>
    <w:rsid w:val="69194288"/>
    <w:rsid w:val="6A640607"/>
    <w:rsid w:val="6AD40467"/>
    <w:rsid w:val="6B3179BA"/>
    <w:rsid w:val="6BF95CAB"/>
    <w:rsid w:val="6C4D48B3"/>
    <w:rsid w:val="6D0669CA"/>
    <w:rsid w:val="6FDF53A7"/>
    <w:rsid w:val="717A11AE"/>
    <w:rsid w:val="72FD2CFB"/>
    <w:rsid w:val="74AE7C8C"/>
    <w:rsid w:val="76511CAD"/>
    <w:rsid w:val="769C7074"/>
    <w:rsid w:val="7772596D"/>
    <w:rsid w:val="788E5851"/>
    <w:rsid w:val="7AB02F22"/>
    <w:rsid w:val="7B7179AA"/>
    <w:rsid w:val="7C9C2DAE"/>
    <w:rsid w:val="7DCC38D1"/>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b/>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7"/>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327</Words>
  <Characters>392</Characters>
  <Lines>0</Lines>
  <Paragraphs>0</Paragraphs>
  <TotalTime>3</TotalTime>
  <ScaleCrop>false</ScaleCrop>
  <LinksUpToDate>false</LinksUpToDate>
  <CharactersWithSpaces>398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cp:lastModifiedBy>
  <dcterms:modified xsi:type="dcterms:W3CDTF">2025-12-25T07:41:27Z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