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298C43">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5"/>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571"/>
        <w:gridCol w:w="922"/>
        <w:gridCol w:w="5578"/>
        <w:gridCol w:w="2159"/>
      </w:tblGrid>
      <w:tr w14:paraId="7D0E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09E7DE42">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659" w:type="dxa"/>
            <w:gridSpan w:val="3"/>
            <w:tcBorders>
              <w:tl2br w:val="nil"/>
              <w:tr2bl w:val="nil"/>
            </w:tcBorders>
            <w:shd w:val="clear" w:color="auto" w:fill="FFFFFF"/>
            <w:vAlign w:val="center"/>
          </w:tcPr>
          <w:p w14:paraId="32CC6A9A">
            <w:pPr>
              <w:widowControl/>
              <w:spacing w:after="150"/>
              <w:jc w:val="center"/>
              <w:rPr>
                <w:rFonts w:ascii="宋体" w:hAnsi="宋体" w:cs="宋体"/>
                <w:sz w:val="24"/>
              </w:rPr>
            </w:pPr>
            <w:r>
              <w:rPr>
                <w:rFonts w:hint="eastAsia" w:ascii="宋体" w:hAnsi="宋体" w:cs="宋体"/>
                <w:sz w:val="24"/>
                <w:lang w:eastAsia="zh-CN"/>
              </w:rPr>
              <w:t>中国石油天然气股份有限公司江西南昌卫东加油站安全现状评价报告</w:t>
            </w:r>
            <w:r>
              <w:rPr>
                <w:rFonts w:hint="eastAsia" w:ascii="宋体" w:hAnsi="宋体" w:cs="宋体"/>
                <w:sz w:val="24"/>
              </w:rPr>
              <w:t xml:space="preserve"> </w:t>
            </w:r>
          </w:p>
        </w:tc>
      </w:tr>
      <w:tr w14:paraId="2A50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5207C390">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659" w:type="dxa"/>
            <w:gridSpan w:val="3"/>
            <w:tcBorders>
              <w:tl2br w:val="nil"/>
              <w:tr2bl w:val="nil"/>
            </w:tcBorders>
            <w:shd w:val="clear" w:color="auto" w:fill="FFFFFF"/>
            <w:vAlign w:val="center"/>
          </w:tcPr>
          <w:p w14:paraId="479B1134">
            <w:pPr>
              <w:widowControl/>
              <w:spacing w:after="150"/>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12</w:t>
            </w:r>
            <w:r>
              <w:rPr>
                <w:rFonts w:hint="eastAsia" w:ascii="宋体" w:hAnsi="宋体" w:cs="宋体"/>
                <w:sz w:val="24"/>
              </w:rPr>
              <w:t>月</w:t>
            </w:r>
          </w:p>
        </w:tc>
      </w:tr>
      <w:tr w14:paraId="2044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30" w:type="dxa"/>
            <w:gridSpan w:val="4"/>
            <w:tcBorders>
              <w:tl2br w:val="nil"/>
              <w:tr2bl w:val="nil"/>
            </w:tcBorders>
            <w:shd w:val="clear" w:color="auto" w:fill="FFFFFF"/>
            <w:vAlign w:val="center"/>
          </w:tcPr>
          <w:p w14:paraId="1C443407">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E25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5E045F7A">
            <w:pPr>
              <w:jc w:val="center"/>
              <w:rPr>
                <w:rFonts w:ascii="宋体" w:hAnsi="宋体" w:cs="宋体"/>
                <w:sz w:val="24"/>
              </w:rPr>
            </w:pPr>
          </w:p>
        </w:tc>
        <w:tc>
          <w:tcPr>
            <w:tcW w:w="922" w:type="dxa"/>
            <w:tcBorders>
              <w:tl2br w:val="nil"/>
              <w:tr2bl w:val="nil"/>
            </w:tcBorders>
            <w:shd w:val="clear" w:color="auto" w:fill="FFFFFF"/>
            <w:vAlign w:val="center"/>
          </w:tcPr>
          <w:p w14:paraId="6E3CDE0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578" w:type="dxa"/>
            <w:tcBorders>
              <w:tl2br w:val="nil"/>
              <w:tr2bl w:val="nil"/>
            </w:tcBorders>
            <w:shd w:val="clear" w:color="auto" w:fill="FFFFFF"/>
            <w:vAlign w:val="center"/>
          </w:tcPr>
          <w:p w14:paraId="3D048718">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59" w:type="dxa"/>
            <w:tcBorders>
              <w:tl2br w:val="nil"/>
              <w:tr2bl w:val="nil"/>
            </w:tcBorders>
            <w:shd w:val="clear" w:color="auto" w:fill="FFFFFF"/>
            <w:vAlign w:val="center"/>
          </w:tcPr>
          <w:p w14:paraId="06C778D6">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1879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51" w:hRule="atLeast"/>
          <w:jc w:val="center"/>
        </w:trPr>
        <w:tc>
          <w:tcPr>
            <w:tcW w:w="571" w:type="dxa"/>
            <w:tcBorders>
              <w:tl2br w:val="nil"/>
              <w:tr2bl w:val="nil"/>
            </w:tcBorders>
            <w:shd w:val="clear" w:color="auto" w:fill="FFFFFF"/>
            <w:vAlign w:val="center"/>
          </w:tcPr>
          <w:p w14:paraId="46789E4D">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项目负责人</w:t>
            </w:r>
          </w:p>
        </w:tc>
        <w:tc>
          <w:tcPr>
            <w:tcW w:w="922" w:type="dxa"/>
            <w:tcBorders>
              <w:tl2br w:val="nil"/>
              <w:tr2bl w:val="nil"/>
            </w:tcBorders>
            <w:shd w:val="clear" w:color="auto" w:fill="FFFFFF"/>
            <w:vAlign w:val="center"/>
          </w:tcPr>
          <w:p w14:paraId="5A2C7C38">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rFonts w:hint="eastAsia" w:ascii="宋体" w:hAnsi="宋体" w:cs="宋体"/>
                <w:sz w:val="24"/>
              </w:rPr>
              <w:t>徐顺星</w:t>
            </w:r>
          </w:p>
        </w:tc>
        <w:tc>
          <w:tcPr>
            <w:tcW w:w="5578" w:type="dxa"/>
            <w:tcBorders>
              <w:tl2br w:val="nil"/>
              <w:tr2bl w:val="nil"/>
            </w:tcBorders>
            <w:shd w:val="clear" w:color="auto" w:fill="FFFFFF"/>
            <w:vAlign w:val="center"/>
          </w:tcPr>
          <w:p w14:paraId="061C988D">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sz w:val="24"/>
              </w:rPr>
              <w:t>S011041000110192002229</w:t>
            </w:r>
          </w:p>
        </w:tc>
        <w:tc>
          <w:tcPr>
            <w:tcW w:w="2159" w:type="dxa"/>
            <w:tcBorders>
              <w:tl2br w:val="nil"/>
              <w:tr2bl w:val="nil"/>
            </w:tcBorders>
            <w:shd w:val="clear" w:color="auto" w:fill="FFFFFF"/>
            <w:vAlign w:val="center"/>
          </w:tcPr>
          <w:p w14:paraId="0A6A6A2C">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sz w:val="24"/>
              </w:rPr>
              <w:t>018803</w:t>
            </w:r>
          </w:p>
        </w:tc>
      </w:tr>
      <w:tr w14:paraId="500B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52" w:hRule="atLeast"/>
          <w:jc w:val="center"/>
        </w:trPr>
        <w:tc>
          <w:tcPr>
            <w:tcW w:w="571" w:type="dxa"/>
            <w:vMerge w:val="restart"/>
            <w:tcBorders>
              <w:tl2br w:val="nil"/>
              <w:tr2bl w:val="nil"/>
            </w:tcBorders>
            <w:shd w:val="clear" w:color="auto" w:fill="FFFFFF"/>
            <w:vAlign w:val="center"/>
          </w:tcPr>
          <w:p w14:paraId="230B0D06">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项目组成员</w:t>
            </w:r>
          </w:p>
        </w:tc>
        <w:tc>
          <w:tcPr>
            <w:tcW w:w="922" w:type="dxa"/>
            <w:tcBorders>
              <w:tl2br w:val="nil"/>
              <w:tr2bl w:val="nil"/>
            </w:tcBorders>
            <w:shd w:val="clear" w:color="auto" w:fill="FFFFFF"/>
            <w:vAlign w:val="center"/>
          </w:tcPr>
          <w:p w14:paraId="07A5B4C8">
            <w:pPr>
              <w:keepNext w:val="0"/>
              <w:keepLines w:val="0"/>
              <w:pageBreakBefore w:val="0"/>
              <w:kinsoku/>
              <w:wordWrap/>
              <w:overflowPunct/>
              <w:topLinePunct w:val="0"/>
              <w:autoSpaceDE/>
              <w:autoSpaceDN/>
              <w:bidi w:val="0"/>
              <w:adjustRightInd/>
              <w:snapToGrid/>
              <w:spacing w:before="190" w:beforeLines="50" w:after="190" w:afterLines="50" w:line="240" w:lineRule="auto"/>
              <w:jc w:val="center"/>
              <w:textAlignment w:val="auto"/>
              <w:rPr>
                <w:rFonts w:hint="eastAsia" w:ascii="宋体" w:hAnsi="宋体" w:eastAsia="宋体" w:cs="宋体"/>
                <w:kern w:val="0"/>
                <w:sz w:val="24"/>
                <w:szCs w:val="24"/>
                <w:shd w:val="clear" w:color="auto" w:fill="FFFFFF"/>
                <w:lang w:val="en-US" w:eastAsia="zh-CN" w:bidi="ar-SA"/>
              </w:rPr>
            </w:pPr>
            <w:r>
              <w:rPr>
                <w:rFonts w:hint="eastAsia" w:ascii="Times New Roman" w:hAnsi="Times New Roman" w:eastAsia="宋体" w:cs="Times New Roman"/>
                <w:kern w:val="2"/>
                <w:sz w:val="24"/>
                <w:szCs w:val="22"/>
                <w:lang w:val="en-US" w:eastAsia="zh-CN" w:bidi="ar-SA"/>
              </w:rPr>
              <w:t>乔贯德</w:t>
            </w:r>
          </w:p>
        </w:tc>
        <w:tc>
          <w:tcPr>
            <w:tcW w:w="5578" w:type="dxa"/>
            <w:tcBorders>
              <w:tl2br w:val="nil"/>
              <w:tr2bl w:val="nil"/>
            </w:tcBorders>
            <w:shd w:val="clear" w:color="auto" w:fill="FFFFFF"/>
            <w:vAlign w:val="center"/>
          </w:tcPr>
          <w:p w14:paraId="77240CEE">
            <w:pPr>
              <w:keepNext w:val="0"/>
              <w:keepLines w:val="0"/>
              <w:pageBreakBefore w:val="0"/>
              <w:kinsoku/>
              <w:wordWrap/>
              <w:overflowPunct/>
              <w:topLinePunct w:val="0"/>
              <w:autoSpaceDE/>
              <w:autoSpaceDN/>
              <w:bidi w:val="0"/>
              <w:adjustRightInd/>
              <w:snapToGrid/>
              <w:spacing w:before="190" w:beforeLines="50" w:after="190" w:afterLines="50" w:line="240" w:lineRule="auto"/>
              <w:jc w:val="center"/>
              <w:textAlignment w:val="auto"/>
              <w:rPr>
                <w:rFonts w:hint="eastAsia" w:ascii="宋体" w:hAnsi="宋体" w:eastAsia="宋体" w:cs="宋体"/>
                <w:kern w:val="0"/>
                <w:sz w:val="24"/>
                <w:szCs w:val="24"/>
                <w:shd w:val="clear" w:color="auto" w:fill="FFFFFF"/>
                <w:lang w:val="en-US" w:eastAsia="zh-CN" w:bidi="ar-SA"/>
              </w:rPr>
            </w:pPr>
            <w:r>
              <w:rPr>
                <w:rFonts w:hint="eastAsia" w:ascii="Times New Roman" w:hAnsi="Times New Roman" w:eastAsia="宋体" w:cs="Times New Roman"/>
                <w:kern w:val="2"/>
                <w:sz w:val="24"/>
                <w:szCs w:val="22"/>
                <w:lang w:val="en-US" w:eastAsia="zh-CN" w:bidi="ar-SA"/>
              </w:rPr>
              <w:t>1700000000300087</w:t>
            </w:r>
            <w:bookmarkStart w:id="0" w:name="_GoBack"/>
            <w:bookmarkEnd w:id="0"/>
          </w:p>
        </w:tc>
        <w:tc>
          <w:tcPr>
            <w:tcW w:w="2159" w:type="dxa"/>
            <w:tcBorders>
              <w:tl2br w:val="nil"/>
              <w:tr2bl w:val="nil"/>
            </w:tcBorders>
            <w:shd w:val="clear" w:color="auto" w:fill="FFFFFF"/>
            <w:vAlign w:val="center"/>
          </w:tcPr>
          <w:p w14:paraId="4FDD1D06">
            <w:pPr>
              <w:keepNext w:val="0"/>
              <w:keepLines w:val="0"/>
              <w:pageBreakBefore w:val="0"/>
              <w:widowControl/>
              <w:kinsoku/>
              <w:wordWrap/>
              <w:overflowPunct/>
              <w:topLinePunct w:val="0"/>
              <w:autoSpaceDE/>
              <w:autoSpaceDN/>
              <w:bidi w:val="0"/>
              <w:adjustRightInd/>
              <w:snapToGrid/>
              <w:spacing w:before="190" w:beforeLines="50" w:after="190" w:afterLines="50" w:line="240" w:lineRule="auto"/>
              <w:jc w:val="center"/>
              <w:textAlignment w:val="auto"/>
              <w:rPr>
                <w:rFonts w:hint="eastAsia" w:ascii="宋体" w:hAnsi="宋体" w:eastAsia="宋体" w:cs="宋体"/>
                <w:kern w:val="0"/>
                <w:sz w:val="24"/>
                <w:szCs w:val="24"/>
                <w:shd w:val="clear" w:color="auto" w:fill="FFFFFF"/>
                <w:lang w:val="en-US" w:eastAsia="zh-CN" w:bidi="ar-SA"/>
              </w:rPr>
            </w:pPr>
            <w:r>
              <w:rPr>
                <w:rFonts w:hint="eastAsia" w:ascii="Times New Roman" w:hAnsi="Times New Roman" w:eastAsia="宋体" w:cs="Times New Roman"/>
                <w:kern w:val="2"/>
                <w:sz w:val="24"/>
                <w:szCs w:val="22"/>
                <w:lang w:val="en-US" w:eastAsia="zh-CN" w:bidi="ar-SA"/>
              </w:rPr>
              <w:t>030797</w:t>
            </w:r>
          </w:p>
        </w:tc>
      </w:tr>
      <w:tr w14:paraId="51E5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vMerge w:val="continue"/>
            <w:tcBorders>
              <w:tl2br w:val="nil"/>
              <w:tr2bl w:val="nil"/>
            </w:tcBorders>
            <w:shd w:val="clear" w:color="auto" w:fill="FFFFFF"/>
            <w:vAlign w:val="center"/>
          </w:tcPr>
          <w:p w14:paraId="1D95E337">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0"/>
                <w:sz w:val="24"/>
                <w:shd w:val="clear" w:color="auto" w:fill="FFFFFF"/>
                <w:lang w:val="en-US" w:eastAsia="zh-CN"/>
              </w:rPr>
            </w:pPr>
          </w:p>
        </w:tc>
        <w:tc>
          <w:tcPr>
            <w:tcW w:w="922" w:type="dxa"/>
            <w:tcBorders>
              <w:tl2br w:val="nil"/>
              <w:tr2bl w:val="nil"/>
            </w:tcBorders>
            <w:shd w:val="clear" w:color="auto" w:fill="FFFFFF"/>
            <w:vAlign w:val="center"/>
          </w:tcPr>
          <w:p w14:paraId="31E03AE6">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rFonts w:hint="eastAsia" w:ascii="Times New Roman" w:hAnsi="Times New Roman" w:eastAsia="宋体" w:cs="Times New Roman"/>
                <w:sz w:val="24"/>
                <w:szCs w:val="24"/>
                <w:lang w:val="en-US" w:eastAsia="zh-CN"/>
              </w:rPr>
              <w:t>舒斌</w:t>
            </w:r>
          </w:p>
        </w:tc>
        <w:tc>
          <w:tcPr>
            <w:tcW w:w="5578" w:type="dxa"/>
            <w:tcBorders>
              <w:tl2br w:val="nil"/>
              <w:tr2bl w:val="nil"/>
            </w:tcBorders>
            <w:shd w:val="clear" w:color="auto" w:fill="FFFFFF"/>
            <w:vAlign w:val="center"/>
          </w:tcPr>
          <w:p w14:paraId="53455E58">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rFonts w:hint="eastAsia" w:ascii="Times New Roman" w:hAnsi="Times New Roman" w:eastAsia="宋体" w:cs="Times New Roman"/>
                <w:sz w:val="24"/>
              </w:rPr>
              <w:t>0800000000205889</w:t>
            </w:r>
          </w:p>
        </w:tc>
        <w:tc>
          <w:tcPr>
            <w:tcW w:w="2159" w:type="dxa"/>
            <w:tcBorders>
              <w:tl2br w:val="nil"/>
              <w:tr2bl w:val="nil"/>
            </w:tcBorders>
            <w:shd w:val="clear" w:color="auto" w:fill="FFFFFF"/>
            <w:vAlign w:val="center"/>
          </w:tcPr>
          <w:p w14:paraId="7AAFD691">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rFonts w:hint="eastAsia" w:ascii="Times New Roman" w:hAnsi="Times New Roman" w:eastAsia="宋体" w:cs="Times New Roman"/>
                <w:sz w:val="24"/>
              </w:rPr>
              <w:t>013031</w:t>
            </w:r>
          </w:p>
        </w:tc>
      </w:tr>
      <w:tr w14:paraId="0257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vMerge w:val="continue"/>
            <w:tcBorders>
              <w:tl2br w:val="nil"/>
              <w:tr2bl w:val="nil"/>
            </w:tcBorders>
            <w:shd w:val="clear" w:color="auto" w:fill="FFFFFF"/>
            <w:vAlign w:val="center"/>
          </w:tcPr>
          <w:p w14:paraId="36CAD703">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0"/>
                <w:sz w:val="24"/>
                <w:shd w:val="clear" w:color="auto" w:fill="FFFFFF"/>
                <w:lang w:val="en-US" w:eastAsia="zh-CN"/>
              </w:rPr>
            </w:pPr>
          </w:p>
        </w:tc>
        <w:tc>
          <w:tcPr>
            <w:tcW w:w="922" w:type="dxa"/>
            <w:tcBorders>
              <w:tl2br w:val="nil"/>
              <w:tr2bl w:val="nil"/>
            </w:tcBorders>
            <w:shd w:val="clear" w:color="auto" w:fill="FFFFFF"/>
            <w:vAlign w:val="center"/>
          </w:tcPr>
          <w:p w14:paraId="1E5BB1B5">
            <w:pPr>
              <w:keepNext w:val="0"/>
              <w:keepLines w:val="0"/>
              <w:pageBreakBefore w:val="0"/>
              <w:kinsoku/>
              <w:wordWrap/>
              <w:overflowPunct/>
              <w:topLinePunct w:val="0"/>
              <w:autoSpaceDE/>
              <w:autoSpaceDN/>
              <w:bidi w:val="0"/>
              <w:adjustRightInd/>
              <w:snapToGrid/>
              <w:spacing w:before="190" w:beforeLines="50" w:after="190" w:afterLines="50" w:line="240" w:lineRule="auto"/>
              <w:jc w:val="center"/>
              <w:textAlignment w:val="auto"/>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刘二平</w:t>
            </w:r>
          </w:p>
        </w:tc>
        <w:tc>
          <w:tcPr>
            <w:tcW w:w="5578" w:type="dxa"/>
            <w:tcBorders>
              <w:tl2br w:val="nil"/>
              <w:tr2bl w:val="nil"/>
            </w:tcBorders>
            <w:shd w:val="clear" w:color="auto" w:fill="auto"/>
            <w:vAlign w:val="center"/>
          </w:tcPr>
          <w:p w14:paraId="75F4AAFE">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rPr>
              <w:t>03320241036000000887</w:t>
            </w:r>
          </w:p>
        </w:tc>
        <w:tc>
          <w:tcPr>
            <w:tcW w:w="2159" w:type="dxa"/>
            <w:tcBorders>
              <w:tl2br w:val="nil"/>
              <w:tr2bl w:val="nil"/>
            </w:tcBorders>
            <w:shd w:val="clear" w:color="auto" w:fill="FFFFFF"/>
            <w:vAlign w:val="center"/>
          </w:tcPr>
          <w:p w14:paraId="1A0330BB">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37250438462</w:t>
            </w:r>
          </w:p>
        </w:tc>
      </w:tr>
      <w:tr w14:paraId="51E5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vMerge w:val="continue"/>
            <w:tcBorders>
              <w:tl2br w:val="nil"/>
              <w:tr2bl w:val="nil"/>
            </w:tcBorders>
            <w:shd w:val="clear" w:color="auto" w:fill="FFFFFF"/>
            <w:vAlign w:val="center"/>
          </w:tcPr>
          <w:p w14:paraId="24E5EA43">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0"/>
                <w:sz w:val="24"/>
                <w:shd w:val="clear" w:color="auto" w:fill="FFFFFF"/>
                <w:lang w:val="en-US" w:eastAsia="zh-CN"/>
              </w:rPr>
            </w:pPr>
          </w:p>
        </w:tc>
        <w:tc>
          <w:tcPr>
            <w:tcW w:w="922" w:type="dxa"/>
            <w:tcBorders>
              <w:tl2br w:val="nil"/>
              <w:tr2bl w:val="nil"/>
            </w:tcBorders>
            <w:shd w:val="clear" w:color="auto" w:fill="FFFFFF"/>
            <w:vAlign w:val="center"/>
          </w:tcPr>
          <w:p w14:paraId="2E477DDE">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赵云峰</w:t>
            </w:r>
          </w:p>
        </w:tc>
        <w:tc>
          <w:tcPr>
            <w:tcW w:w="5578" w:type="dxa"/>
            <w:tcBorders>
              <w:tl2br w:val="nil"/>
              <w:tr2bl w:val="nil"/>
            </w:tcBorders>
            <w:shd w:val="clear" w:color="auto" w:fill="auto"/>
            <w:vAlign w:val="center"/>
          </w:tcPr>
          <w:p w14:paraId="074F88C0">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1600000000200809</w:t>
            </w:r>
          </w:p>
        </w:tc>
        <w:tc>
          <w:tcPr>
            <w:tcW w:w="2159" w:type="dxa"/>
            <w:tcBorders>
              <w:tl2br w:val="nil"/>
              <w:tr2bl w:val="nil"/>
            </w:tcBorders>
            <w:shd w:val="clear" w:color="auto" w:fill="FFFFFF"/>
            <w:vAlign w:val="center"/>
          </w:tcPr>
          <w:p w14:paraId="13EF33F3">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030095</w:t>
            </w:r>
          </w:p>
        </w:tc>
      </w:tr>
      <w:tr w14:paraId="5B19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48B7D7F7">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659" w:type="dxa"/>
            <w:gridSpan w:val="3"/>
            <w:tcBorders>
              <w:tl2br w:val="nil"/>
              <w:tr2bl w:val="nil"/>
            </w:tcBorders>
            <w:shd w:val="clear" w:color="auto" w:fill="FFFFFF"/>
            <w:vAlign w:val="center"/>
          </w:tcPr>
          <w:p w14:paraId="496D6656">
            <w:pPr>
              <w:jc w:val="center"/>
              <w:rPr>
                <w:rFonts w:ascii="宋体" w:hAnsi="宋体" w:cs="宋体"/>
                <w:sz w:val="24"/>
              </w:rPr>
            </w:pPr>
            <w:r>
              <w:rPr>
                <w:rFonts w:hint="eastAsia" w:ascii="宋体" w:hAnsi="宋体" w:cs="宋体"/>
                <w:sz w:val="24"/>
              </w:rPr>
              <w:t>/</w:t>
            </w:r>
          </w:p>
        </w:tc>
      </w:tr>
      <w:tr w14:paraId="3A39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571" w:type="dxa"/>
            <w:tcBorders>
              <w:tl2br w:val="nil"/>
              <w:tr2bl w:val="nil"/>
            </w:tcBorders>
            <w:shd w:val="clear" w:color="auto" w:fill="FFFFFF"/>
            <w:vAlign w:val="center"/>
          </w:tcPr>
          <w:p w14:paraId="1E4D8FB7">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659" w:type="dxa"/>
            <w:gridSpan w:val="3"/>
            <w:tcBorders>
              <w:tl2br w:val="nil"/>
              <w:tr2bl w:val="nil"/>
            </w:tcBorders>
            <w:shd w:val="clear" w:color="auto" w:fill="FFFFFF"/>
            <w:vAlign w:val="center"/>
          </w:tcPr>
          <w:p w14:paraId="12EBA978">
            <w:pPr>
              <w:widowControl/>
              <w:spacing w:after="150"/>
              <w:jc w:val="center"/>
              <w:rPr>
                <w:rFonts w:hint="default" w:ascii="Times New Roman" w:hAnsi="Times New Roman" w:eastAsia="宋体"/>
                <w:sz w:val="24"/>
                <w:lang w:val="en-US" w:eastAsia="zh-CN"/>
              </w:rPr>
            </w:pPr>
            <w:r>
              <w:rPr>
                <w:rFonts w:hint="eastAsia" w:ascii="宋体" w:hAnsi="宋体" w:eastAsia="宋体" w:cs="宋体"/>
                <w:kern w:val="0"/>
                <w:sz w:val="24"/>
                <w:shd w:val="clear" w:color="auto" w:fill="FFFFFF"/>
              </w:rPr>
              <w:t>徐顺星</w:t>
            </w:r>
            <w:r>
              <w:rPr>
                <w:rFonts w:hint="eastAsia" w:ascii="宋体" w:hAnsi="宋体" w:cs="宋体"/>
                <w:kern w:val="0"/>
                <w:sz w:val="24"/>
                <w:shd w:val="clear" w:color="auto" w:fill="FFFFFF"/>
                <w:lang w:eastAsia="zh-CN"/>
              </w:rPr>
              <w:t>、</w:t>
            </w:r>
            <w:r>
              <w:rPr>
                <w:rFonts w:hint="eastAsia" w:ascii="宋体" w:hAnsi="宋体" w:cs="宋体"/>
                <w:kern w:val="0"/>
                <w:sz w:val="24"/>
                <w:shd w:val="clear" w:color="auto" w:fill="FFFFFF"/>
                <w:lang w:val="en-US" w:eastAsia="zh-CN"/>
              </w:rPr>
              <w:t>乔贯德</w:t>
            </w:r>
            <w:r>
              <w:rPr>
                <w:rFonts w:hint="eastAsia" w:ascii="宋体" w:hAnsi="宋体" w:cs="宋体"/>
                <w:sz w:val="24"/>
              </w:rPr>
              <w:t xml:space="preserve"> </w:t>
            </w:r>
            <w:r>
              <w:rPr>
                <w:rFonts w:hint="eastAsia"/>
                <w:sz w:val="24"/>
              </w:rPr>
              <w:t>202</w:t>
            </w:r>
            <w:r>
              <w:rPr>
                <w:rFonts w:hint="eastAsia"/>
                <w:sz w:val="24"/>
                <w:lang w:val="en-US" w:eastAsia="zh-CN"/>
              </w:rPr>
              <w:t>5.12.03</w:t>
            </w:r>
          </w:p>
        </w:tc>
      </w:tr>
      <w:tr w14:paraId="48F6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571" w:type="dxa"/>
            <w:tcBorders>
              <w:tl2br w:val="nil"/>
              <w:tr2bl w:val="nil"/>
            </w:tcBorders>
            <w:shd w:val="clear" w:color="auto" w:fill="FFFFFF"/>
            <w:vAlign w:val="center"/>
          </w:tcPr>
          <w:p w14:paraId="420DD434">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659" w:type="dxa"/>
            <w:gridSpan w:val="3"/>
            <w:tcBorders>
              <w:tl2br w:val="nil"/>
              <w:tr2bl w:val="nil"/>
            </w:tcBorders>
            <w:shd w:val="clear" w:color="auto" w:fill="FFFFFF"/>
            <w:vAlign w:val="center"/>
          </w:tcPr>
          <w:p w14:paraId="4BBB4E6F">
            <w:pPr>
              <w:widowControl/>
              <w:spacing w:after="150"/>
              <w:jc w:val="center"/>
              <w:rPr>
                <w:rFonts w:hint="default" w:ascii="Times New Roman" w:hAnsi="Times New Roman" w:eastAsia="仿宋_GB2312"/>
                <w:color w:val="FF0000"/>
                <w:sz w:val="24"/>
                <w:lang w:val="en-US" w:eastAsia="zh-CN"/>
              </w:rPr>
            </w:pPr>
            <w:r>
              <w:rPr>
                <w:rFonts w:hint="eastAsia" w:ascii="宋体" w:hAnsi="宋体" w:eastAsia="宋体" w:cs="宋体"/>
                <w:kern w:val="0"/>
                <w:sz w:val="24"/>
                <w:shd w:val="clear" w:color="auto" w:fill="FFFFFF"/>
              </w:rPr>
              <w:t>徐顺星</w:t>
            </w:r>
            <w:r>
              <w:rPr>
                <w:rFonts w:hint="eastAsia" w:ascii="宋体" w:hAnsi="宋体" w:cs="宋体"/>
                <w:kern w:val="0"/>
                <w:sz w:val="24"/>
                <w:shd w:val="clear" w:color="auto" w:fill="FFFFFF"/>
                <w:lang w:eastAsia="zh-CN"/>
              </w:rPr>
              <w:t>、</w:t>
            </w:r>
            <w:r>
              <w:rPr>
                <w:rFonts w:hint="eastAsia" w:ascii="宋体" w:hAnsi="宋体" w:cs="宋体"/>
                <w:kern w:val="0"/>
                <w:sz w:val="24"/>
                <w:shd w:val="clear" w:color="auto" w:fill="FFFFFF"/>
                <w:lang w:val="en-US" w:eastAsia="zh-CN"/>
              </w:rPr>
              <w:t>乔贯德</w:t>
            </w:r>
            <w:r>
              <w:rPr>
                <w:rFonts w:hint="eastAsia" w:ascii="宋体" w:hAnsi="宋体" w:cs="宋体"/>
                <w:sz w:val="24"/>
              </w:rPr>
              <w:t xml:space="preserve"> </w:t>
            </w:r>
            <w:r>
              <w:rPr>
                <w:rFonts w:hint="eastAsia"/>
                <w:sz w:val="24"/>
              </w:rPr>
              <w:t>202</w:t>
            </w:r>
            <w:r>
              <w:rPr>
                <w:rFonts w:hint="eastAsia"/>
                <w:sz w:val="24"/>
                <w:lang w:val="en-US" w:eastAsia="zh-CN"/>
              </w:rPr>
              <w:t>5.12.05</w:t>
            </w:r>
          </w:p>
        </w:tc>
      </w:tr>
      <w:tr w14:paraId="2980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71" w:type="dxa"/>
            <w:tcBorders>
              <w:tl2br w:val="nil"/>
              <w:tr2bl w:val="nil"/>
            </w:tcBorders>
            <w:shd w:val="clear" w:color="auto" w:fill="FFFFFF"/>
            <w:vAlign w:val="center"/>
          </w:tcPr>
          <w:p w14:paraId="2843815E">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659" w:type="dxa"/>
            <w:gridSpan w:val="3"/>
            <w:tcBorders>
              <w:tl2br w:val="nil"/>
              <w:tr2bl w:val="nil"/>
            </w:tcBorders>
            <w:shd w:val="clear" w:color="auto" w:fill="FFFFFF"/>
          </w:tcPr>
          <w:p w14:paraId="3CC804FB">
            <w:pPr>
              <w:pStyle w:val="16"/>
              <w:overflowPunct w:val="0"/>
              <w:adjustRightInd w:val="0"/>
              <w:snapToGrid w:val="0"/>
              <w:spacing w:before="0" w:beforeAutospacing="0" w:after="0" w:afterAutospacing="0" w:line="360" w:lineRule="auto"/>
              <w:ind w:firstLine="567"/>
              <w:jc w:val="both"/>
              <w:textAlignment w:val="baseline"/>
              <w:rPr>
                <w:rFonts w:hint="eastAsia" w:eastAsia="宋体" w:cs="Times New Roman"/>
                <w:sz w:val="24"/>
                <w:lang w:val="en-US" w:eastAsia="zh-CN"/>
              </w:rPr>
            </w:pPr>
            <w:r>
              <w:rPr>
                <w:rFonts w:hint="eastAsia" w:eastAsia="宋体" w:cs="Times New Roman"/>
                <w:sz w:val="24"/>
                <w:lang w:val="en-US" w:eastAsia="zh-CN"/>
              </w:rPr>
              <w:t>中国石油天然气股份有限公司江西南昌卫东加油站（以下简称“该加油站”）于2009年10月20日成立，企业类型为股份有限公司分公司（上市、国有控股），负责人为周啟春，统一社会信用代码为91360100696060756F，注册地址位于江西省南昌市红谷滩区江西省南昌市红谷滩区沙井街办卫东村，经营范围为：食品销售，烟草制品零售，电子烟零售，住宿服务，出版物零售，建设工程施工，药品零售，发电业务、输电业务、供（配）电业务，互联网信息服务，餐饮服务，网络预约出租汽车经营服务，农药零售，成品油零售等。该加油站主营的危险化学品为汽油和柴油。</w:t>
            </w:r>
          </w:p>
          <w:p w14:paraId="60AF0535">
            <w:pPr>
              <w:pStyle w:val="16"/>
              <w:overflowPunct w:val="0"/>
              <w:adjustRightInd w:val="0"/>
              <w:snapToGrid w:val="0"/>
              <w:spacing w:before="0" w:beforeAutospacing="0" w:after="0" w:afterAutospacing="0" w:line="360" w:lineRule="auto"/>
              <w:ind w:firstLine="567"/>
              <w:jc w:val="both"/>
              <w:textAlignment w:val="baseline"/>
              <w:rPr>
                <w:rFonts w:hint="eastAsia" w:eastAsia="宋体" w:cs="Times New Roman"/>
                <w:sz w:val="24"/>
                <w:lang w:val="en-US" w:eastAsia="zh-CN"/>
              </w:rPr>
            </w:pPr>
            <w:r>
              <w:rPr>
                <w:rFonts w:hint="eastAsia" w:eastAsia="宋体" w:cs="Times New Roman"/>
                <w:sz w:val="24"/>
                <w:lang w:val="en-US" w:eastAsia="zh-CN"/>
              </w:rPr>
              <w:t>该加油站土地归属南昌市红谷滩区沙井街道办事处卫东村村民委员会；由出租方（秦小菊、南昌市新艺企业管理有限公司）与承租方（中国石油天然气股份有限公司江西销售分公司）签订有《加油站资产租赁合同》，位于江西省南昌市红谷滩区红谷六路与碟子湖大道交汇处的卫东加油站由中国石油天然气股份有限公司江西南昌卫东加油站运营。</w:t>
            </w:r>
          </w:p>
          <w:p w14:paraId="14F52DA5">
            <w:pPr>
              <w:pStyle w:val="16"/>
              <w:overflowPunct w:val="0"/>
              <w:adjustRightInd w:val="0"/>
              <w:snapToGrid w:val="0"/>
              <w:spacing w:before="0" w:beforeAutospacing="0" w:after="0" w:afterAutospacing="0" w:line="360" w:lineRule="auto"/>
              <w:ind w:firstLine="567"/>
              <w:jc w:val="both"/>
              <w:textAlignment w:val="baseline"/>
              <w:rPr>
                <w:rFonts w:hint="eastAsia" w:eastAsia="宋体" w:cs="Times New Roman"/>
                <w:sz w:val="24"/>
                <w:lang w:val="en-US" w:eastAsia="zh-CN"/>
              </w:rPr>
            </w:pPr>
            <w:r>
              <w:rPr>
                <w:rFonts w:hint="eastAsia" w:eastAsia="宋体" w:cs="Times New Roman"/>
                <w:sz w:val="24"/>
                <w:lang w:val="en-US" w:eastAsia="zh-CN"/>
              </w:rPr>
              <w:t>该加油站于2024年09月14日取得了南昌市商务局出具的成品油零售经营批准证书，编号：油零售证书第洪商0060号，有效期至2027年09月30日；于2024年06月14日取得了南昌市应急管理局出具的危险化学品经营许可证，编号：赣洪应急经（甲）[2024]00064，有效期至2027年08月24日。</w:t>
            </w:r>
          </w:p>
          <w:p w14:paraId="0CAFB403">
            <w:pPr>
              <w:pStyle w:val="16"/>
              <w:overflowPunct w:val="0"/>
              <w:adjustRightInd w:val="0"/>
              <w:snapToGrid w:val="0"/>
              <w:spacing w:before="0" w:beforeAutospacing="0" w:after="0" w:afterAutospacing="0" w:line="360" w:lineRule="auto"/>
              <w:ind w:firstLine="567"/>
              <w:jc w:val="both"/>
              <w:textAlignment w:val="baseline"/>
              <w:rPr>
                <w:rFonts w:hint="eastAsia" w:eastAsia="宋体" w:cs="Times New Roman"/>
                <w:sz w:val="24"/>
                <w:lang w:val="en-US" w:eastAsia="zh-CN"/>
              </w:rPr>
            </w:pPr>
            <w:r>
              <w:rPr>
                <w:rFonts w:hint="eastAsia" w:eastAsia="宋体" w:cs="Times New Roman"/>
                <w:sz w:val="24"/>
                <w:lang w:val="en-US" w:eastAsia="zh-CN"/>
              </w:rPr>
              <w:t>该加油站主要经营92#、95#、98#汽油和0#柴油，共设有5台双层承重油罐，其中2台30m³的92#汽油储罐、1台30m³的95#汽油储罐、1台30m³的98#汽油储罐、1台30m³的0#柴油储罐，加油站总容积为150m³，折算容积为135m³（柴油折半）；设有6台4枪加油机，汽油卸油、加油设置了油气回收系统。按照《汽车加油加气加氢站技术标准》（GB50156-2021）中对加油站等级的划分，该加油站为二级加油站。该加油站于2025年11月02日在该加油站西南侧，附房东南侧区域增设全自动洗车机1台等。</w:t>
            </w:r>
          </w:p>
          <w:p w14:paraId="2B6F88CA">
            <w:pPr>
              <w:pStyle w:val="16"/>
              <w:overflowPunct w:val="0"/>
              <w:adjustRightInd w:val="0"/>
              <w:snapToGrid w:val="0"/>
              <w:spacing w:before="0" w:beforeAutospacing="0" w:after="0" w:afterAutospacing="0" w:line="360" w:lineRule="auto"/>
              <w:ind w:firstLine="567"/>
              <w:jc w:val="both"/>
              <w:textAlignment w:val="baseline"/>
              <w:rPr>
                <w:rFonts w:hint="eastAsia" w:eastAsia="宋体" w:cs="Times New Roman"/>
                <w:sz w:val="24"/>
                <w:lang w:val="en-US" w:eastAsia="zh-CN"/>
              </w:rPr>
            </w:pPr>
            <w:r>
              <w:rPr>
                <w:rFonts w:hint="eastAsia" w:eastAsia="宋体" w:cs="Times New Roman"/>
                <w:sz w:val="24"/>
                <w:lang w:val="en-US" w:eastAsia="zh-CN"/>
              </w:rPr>
              <w:t>根据《国民经济行业分类》GB/T4754-2017（2019修改版），该加油站行业分类代码和类别：[F5265]机动车燃油零售。根据《产业结构调整指导目录》（2024年修改本），该加油站属于允许类项目，不属于限制、淘汰类；所采用的工艺、设备和产品均不在国家经贸委公布的《淘汰落后生产能力、工艺和产品的目录（第一、二、三批）》范围内。</w:t>
            </w:r>
          </w:p>
          <w:p w14:paraId="40A8A009">
            <w:pPr>
              <w:pStyle w:val="16"/>
              <w:overflowPunct w:val="0"/>
              <w:adjustRightInd w:val="0"/>
              <w:snapToGrid w:val="0"/>
              <w:spacing w:before="0" w:beforeAutospacing="0" w:after="0" w:afterAutospacing="0" w:line="360" w:lineRule="auto"/>
              <w:ind w:firstLine="567"/>
              <w:jc w:val="both"/>
              <w:textAlignment w:val="baseline"/>
              <w:rPr>
                <w:rFonts w:hint="eastAsia" w:eastAsia="宋体" w:cs="Times New Roman"/>
                <w:sz w:val="24"/>
                <w:lang w:val="en-US" w:eastAsia="zh-CN"/>
              </w:rPr>
            </w:pPr>
            <w:r>
              <w:rPr>
                <w:rFonts w:hint="eastAsia" w:eastAsia="宋体" w:cs="Times New Roman"/>
                <w:sz w:val="24"/>
                <w:lang w:val="en-US" w:eastAsia="zh-CN"/>
              </w:rPr>
              <w:t>根据该加油站装置区及设施的主要危险部位和其存在的危险、有害物质，经综合分析，潜在的主要危险、危害因素有：火灾爆炸、车辆伤害、触电、物体打击、高处坠落、机械伤害、中毒窒息、坍塌、灼烫、高温等。</w:t>
            </w:r>
          </w:p>
          <w:p w14:paraId="37ABB15B">
            <w:pPr>
              <w:pStyle w:val="16"/>
              <w:overflowPunct w:val="0"/>
              <w:adjustRightInd w:val="0"/>
              <w:snapToGrid w:val="0"/>
              <w:spacing w:before="0" w:beforeAutospacing="0" w:after="0" w:afterAutospacing="0" w:line="360" w:lineRule="auto"/>
              <w:ind w:firstLine="567"/>
              <w:jc w:val="both"/>
              <w:textAlignment w:val="baseline"/>
              <w:rPr>
                <w:sz w:val="24"/>
              </w:rPr>
            </w:pPr>
            <w:r>
              <w:rPr>
                <w:rFonts w:hint="eastAsia" w:eastAsia="宋体" w:cs="Times New Roman"/>
                <w:sz w:val="24"/>
                <w:lang w:val="en-US" w:eastAsia="zh-CN"/>
              </w:rPr>
              <w:t>依据《危险化学品重大危险源辨识》（GB18218-2018），对各单元内存在危险化学品数量辨识可知，该加油站未构成重大危险源。</w:t>
            </w:r>
          </w:p>
        </w:tc>
      </w:tr>
      <w:tr w14:paraId="4632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507" w:hRule="atLeast"/>
          <w:jc w:val="center"/>
        </w:trPr>
        <w:tc>
          <w:tcPr>
            <w:tcW w:w="571" w:type="dxa"/>
            <w:tcBorders>
              <w:tl2br w:val="nil"/>
              <w:tr2bl w:val="nil"/>
            </w:tcBorders>
            <w:shd w:val="clear" w:color="auto" w:fill="FFFFFF"/>
            <w:vAlign w:val="center"/>
          </w:tcPr>
          <w:p w14:paraId="70D138A8">
            <w:pPr>
              <w:widowControl/>
              <w:spacing w:after="150"/>
              <w:jc w:val="center"/>
            </w:pPr>
            <w:r>
              <w:rPr>
                <w:rFonts w:hint="eastAsia"/>
                <w:sz w:val="24"/>
              </w:rPr>
              <w:t>工艺流程</w:t>
            </w:r>
          </w:p>
        </w:tc>
        <w:tc>
          <w:tcPr>
            <w:tcW w:w="8659" w:type="dxa"/>
            <w:gridSpan w:val="3"/>
            <w:tcBorders>
              <w:tl2br w:val="nil"/>
              <w:tr2bl w:val="nil"/>
            </w:tcBorders>
            <w:shd w:val="clear" w:color="auto" w:fill="FFFFFF"/>
          </w:tcPr>
          <w:p w14:paraId="647E41C7">
            <w:pPr>
              <w:pStyle w:val="11"/>
              <w:spacing w:line="360" w:lineRule="auto"/>
              <w:rPr>
                <w:rFonts w:hAnsi="宋体"/>
                <w:sz w:val="28"/>
                <w:szCs w:val="20"/>
              </w:rPr>
            </w:pPr>
            <w:r>
              <w:rPr>
                <w:rFonts w:hAnsi="宋体"/>
                <w:sz w:val="28"/>
                <w:szCs w:val="20"/>
              </w:rPr>
              <w:t>工艺流程简图</w:t>
            </w:r>
          </w:p>
          <w:p w14:paraId="4D3E2C0B">
            <w:pPr>
              <w:pStyle w:val="11"/>
              <w:spacing w:line="360" w:lineRule="auto"/>
              <w:rPr>
                <w:rFonts w:hAnsi="宋体"/>
                <w:sz w:val="28"/>
                <w:szCs w:val="20"/>
              </w:rPr>
            </w:pPr>
            <w:r>
              <w:drawing>
                <wp:inline distT="0" distB="0" distL="114300" distR="114300">
                  <wp:extent cx="5038725" cy="14287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038725" cy="1428750"/>
                          </a:xfrm>
                          <a:prstGeom prst="rect">
                            <a:avLst/>
                          </a:prstGeom>
                          <a:noFill/>
                          <a:ln>
                            <a:noFill/>
                          </a:ln>
                        </pic:spPr>
                      </pic:pic>
                    </a:graphicData>
                  </a:graphic>
                </wp:inline>
              </w:drawing>
            </w:r>
          </w:p>
          <w:p w14:paraId="57CE8D23">
            <w:pPr>
              <w:pStyle w:val="11"/>
              <w:spacing w:line="360" w:lineRule="auto"/>
              <w:ind w:left="0" w:leftChars="0" w:firstLine="0" w:firstLineChars="0"/>
              <w:jc w:val="center"/>
            </w:pPr>
            <w:r>
              <w:drawing>
                <wp:inline distT="0" distB="0" distL="114300" distR="114300">
                  <wp:extent cx="5491480" cy="744220"/>
                  <wp:effectExtent l="0" t="0" r="1397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491480" cy="744220"/>
                          </a:xfrm>
                          <a:prstGeom prst="rect">
                            <a:avLst/>
                          </a:prstGeom>
                          <a:noFill/>
                          <a:ln>
                            <a:noFill/>
                          </a:ln>
                        </pic:spPr>
                      </pic:pic>
                    </a:graphicData>
                  </a:graphic>
                </wp:inline>
              </w:drawing>
            </w:r>
            <w:r>
              <w:drawing>
                <wp:inline distT="0" distB="0" distL="114300" distR="114300">
                  <wp:extent cx="4972050" cy="1752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4972050" cy="1752600"/>
                          </a:xfrm>
                          <a:prstGeom prst="rect">
                            <a:avLst/>
                          </a:prstGeom>
                          <a:noFill/>
                          <a:ln>
                            <a:noFill/>
                          </a:ln>
                        </pic:spPr>
                      </pic:pic>
                    </a:graphicData>
                  </a:graphic>
                </wp:inline>
              </w:drawing>
            </w:r>
          </w:p>
          <w:p w14:paraId="6EA10E77">
            <w:pPr>
              <w:pStyle w:val="11"/>
              <w:spacing w:line="360" w:lineRule="auto"/>
              <w:ind w:left="0" w:leftChars="0" w:firstLine="0" w:firstLineChars="0"/>
              <w:jc w:val="center"/>
            </w:pPr>
            <w:r>
              <w:drawing>
                <wp:inline distT="0" distB="0" distL="114300" distR="114300">
                  <wp:extent cx="5488940" cy="2855595"/>
                  <wp:effectExtent l="0" t="0" r="1651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488940" cy="2855595"/>
                          </a:xfrm>
                          <a:prstGeom prst="rect">
                            <a:avLst/>
                          </a:prstGeom>
                          <a:noFill/>
                          <a:ln>
                            <a:noFill/>
                          </a:ln>
                        </pic:spPr>
                      </pic:pic>
                    </a:graphicData>
                  </a:graphic>
                </wp:inline>
              </w:drawing>
            </w:r>
          </w:p>
          <w:p w14:paraId="016E6F4E">
            <w:pPr>
              <w:pStyle w:val="11"/>
              <w:spacing w:line="360" w:lineRule="auto"/>
              <w:ind w:left="0" w:leftChars="0" w:firstLine="0" w:firstLineChars="0"/>
              <w:jc w:val="center"/>
              <w:rPr>
                <w:rFonts w:hAnsi="宋体" w:cs="宋体"/>
                <w:b/>
                <w:bCs/>
                <w:color w:val="000000" w:themeColor="text1"/>
                <w:kern w:val="0"/>
                <w:sz w:val="24"/>
                <w:szCs w:val="20"/>
                <w14:textFill>
                  <w14:solidFill>
                    <w14:schemeClr w14:val="tx1"/>
                  </w14:solidFill>
                </w14:textFill>
              </w:rPr>
            </w:pPr>
            <w:r>
              <w:drawing>
                <wp:inline distT="0" distB="0" distL="114300" distR="114300">
                  <wp:extent cx="5489575" cy="1449070"/>
                  <wp:effectExtent l="0" t="0" r="15875"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489575" cy="1449070"/>
                          </a:xfrm>
                          <a:prstGeom prst="rect">
                            <a:avLst/>
                          </a:prstGeom>
                          <a:noFill/>
                          <a:ln>
                            <a:noFill/>
                          </a:ln>
                        </pic:spPr>
                      </pic:pic>
                    </a:graphicData>
                  </a:graphic>
                </wp:inline>
              </w:drawing>
            </w:r>
          </w:p>
        </w:tc>
      </w:tr>
      <w:tr w14:paraId="67D2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71" w:type="dxa"/>
            <w:tcBorders>
              <w:tl2br w:val="nil"/>
              <w:tr2bl w:val="nil"/>
            </w:tcBorders>
            <w:shd w:val="clear" w:color="auto" w:fill="FFFFFF"/>
            <w:vAlign w:val="center"/>
          </w:tcPr>
          <w:p w14:paraId="753414F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659" w:type="dxa"/>
            <w:gridSpan w:val="3"/>
            <w:tcBorders>
              <w:tl2br w:val="nil"/>
              <w:tr2bl w:val="nil"/>
            </w:tcBorders>
            <w:shd w:val="clear" w:color="auto" w:fill="FFFFFF"/>
            <w:vAlign w:val="center"/>
          </w:tcPr>
          <w:p w14:paraId="6CB79018">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6C571E99">
      <w:pPr>
        <w:rPr>
          <w:rFonts w:hint="eastAsia" w:eastAsia="宋体"/>
          <w:lang w:eastAsia="zh-CN"/>
        </w:rPr>
      </w:pPr>
      <w:r>
        <w:br w:type="page"/>
      </w:r>
    </w:p>
    <w:p w14:paraId="09C8395E">
      <w:pPr>
        <w:ind w:left="0" w:leftChars="0" w:firstLine="0" w:firstLineChars="0"/>
        <w:jc w:val="center"/>
        <w:rPr>
          <w:rFonts w:hint="eastAsia" w:eastAsia="宋体"/>
          <w:color w:val="auto"/>
          <w:highlight w:val="none"/>
          <w:lang w:eastAsia="zh-CN"/>
        </w:rPr>
      </w:pPr>
      <w:r>
        <w:drawing>
          <wp:inline distT="0" distB="0" distL="114300" distR="114300">
            <wp:extent cx="5272405" cy="3180080"/>
            <wp:effectExtent l="0" t="0" r="4445" b="127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5272405" cy="3180080"/>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3708400" cy="5376545"/>
            <wp:effectExtent l="0" t="0" r="6350" b="14605"/>
            <wp:docPr id="7" name="图片 7" descr="3、现场检查现场核查2,2025年12月05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现场检查现场核查2,2025年12月05日"/>
                    <pic:cNvPicPr>
                      <a:picLocks noChangeAspect="1"/>
                    </pic:cNvPicPr>
                  </pic:nvPicPr>
                  <pic:blipFill>
                    <a:blip r:embed="rId10"/>
                    <a:srcRect t="4930" b="29328"/>
                    <a:stretch>
                      <a:fillRect/>
                    </a:stretch>
                  </pic:blipFill>
                  <pic:spPr>
                    <a:xfrm>
                      <a:off x="0" y="0"/>
                      <a:ext cx="3708400" cy="5376545"/>
                    </a:xfrm>
                    <a:prstGeom prst="rect">
                      <a:avLst/>
                    </a:prstGeom>
                  </pic:spPr>
                </pic:pic>
              </a:graphicData>
            </a:graphic>
          </wp:inline>
        </w:drawing>
      </w:r>
    </w:p>
    <w:p w14:paraId="132C2EAF">
      <w:pPr>
        <w:ind w:left="0" w:leftChars="0" w:firstLine="0" w:firstLineChars="0"/>
        <w:jc w:val="center"/>
        <w:rPr>
          <w:rFonts w:hint="eastAsia" w:eastAsia="宋体"/>
          <w:color w:val="auto"/>
          <w:highlight w:val="none"/>
          <w:lang w:eastAsia="zh-CN"/>
        </w:rPr>
      </w:pPr>
      <w:r>
        <w:drawing>
          <wp:inline distT="0" distB="0" distL="114300" distR="114300">
            <wp:extent cx="5259070" cy="7450455"/>
            <wp:effectExtent l="0" t="0" r="17780" b="171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5259070" cy="7450455"/>
                    </a:xfrm>
                    <a:prstGeom prst="rect">
                      <a:avLst/>
                    </a:prstGeom>
                    <a:noFill/>
                    <a:ln>
                      <a:noFill/>
                    </a:ln>
                  </pic:spPr>
                </pic:pic>
              </a:graphicData>
            </a:graphic>
          </wp:inline>
        </w:drawing>
      </w:r>
      <w:r>
        <w:drawing>
          <wp:inline distT="0" distB="0" distL="114300" distR="114300">
            <wp:extent cx="5271135" cy="7477125"/>
            <wp:effectExtent l="0" t="0" r="5715"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5271135" cy="7477125"/>
                    </a:xfrm>
                    <a:prstGeom prst="rect">
                      <a:avLst/>
                    </a:prstGeom>
                    <a:noFill/>
                    <a:ln>
                      <a:noFill/>
                    </a:ln>
                  </pic:spPr>
                </pic:pic>
              </a:graphicData>
            </a:graphic>
          </wp:inline>
        </w:drawing>
      </w:r>
    </w:p>
    <w:p w14:paraId="7E62D046">
      <w:pPr>
        <w:rPr>
          <w:rFonts w:hint="eastAsia" w:eastAsia="宋体"/>
          <w:lang w:eastAsia="zh-CN"/>
        </w:rPr>
      </w:pPr>
    </w:p>
    <w:p w14:paraId="65E4F335"/>
    <w:p w14:paraId="7C8B6106">
      <w:pPr>
        <w:pStyle w:val="24"/>
        <w:ind w:firstLine="0"/>
      </w:pPr>
      <w:r>
        <w:drawing>
          <wp:inline distT="0" distB="0" distL="114300" distR="114300">
            <wp:extent cx="5259070" cy="7450455"/>
            <wp:effectExtent l="0" t="0" r="17780" b="1714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5259070" cy="7450455"/>
                    </a:xfrm>
                    <a:prstGeom prst="rect">
                      <a:avLst/>
                    </a:prstGeom>
                    <a:noFill/>
                    <a:ln>
                      <a:noFill/>
                    </a:ln>
                  </pic:spPr>
                </pic:pic>
              </a:graphicData>
            </a:graphic>
          </wp:inline>
        </w:drawing>
      </w:r>
      <w:r>
        <w:drawing>
          <wp:inline distT="0" distB="0" distL="114300" distR="114300">
            <wp:extent cx="5259070" cy="7450455"/>
            <wp:effectExtent l="0" t="0" r="17780" b="1714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a:stretch>
                      <a:fillRect/>
                    </a:stretch>
                  </pic:blipFill>
                  <pic:spPr>
                    <a:xfrm>
                      <a:off x="0" y="0"/>
                      <a:ext cx="5259070" cy="7450455"/>
                    </a:xfrm>
                    <a:prstGeom prst="rect">
                      <a:avLst/>
                    </a:prstGeom>
                    <a:noFill/>
                    <a:ln>
                      <a:noFill/>
                    </a:ln>
                  </pic:spPr>
                </pic:pic>
              </a:graphicData>
            </a:graphic>
          </wp:inline>
        </w:drawing>
      </w:r>
    </w:p>
    <w:p w14:paraId="5686DDB9"/>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6"/>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jMTM5YTVmN2Q2ZjBlMTIyM2EzYzg2YTk5NjZjYWYifQ=="/>
    <w:docVar w:name="KSO_WPS_MARK_KEY" w:val="f0c94484-18bf-41d0-a894-232196517eb0"/>
  </w:docVars>
  <w:rsids>
    <w:rsidRoot w:val="00E3751A"/>
    <w:rsid w:val="00047227"/>
    <w:rsid w:val="00303C12"/>
    <w:rsid w:val="003A7C06"/>
    <w:rsid w:val="004340C8"/>
    <w:rsid w:val="004D1AF7"/>
    <w:rsid w:val="005858BE"/>
    <w:rsid w:val="00664D2A"/>
    <w:rsid w:val="00756850"/>
    <w:rsid w:val="007A2261"/>
    <w:rsid w:val="00802085"/>
    <w:rsid w:val="008F01AE"/>
    <w:rsid w:val="00C75118"/>
    <w:rsid w:val="00C82162"/>
    <w:rsid w:val="00D40559"/>
    <w:rsid w:val="00D82741"/>
    <w:rsid w:val="00E3751A"/>
    <w:rsid w:val="00FF47EE"/>
    <w:rsid w:val="01381A2C"/>
    <w:rsid w:val="030516AD"/>
    <w:rsid w:val="03463A74"/>
    <w:rsid w:val="03C37305"/>
    <w:rsid w:val="04334FFF"/>
    <w:rsid w:val="04356119"/>
    <w:rsid w:val="04543719"/>
    <w:rsid w:val="045937F4"/>
    <w:rsid w:val="04664971"/>
    <w:rsid w:val="04714B20"/>
    <w:rsid w:val="04C5506A"/>
    <w:rsid w:val="04D11406"/>
    <w:rsid w:val="04E23328"/>
    <w:rsid w:val="050505ED"/>
    <w:rsid w:val="06007F0A"/>
    <w:rsid w:val="062E2CC9"/>
    <w:rsid w:val="06EF6353"/>
    <w:rsid w:val="07D32EB9"/>
    <w:rsid w:val="07E46E00"/>
    <w:rsid w:val="0814540D"/>
    <w:rsid w:val="08300409"/>
    <w:rsid w:val="08302FF8"/>
    <w:rsid w:val="08E81855"/>
    <w:rsid w:val="08ED0200"/>
    <w:rsid w:val="096769A3"/>
    <w:rsid w:val="096F1B10"/>
    <w:rsid w:val="09806C85"/>
    <w:rsid w:val="098826F0"/>
    <w:rsid w:val="0A0E1339"/>
    <w:rsid w:val="0A173A74"/>
    <w:rsid w:val="0A4F7A65"/>
    <w:rsid w:val="0BC750FD"/>
    <w:rsid w:val="0D073DB5"/>
    <w:rsid w:val="0D081033"/>
    <w:rsid w:val="0E564C35"/>
    <w:rsid w:val="0EC817E1"/>
    <w:rsid w:val="0F1C6141"/>
    <w:rsid w:val="0FFD1618"/>
    <w:rsid w:val="1070612B"/>
    <w:rsid w:val="10806817"/>
    <w:rsid w:val="10A546BD"/>
    <w:rsid w:val="10AE1BD9"/>
    <w:rsid w:val="10D96D50"/>
    <w:rsid w:val="13FA1B12"/>
    <w:rsid w:val="141C622E"/>
    <w:rsid w:val="147F5532"/>
    <w:rsid w:val="1548693F"/>
    <w:rsid w:val="156C314D"/>
    <w:rsid w:val="15CB68F5"/>
    <w:rsid w:val="16370F8B"/>
    <w:rsid w:val="16B10157"/>
    <w:rsid w:val="16D30950"/>
    <w:rsid w:val="172B1294"/>
    <w:rsid w:val="17505468"/>
    <w:rsid w:val="17550DB0"/>
    <w:rsid w:val="17810296"/>
    <w:rsid w:val="17C601C4"/>
    <w:rsid w:val="18301429"/>
    <w:rsid w:val="188D103C"/>
    <w:rsid w:val="190E35A0"/>
    <w:rsid w:val="191A70DD"/>
    <w:rsid w:val="19992B53"/>
    <w:rsid w:val="19CE23A1"/>
    <w:rsid w:val="19D014C8"/>
    <w:rsid w:val="19F45335"/>
    <w:rsid w:val="1A4E76A5"/>
    <w:rsid w:val="1A95191D"/>
    <w:rsid w:val="1ADA1B6B"/>
    <w:rsid w:val="1B63147C"/>
    <w:rsid w:val="1C3244B8"/>
    <w:rsid w:val="1C461987"/>
    <w:rsid w:val="1C4B6410"/>
    <w:rsid w:val="1C67088B"/>
    <w:rsid w:val="1C970306"/>
    <w:rsid w:val="1CD13F56"/>
    <w:rsid w:val="1CD14F1F"/>
    <w:rsid w:val="1CEA3399"/>
    <w:rsid w:val="1DA60EEB"/>
    <w:rsid w:val="1F0F5E71"/>
    <w:rsid w:val="1F142A61"/>
    <w:rsid w:val="1F642D26"/>
    <w:rsid w:val="1FAC2BD1"/>
    <w:rsid w:val="1FF45CE7"/>
    <w:rsid w:val="207673DB"/>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BD9110B"/>
    <w:rsid w:val="2C9D3BC7"/>
    <w:rsid w:val="2CF2686E"/>
    <w:rsid w:val="2E9E272A"/>
    <w:rsid w:val="2EAE6403"/>
    <w:rsid w:val="31055C5A"/>
    <w:rsid w:val="3256187C"/>
    <w:rsid w:val="3259568C"/>
    <w:rsid w:val="32A66941"/>
    <w:rsid w:val="339918AA"/>
    <w:rsid w:val="33BD2F62"/>
    <w:rsid w:val="341F407D"/>
    <w:rsid w:val="34BD4A82"/>
    <w:rsid w:val="351530F3"/>
    <w:rsid w:val="35211925"/>
    <w:rsid w:val="35524794"/>
    <w:rsid w:val="357232E4"/>
    <w:rsid w:val="36577381"/>
    <w:rsid w:val="366115C7"/>
    <w:rsid w:val="37285AB1"/>
    <w:rsid w:val="375C6F30"/>
    <w:rsid w:val="3781684D"/>
    <w:rsid w:val="3823766B"/>
    <w:rsid w:val="38B4115F"/>
    <w:rsid w:val="396748BA"/>
    <w:rsid w:val="3A751F6D"/>
    <w:rsid w:val="3AB6680E"/>
    <w:rsid w:val="3AD61658"/>
    <w:rsid w:val="3ADD7367"/>
    <w:rsid w:val="3AF50232"/>
    <w:rsid w:val="3B251FB8"/>
    <w:rsid w:val="3B3712DA"/>
    <w:rsid w:val="3B622014"/>
    <w:rsid w:val="3C7D28D5"/>
    <w:rsid w:val="3CE43836"/>
    <w:rsid w:val="3D027FC2"/>
    <w:rsid w:val="3D3D4FC4"/>
    <w:rsid w:val="3DEB4A20"/>
    <w:rsid w:val="3E2D53F7"/>
    <w:rsid w:val="3EB62D94"/>
    <w:rsid w:val="3EEC7F81"/>
    <w:rsid w:val="3FA71C20"/>
    <w:rsid w:val="3FDA2F9E"/>
    <w:rsid w:val="40606FB3"/>
    <w:rsid w:val="408A0869"/>
    <w:rsid w:val="40995D81"/>
    <w:rsid w:val="40C12DB9"/>
    <w:rsid w:val="40DC28F6"/>
    <w:rsid w:val="416C231C"/>
    <w:rsid w:val="41AC75B5"/>
    <w:rsid w:val="41B906C9"/>
    <w:rsid w:val="41C84509"/>
    <w:rsid w:val="42305ED2"/>
    <w:rsid w:val="42355182"/>
    <w:rsid w:val="43120BD6"/>
    <w:rsid w:val="43B14016"/>
    <w:rsid w:val="43F50190"/>
    <w:rsid w:val="4432163F"/>
    <w:rsid w:val="44476729"/>
    <w:rsid w:val="4546743F"/>
    <w:rsid w:val="45A13141"/>
    <w:rsid w:val="46966FC2"/>
    <w:rsid w:val="47BA20C4"/>
    <w:rsid w:val="47EE36B2"/>
    <w:rsid w:val="485E76F8"/>
    <w:rsid w:val="48AF6D87"/>
    <w:rsid w:val="49CE6C17"/>
    <w:rsid w:val="4CDE060B"/>
    <w:rsid w:val="4D671BE9"/>
    <w:rsid w:val="4E3D5914"/>
    <w:rsid w:val="4E461B89"/>
    <w:rsid w:val="4F4C1097"/>
    <w:rsid w:val="4F844CD5"/>
    <w:rsid w:val="4FF32FA8"/>
    <w:rsid w:val="50EA0B03"/>
    <w:rsid w:val="512A57AB"/>
    <w:rsid w:val="515A3854"/>
    <w:rsid w:val="516108B5"/>
    <w:rsid w:val="5276471A"/>
    <w:rsid w:val="52CC47C0"/>
    <w:rsid w:val="52E07D49"/>
    <w:rsid w:val="5374510A"/>
    <w:rsid w:val="53F5005F"/>
    <w:rsid w:val="563D2137"/>
    <w:rsid w:val="56836AB2"/>
    <w:rsid w:val="56BC2DE3"/>
    <w:rsid w:val="56D42C4D"/>
    <w:rsid w:val="57301D47"/>
    <w:rsid w:val="57487036"/>
    <w:rsid w:val="575D6537"/>
    <w:rsid w:val="57800B40"/>
    <w:rsid w:val="57CD2DFE"/>
    <w:rsid w:val="58244FE5"/>
    <w:rsid w:val="584B13F6"/>
    <w:rsid w:val="59217B49"/>
    <w:rsid w:val="59656964"/>
    <w:rsid w:val="59D926D2"/>
    <w:rsid w:val="5A034680"/>
    <w:rsid w:val="5AA52A54"/>
    <w:rsid w:val="5B530C58"/>
    <w:rsid w:val="5BC05975"/>
    <w:rsid w:val="5BD743DE"/>
    <w:rsid w:val="5C6D049A"/>
    <w:rsid w:val="5D63281F"/>
    <w:rsid w:val="5D706898"/>
    <w:rsid w:val="5D731EE5"/>
    <w:rsid w:val="5D7C7100"/>
    <w:rsid w:val="5D89238E"/>
    <w:rsid w:val="5DA30A1C"/>
    <w:rsid w:val="5E3F6556"/>
    <w:rsid w:val="5E4A7A0E"/>
    <w:rsid w:val="5E8C3C37"/>
    <w:rsid w:val="5EBC6D64"/>
    <w:rsid w:val="5ED03402"/>
    <w:rsid w:val="5F182B4A"/>
    <w:rsid w:val="5FD163AE"/>
    <w:rsid w:val="5FD76EF3"/>
    <w:rsid w:val="60057BEA"/>
    <w:rsid w:val="60B44CEE"/>
    <w:rsid w:val="60B460AF"/>
    <w:rsid w:val="619747AF"/>
    <w:rsid w:val="621C336D"/>
    <w:rsid w:val="62A05F08"/>
    <w:rsid w:val="62B870D2"/>
    <w:rsid w:val="62BF476F"/>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A57F27"/>
    <w:rsid w:val="6CC37EB5"/>
    <w:rsid w:val="6D1139EB"/>
    <w:rsid w:val="6D3457FF"/>
    <w:rsid w:val="6E2A4841"/>
    <w:rsid w:val="6EEF19E2"/>
    <w:rsid w:val="6F3D1DEF"/>
    <w:rsid w:val="6F963F3C"/>
    <w:rsid w:val="703A2759"/>
    <w:rsid w:val="71276AD1"/>
    <w:rsid w:val="7160445C"/>
    <w:rsid w:val="71697143"/>
    <w:rsid w:val="716C6A50"/>
    <w:rsid w:val="7207397B"/>
    <w:rsid w:val="729E3A33"/>
    <w:rsid w:val="72C43B37"/>
    <w:rsid w:val="737D1DEA"/>
    <w:rsid w:val="748B2EA1"/>
    <w:rsid w:val="74AE0F56"/>
    <w:rsid w:val="752362D3"/>
    <w:rsid w:val="76391AC6"/>
    <w:rsid w:val="7672193D"/>
    <w:rsid w:val="770403EE"/>
    <w:rsid w:val="771C50B0"/>
    <w:rsid w:val="771E190D"/>
    <w:rsid w:val="77832F9B"/>
    <w:rsid w:val="77C519A6"/>
    <w:rsid w:val="784004D1"/>
    <w:rsid w:val="78725E9B"/>
    <w:rsid w:val="7877129B"/>
    <w:rsid w:val="79302291"/>
    <w:rsid w:val="797D7F1B"/>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6">
    <w:name w:val="Default Paragraph Font"/>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99"/>
    <w:pPr>
      <w:jc w:val="left"/>
    </w:pPr>
  </w:style>
  <w:style w:type="paragraph" w:styleId="8">
    <w:name w:val="Body Text"/>
    <w:basedOn w:val="1"/>
    <w:autoRedefine/>
    <w:qFormat/>
    <w:uiPriority w:val="99"/>
    <w:rPr>
      <w:sz w:val="28"/>
      <w:szCs w:val="28"/>
    </w:rPr>
  </w:style>
  <w:style w:type="paragraph" w:styleId="9">
    <w:name w:val="Body Text Indent"/>
    <w:basedOn w:val="1"/>
    <w:next w:val="10"/>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50"/>
    <w:autoRedefine/>
    <w:qFormat/>
    <w:uiPriority w:val="0"/>
    <w:pPr>
      <w:ind w:left="100" w:leftChars="2500"/>
    </w:pPr>
    <w:rPr>
      <w:rFonts w:ascii="Times New Roman" w:hAnsi="Times New Roman"/>
      <w:b/>
      <w:bCs/>
      <w:sz w:val="28"/>
    </w:rPr>
  </w:style>
  <w:style w:type="paragraph" w:styleId="13">
    <w:name w:val="Body Text Indent 2"/>
    <w:basedOn w:val="1"/>
    <w:qFormat/>
    <w:uiPriority w:val="0"/>
    <w:pPr>
      <w:ind w:firstLine="538" w:firstLineChars="192"/>
    </w:pPr>
    <w:rPr>
      <w:rFonts w:ascii="宋体" w:hAnsi="宋体"/>
      <w:sz w:val="28"/>
    </w:rPr>
  </w:style>
  <w:style w:type="paragraph" w:styleId="14">
    <w:name w:val="Balloon Text"/>
    <w:basedOn w:val="1"/>
    <w:link w:val="36"/>
    <w:autoRedefine/>
    <w:qFormat/>
    <w:uiPriority w:val="0"/>
    <w:rPr>
      <w:sz w:val="18"/>
      <w:szCs w:val="18"/>
    </w:rPr>
  </w:style>
  <w:style w:type="paragraph" w:styleId="15">
    <w:name w:val="footer"/>
    <w:basedOn w:val="1"/>
    <w:next w:val="16"/>
    <w:autoRedefine/>
    <w:qFormat/>
    <w:uiPriority w:val="99"/>
    <w:pPr>
      <w:tabs>
        <w:tab w:val="center" w:pos="4153"/>
        <w:tab w:val="right" w:pos="8306"/>
      </w:tabs>
      <w:snapToGrid w:val="0"/>
    </w:pPr>
    <w:rPr>
      <w:sz w:val="18"/>
      <w:szCs w:val="18"/>
    </w:rPr>
  </w:style>
  <w:style w:type="paragraph" w:styleId="16">
    <w:name w:val="Normal (Web)"/>
    <w:basedOn w:val="1"/>
    <w:next w:val="17"/>
    <w:autoRedefine/>
    <w:qFormat/>
    <w:uiPriority w:val="0"/>
    <w:pPr>
      <w:spacing w:before="100" w:beforeAutospacing="1" w:after="100" w:afterAutospacing="1"/>
      <w:jc w:val="left"/>
    </w:pPr>
    <w:rPr>
      <w:kern w:val="0"/>
      <w:sz w:val="24"/>
    </w:rPr>
  </w:style>
  <w:style w:type="paragraph" w:customStyle="1" w:styleId="17">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jc w:val="left"/>
    </w:pPr>
    <w:rPr>
      <w:rFonts w:ascii="宋体"/>
      <w:b/>
      <w:bCs/>
      <w:caps/>
      <w:sz w:val="20"/>
      <w:szCs w:val="20"/>
    </w:rPr>
  </w:style>
  <w:style w:type="paragraph" w:styleId="20">
    <w:name w:val="List"/>
    <w:basedOn w:val="1"/>
    <w:next w:val="1"/>
    <w:qFormat/>
    <w:uiPriority w:val="99"/>
    <w:pPr>
      <w:spacing w:line="400" w:lineRule="atLeast"/>
    </w:pPr>
    <w:rPr>
      <w:rFonts w:eastAsia="宋体" w:cs="Times New Roman"/>
      <w:szCs w:val="20"/>
    </w:rPr>
  </w:style>
  <w:style w:type="paragraph" w:styleId="21">
    <w:name w:val="Body Text Indent 3"/>
    <w:basedOn w:val="1"/>
    <w:autoRedefine/>
    <w:qFormat/>
    <w:uiPriority w:val="0"/>
    <w:pPr>
      <w:ind w:firstLine="630"/>
    </w:pPr>
    <w:rPr>
      <w:rFonts w:ascii="Times New Roman" w:hAnsi="Times New Roman" w:eastAsia="仿宋_GB2312"/>
      <w:sz w:val="28"/>
    </w:rPr>
  </w:style>
  <w:style w:type="paragraph" w:styleId="22">
    <w:name w:val="Body Text First Indent"/>
    <w:basedOn w:val="8"/>
    <w:next w:val="1"/>
    <w:qFormat/>
    <w:uiPriority w:val="0"/>
    <w:pPr>
      <w:spacing w:after="120"/>
      <w:ind w:firstLine="420" w:firstLineChars="100"/>
    </w:pPr>
  </w:style>
  <w:style w:type="paragraph" w:styleId="23">
    <w:name w:val="Body Text First Indent 2"/>
    <w:basedOn w:val="9"/>
    <w:next w:val="24"/>
    <w:unhideWhenUsed/>
    <w:qFormat/>
    <w:uiPriority w:val="99"/>
    <w:pPr>
      <w:ind w:firstLine="420" w:firstLineChars="200"/>
    </w:pPr>
  </w:style>
  <w:style w:type="paragraph" w:customStyle="1" w:styleId="24">
    <w:name w:val="正文2"/>
    <w:basedOn w:val="1"/>
    <w:next w:val="1"/>
    <w:autoRedefine/>
    <w:qFormat/>
    <w:uiPriority w:val="0"/>
    <w:pPr>
      <w:spacing w:line="440" w:lineRule="atLeast"/>
      <w:ind w:firstLine="567"/>
    </w:pPr>
    <w:rPr>
      <w:sz w:val="24"/>
      <w:szCs w:val="20"/>
    </w:rPr>
  </w:style>
  <w:style w:type="paragraph" w:customStyle="1" w:styleId="27">
    <w:name w:val="Default"/>
    <w:basedOn w:val="28"/>
    <w:next w:val="20"/>
    <w:autoRedefine/>
    <w:qFormat/>
    <w:uiPriority w:val="0"/>
    <w:pPr>
      <w:autoSpaceDE w:val="0"/>
      <w:autoSpaceDN w:val="0"/>
    </w:pPr>
    <w:rPr>
      <w:rFonts w:hint="eastAsia" w:ascii="宋体"/>
      <w:sz w:val="24"/>
    </w:rPr>
  </w:style>
  <w:style w:type="paragraph" w:customStyle="1" w:styleId="28">
    <w:name w:val="纯文本1"/>
    <w:basedOn w:val="1"/>
    <w:qFormat/>
    <w:uiPriority w:val="0"/>
    <w:rPr>
      <w:rFonts w:ascii="宋体" w:hAnsi="Courier New"/>
      <w:kern w:val="0"/>
      <w:sz w:val="21"/>
      <w:szCs w:val="20"/>
    </w:rPr>
  </w:style>
  <w:style w:type="paragraph" w:customStyle="1" w:styleId="29">
    <w:name w:val="Char"/>
    <w:basedOn w:val="1"/>
    <w:qFormat/>
    <w:uiPriority w:val="0"/>
    <w:pPr>
      <w:spacing w:line="360" w:lineRule="auto"/>
      <w:ind w:firstLine="200" w:firstLineChars="200"/>
    </w:pPr>
    <w:rPr>
      <w:rFonts w:ascii="宋体" w:hAnsi="宋体" w:cs="宋体"/>
      <w:sz w:val="24"/>
    </w:rPr>
  </w:style>
  <w:style w:type="paragraph" w:customStyle="1" w:styleId="30">
    <w:name w:val="样式 首行缩进:  2 字符"/>
    <w:basedOn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1">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2">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3">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4">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p0"/>
    <w:basedOn w:val="1"/>
    <w:qFormat/>
    <w:uiPriority w:val="0"/>
    <w:pPr>
      <w:widowControl/>
    </w:pPr>
    <w:rPr>
      <w:kern w:val="0"/>
      <w:szCs w:val="21"/>
    </w:rPr>
  </w:style>
  <w:style w:type="character" w:customStyle="1" w:styleId="36">
    <w:name w:val="批注框文本 字符"/>
    <w:basedOn w:val="26"/>
    <w:link w:val="14"/>
    <w:qFormat/>
    <w:uiPriority w:val="0"/>
    <w:rPr>
      <w:rFonts w:ascii="Calibri" w:hAnsi="Calibri"/>
      <w:kern w:val="2"/>
      <w:sz w:val="18"/>
      <w:szCs w:val="18"/>
    </w:rPr>
  </w:style>
  <w:style w:type="paragraph" w:customStyle="1" w:styleId="37">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8">
    <w:name w:val="表头 Char Char Char"/>
    <w:basedOn w:val="26"/>
    <w:autoRedefine/>
    <w:qFormat/>
    <w:uiPriority w:val="0"/>
    <w:rPr>
      <w:rFonts w:ascii="宋体" w:hAnsi="Tahoma" w:eastAsia="宋体"/>
      <w:snapToGrid w:val="0"/>
      <w:spacing w:val="6"/>
      <w:kern w:val="10"/>
      <w:sz w:val="24"/>
    </w:rPr>
  </w:style>
  <w:style w:type="paragraph" w:customStyle="1" w:styleId="39">
    <w:name w:val="表格居中"/>
    <w:basedOn w:val="40"/>
    <w:autoRedefine/>
    <w:qFormat/>
    <w:uiPriority w:val="0"/>
    <w:pPr>
      <w:jc w:val="center"/>
    </w:pPr>
  </w:style>
  <w:style w:type="paragraph" w:customStyle="1" w:styleId="40">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1">
    <w:name w:val="伟灿工贸-表格文字"/>
    <w:basedOn w:val="1"/>
    <w:autoRedefine/>
    <w:qFormat/>
    <w:uiPriority w:val="0"/>
    <w:pPr>
      <w:jc w:val="center"/>
    </w:pPr>
    <w:rPr>
      <w:rFonts w:hint="eastAsia" w:ascii="宋体" w:hAnsi="宋体" w:cs="宋体"/>
      <w:szCs w:val="21"/>
    </w:rPr>
  </w:style>
  <w:style w:type="paragraph" w:customStyle="1" w:styleId="42">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3">
    <w:name w:val="表名、图名"/>
    <w:basedOn w:val="1"/>
    <w:next w:val="1"/>
    <w:autoRedefine/>
    <w:qFormat/>
    <w:uiPriority w:val="0"/>
    <w:pPr>
      <w:jc w:val="center"/>
    </w:pPr>
    <w:rPr>
      <w:b/>
      <w:bCs/>
    </w:rPr>
  </w:style>
  <w:style w:type="paragraph" w:customStyle="1" w:styleId="44">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5">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6">
    <w:name w:val="工艺序号"/>
    <w:basedOn w:val="1"/>
    <w:autoRedefine/>
    <w:qFormat/>
    <w:uiPriority w:val="0"/>
    <w:pPr>
      <w:numPr>
        <w:ilvl w:val="0"/>
        <w:numId w:val="1"/>
      </w:numPr>
    </w:pPr>
    <w:rPr>
      <w:b/>
      <w:bCs/>
    </w:rPr>
  </w:style>
  <w:style w:type="paragraph" w:customStyle="1" w:styleId="47">
    <w:name w:val="伟灿-表格文字"/>
    <w:basedOn w:val="1"/>
    <w:autoRedefine/>
    <w:qFormat/>
    <w:uiPriority w:val="0"/>
    <w:pPr>
      <w:jc w:val="center"/>
    </w:pPr>
    <w:rPr>
      <w:rFonts w:hint="eastAsia" w:ascii="宋体" w:hAnsi="宋体" w:cs="宋体"/>
      <w:szCs w:val="21"/>
    </w:rPr>
  </w:style>
  <w:style w:type="paragraph" w:styleId="48">
    <w:name w:val="List Paragraph"/>
    <w:basedOn w:val="1"/>
    <w:autoRedefine/>
    <w:qFormat/>
    <w:uiPriority w:val="99"/>
    <w:pPr>
      <w:ind w:firstLine="420" w:firstLineChars="200"/>
    </w:pPr>
  </w:style>
  <w:style w:type="paragraph" w:customStyle="1" w:styleId="49">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0">
    <w:name w:val="日期 字符"/>
    <w:basedOn w:val="26"/>
    <w:link w:val="12"/>
    <w:autoRedefine/>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9</Pages>
  <Words>1172</Words>
  <Characters>1449</Characters>
  <Lines>9</Lines>
  <Paragraphs>2</Paragraphs>
  <TotalTime>0</TotalTime>
  <ScaleCrop>false</ScaleCrop>
  <LinksUpToDate>false</LinksUpToDate>
  <CharactersWithSpaces>1452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2026-01-07T08:41:37Z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AEDE070DBC9F4CEA8E55DA8019B646B3_13</vt:lpwstr>
  </property>
  <property fmtid="{D5CDD505-2E9C-101B-9397-08002B2CF9AE}" pid="4" name="KSOTemplateDocerSaveRecord">
    <vt:lpwstr>eyJoZGlkIjoiNDgzMjdiZTZhYWEwMDUyMzMwMzdhZWM2ZmNjMGMzMDkiLCJ1c2VySWQiOiI1NzcyNjAwMzgifQ==</vt:lpwstr>
  </property>
</Properties>
</file>