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3AEA65A">
      <w:pPr>
        <w:jc w:val="center"/>
        <w:rPr>
          <w:rFonts w:ascii="Times New Roman" w:hAnsi="Times New Roman"/>
          <w:sz w:val="28"/>
          <w:szCs w:val="28"/>
        </w:rPr>
      </w:pPr>
      <w:r>
        <w:rPr>
          <w:rFonts w:hint="eastAsia" w:ascii="Times New Roman" w:hAnsi="Times New Roman"/>
          <w:kern w:val="0"/>
          <w:sz w:val="28"/>
          <w:szCs w:val="28"/>
          <w:shd w:val="clear" w:color="auto" w:fill="FFFFFF"/>
        </w:rPr>
        <w:t>安全评价报告</w:t>
      </w:r>
      <w:r>
        <w:rPr>
          <w:rFonts w:ascii="Times New Roman" w:hAnsi="Times New Roman"/>
          <w:kern w:val="0"/>
          <w:sz w:val="28"/>
          <w:szCs w:val="28"/>
          <w:shd w:val="clear" w:color="auto" w:fill="FFFFFF"/>
        </w:rPr>
        <w:t>公开信息表</w:t>
      </w:r>
    </w:p>
    <w:tbl>
      <w:tblPr>
        <w:tblStyle w:val="14"/>
        <w:tblW w:w="87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0" w:type="dxa"/>
          <w:left w:w="0" w:type="dxa"/>
          <w:bottom w:w="0" w:type="dxa"/>
          <w:right w:w="0" w:type="dxa"/>
        </w:tblCellMar>
      </w:tblPr>
      <w:tblGrid>
        <w:gridCol w:w="685"/>
        <w:gridCol w:w="1447"/>
        <w:gridCol w:w="4730"/>
        <w:gridCol w:w="1910"/>
      </w:tblGrid>
      <w:tr w14:paraId="16E3B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685" w:type="dxa"/>
            <w:tcBorders>
              <w:tl2br w:val="nil"/>
              <w:tr2bl w:val="nil"/>
            </w:tcBorders>
            <w:shd w:val="clear" w:color="auto" w:fill="FFFFFF"/>
            <w:vAlign w:val="center"/>
          </w:tcPr>
          <w:p w14:paraId="2E30872A">
            <w:pPr>
              <w:widowControl/>
              <w:adjustRightInd w:val="0"/>
              <w:snapToGrid w:val="0"/>
              <w:jc w:val="center"/>
              <w:rPr>
                <w:rFonts w:ascii="Times New Roman" w:hAnsi="Times New Roman"/>
                <w:sz w:val="24"/>
              </w:rPr>
            </w:pPr>
            <w:r>
              <w:rPr>
                <w:rFonts w:ascii="Times New Roman" w:hAnsi="Times New Roman"/>
                <w:kern w:val="0"/>
                <w:sz w:val="24"/>
                <w:shd w:val="clear" w:color="auto" w:fill="FFFFFF"/>
              </w:rPr>
              <w:t>项目名称</w:t>
            </w:r>
          </w:p>
        </w:tc>
        <w:tc>
          <w:tcPr>
            <w:tcW w:w="8087" w:type="dxa"/>
            <w:gridSpan w:val="3"/>
            <w:tcBorders>
              <w:tl2br w:val="nil"/>
              <w:tr2bl w:val="nil"/>
            </w:tcBorders>
            <w:shd w:val="clear" w:color="auto" w:fill="FFFFFF"/>
            <w:vAlign w:val="center"/>
          </w:tcPr>
          <w:p w14:paraId="16BE2024">
            <w:pPr>
              <w:widowControl/>
              <w:adjustRightInd w:val="0"/>
              <w:snapToGrid w:val="0"/>
              <w:jc w:val="center"/>
              <w:rPr>
                <w:rFonts w:ascii="Times New Roman" w:hAnsi="Times New Roman"/>
                <w:sz w:val="24"/>
              </w:rPr>
            </w:pPr>
            <w:r>
              <w:rPr>
                <w:rFonts w:hint="eastAsia" w:ascii="Times New Roman" w:hAnsi="Times New Roman"/>
                <w:sz w:val="24"/>
              </w:rPr>
              <w:t>江西省立新帮扶新能源有限公司气体充装站项目安全验收评价</w:t>
            </w:r>
          </w:p>
        </w:tc>
      </w:tr>
      <w:tr w14:paraId="1AC07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685" w:type="dxa"/>
            <w:tcBorders>
              <w:tl2br w:val="nil"/>
              <w:tr2bl w:val="nil"/>
            </w:tcBorders>
            <w:shd w:val="clear" w:color="auto" w:fill="FFFFFF"/>
            <w:vAlign w:val="center"/>
          </w:tcPr>
          <w:p w14:paraId="39BBAACB">
            <w:pPr>
              <w:widowControl/>
              <w:adjustRightInd w:val="0"/>
              <w:snapToGrid w:val="0"/>
              <w:jc w:val="center"/>
              <w:rPr>
                <w:rFonts w:ascii="Times New Roman" w:hAnsi="Times New Roman"/>
                <w:sz w:val="24"/>
              </w:rPr>
            </w:pPr>
            <w:r>
              <w:rPr>
                <w:rFonts w:ascii="Times New Roman" w:hAnsi="Times New Roman"/>
                <w:kern w:val="0"/>
                <w:sz w:val="24"/>
                <w:shd w:val="clear" w:color="auto" w:fill="FFFFFF"/>
              </w:rPr>
              <w:t>完成时间</w:t>
            </w:r>
          </w:p>
        </w:tc>
        <w:tc>
          <w:tcPr>
            <w:tcW w:w="8087" w:type="dxa"/>
            <w:gridSpan w:val="3"/>
            <w:tcBorders>
              <w:tl2br w:val="nil"/>
              <w:tr2bl w:val="nil"/>
            </w:tcBorders>
            <w:shd w:val="clear" w:color="auto" w:fill="FFFFFF"/>
            <w:vAlign w:val="center"/>
          </w:tcPr>
          <w:p w14:paraId="6F93F8E6">
            <w:pPr>
              <w:widowControl/>
              <w:adjustRightInd w:val="0"/>
              <w:snapToGrid w:val="0"/>
              <w:jc w:val="center"/>
              <w:rPr>
                <w:rFonts w:ascii="Times New Roman" w:hAnsi="Times New Roman"/>
                <w:sz w:val="24"/>
              </w:rPr>
            </w:pPr>
            <w:r>
              <w:rPr>
                <w:rFonts w:ascii="Times New Roman" w:hAnsi="Times New Roman"/>
                <w:sz w:val="24"/>
              </w:rPr>
              <w:t>2025年12月</w:t>
            </w:r>
            <w:r>
              <w:rPr>
                <w:rFonts w:hint="eastAsia" w:ascii="Times New Roman" w:hAnsi="Times New Roman"/>
                <w:sz w:val="24"/>
              </w:rPr>
              <w:t>2</w:t>
            </w:r>
            <w:r>
              <w:rPr>
                <w:rFonts w:ascii="Times New Roman" w:hAnsi="Times New Roman"/>
                <w:sz w:val="24"/>
              </w:rPr>
              <w:t>5日</w:t>
            </w:r>
          </w:p>
        </w:tc>
      </w:tr>
      <w:tr w14:paraId="6C38E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454" w:hRule="atLeast"/>
          <w:jc w:val="center"/>
        </w:trPr>
        <w:tc>
          <w:tcPr>
            <w:tcW w:w="8772" w:type="dxa"/>
            <w:gridSpan w:val="4"/>
            <w:tcBorders>
              <w:tl2br w:val="nil"/>
              <w:tr2bl w:val="nil"/>
            </w:tcBorders>
            <w:shd w:val="clear" w:color="auto" w:fill="FFFFFF"/>
            <w:vAlign w:val="center"/>
          </w:tcPr>
          <w:p w14:paraId="63A92D3A">
            <w:pPr>
              <w:widowControl/>
              <w:adjustRightInd w:val="0"/>
              <w:snapToGrid w:val="0"/>
              <w:jc w:val="center"/>
              <w:rPr>
                <w:rFonts w:ascii="Times New Roman" w:hAnsi="Times New Roman"/>
                <w:kern w:val="0"/>
                <w:sz w:val="24"/>
                <w:shd w:val="clear" w:color="auto" w:fill="FFFFFF"/>
              </w:rPr>
            </w:pPr>
            <w:r>
              <w:rPr>
                <w:rFonts w:ascii="Times New Roman" w:hAnsi="Times New Roman"/>
                <w:kern w:val="0"/>
                <w:sz w:val="24"/>
                <w:shd w:val="clear" w:color="auto" w:fill="FFFFFF"/>
              </w:rPr>
              <w:t>评价人员</w:t>
            </w:r>
          </w:p>
        </w:tc>
      </w:tr>
      <w:tr w14:paraId="2005F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454" w:hRule="atLeast"/>
          <w:jc w:val="center"/>
        </w:trPr>
        <w:tc>
          <w:tcPr>
            <w:tcW w:w="685" w:type="dxa"/>
            <w:tcBorders>
              <w:tl2br w:val="nil"/>
              <w:tr2bl w:val="nil"/>
            </w:tcBorders>
            <w:shd w:val="clear" w:color="auto" w:fill="FFFFFF"/>
            <w:vAlign w:val="center"/>
          </w:tcPr>
          <w:p w14:paraId="5E63C99E">
            <w:pPr>
              <w:adjustRightInd w:val="0"/>
              <w:snapToGrid w:val="0"/>
              <w:jc w:val="center"/>
              <w:rPr>
                <w:rFonts w:ascii="Times New Roman" w:hAnsi="Times New Roman"/>
                <w:sz w:val="24"/>
              </w:rPr>
            </w:pPr>
          </w:p>
        </w:tc>
        <w:tc>
          <w:tcPr>
            <w:tcW w:w="1447" w:type="dxa"/>
            <w:tcBorders>
              <w:tl2br w:val="nil"/>
              <w:tr2bl w:val="nil"/>
            </w:tcBorders>
            <w:shd w:val="clear" w:color="auto" w:fill="FFFFFF"/>
            <w:vAlign w:val="center"/>
          </w:tcPr>
          <w:p w14:paraId="353A89B1">
            <w:pPr>
              <w:widowControl/>
              <w:adjustRightInd w:val="0"/>
              <w:snapToGrid w:val="0"/>
              <w:jc w:val="center"/>
              <w:rPr>
                <w:rFonts w:ascii="Times New Roman" w:hAnsi="Times New Roman"/>
                <w:sz w:val="24"/>
              </w:rPr>
            </w:pPr>
            <w:r>
              <w:rPr>
                <w:rFonts w:ascii="Times New Roman" w:hAnsi="Times New Roman"/>
                <w:kern w:val="0"/>
                <w:sz w:val="24"/>
                <w:shd w:val="clear" w:color="auto" w:fill="FFFFFF"/>
              </w:rPr>
              <w:t>姓名</w:t>
            </w:r>
          </w:p>
        </w:tc>
        <w:tc>
          <w:tcPr>
            <w:tcW w:w="4730" w:type="dxa"/>
            <w:tcBorders>
              <w:tl2br w:val="nil"/>
              <w:tr2bl w:val="nil"/>
            </w:tcBorders>
            <w:shd w:val="clear" w:color="auto" w:fill="FFFFFF"/>
            <w:vAlign w:val="center"/>
          </w:tcPr>
          <w:p w14:paraId="21C1163B">
            <w:pPr>
              <w:widowControl/>
              <w:adjustRightInd w:val="0"/>
              <w:snapToGrid w:val="0"/>
              <w:jc w:val="center"/>
              <w:rPr>
                <w:rFonts w:ascii="Times New Roman" w:hAnsi="Times New Roman"/>
                <w:szCs w:val="21"/>
              </w:rPr>
            </w:pPr>
            <w:r>
              <w:rPr>
                <w:rFonts w:ascii="Times New Roman" w:hAnsi="Times New Roman"/>
                <w:kern w:val="0"/>
                <w:szCs w:val="21"/>
                <w:shd w:val="clear" w:color="auto" w:fill="FFFFFF"/>
              </w:rPr>
              <w:t>资格证书号</w:t>
            </w:r>
          </w:p>
        </w:tc>
        <w:tc>
          <w:tcPr>
            <w:tcW w:w="1910" w:type="dxa"/>
            <w:tcBorders>
              <w:tl2br w:val="nil"/>
              <w:tr2bl w:val="nil"/>
            </w:tcBorders>
            <w:shd w:val="clear" w:color="auto" w:fill="FFFFFF"/>
            <w:vAlign w:val="center"/>
          </w:tcPr>
          <w:p w14:paraId="077EA17D">
            <w:pPr>
              <w:widowControl/>
              <w:adjustRightInd w:val="0"/>
              <w:snapToGrid w:val="0"/>
              <w:jc w:val="center"/>
              <w:rPr>
                <w:rFonts w:ascii="Times New Roman" w:hAnsi="Times New Roman"/>
                <w:szCs w:val="21"/>
              </w:rPr>
            </w:pPr>
            <w:r>
              <w:rPr>
                <w:rFonts w:ascii="Times New Roman" w:hAnsi="Times New Roman"/>
                <w:kern w:val="0"/>
                <w:szCs w:val="21"/>
                <w:shd w:val="clear" w:color="auto" w:fill="FFFFFF"/>
              </w:rPr>
              <w:t>从业号</w:t>
            </w:r>
          </w:p>
        </w:tc>
      </w:tr>
      <w:tr w14:paraId="360EE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454" w:hRule="atLeast"/>
          <w:jc w:val="center"/>
        </w:trPr>
        <w:tc>
          <w:tcPr>
            <w:tcW w:w="685" w:type="dxa"/>
            <w:tcBorders>
              <w:tl2br w:val="nil"/>
              <w:tr2bl w:val="nil"/>
            </w:tcBorders>
            <w:shd w:val="clear" w:color="auto" w:fill="FFFFFF"/>
            <w:vAlign w:val="center"/>
          </w:tcPr>
          <w:p w14:paraId="2050BCF4">
            <w:pPr>
              <w:adjustRightInd w:val="0"/>
              <w:snapToGrid w:val="0"/>
              <w:jc w:val="center"/>
              <w:rPr>
                <w:rFonts w:ascii="Times New Roman" w:hAnsi="Times New Roman"/>
                <w:sz w:val="24"/>
              </w:rPr>
            </w:pPr>
            <w:r>
              <w:rPr>
                <w:rFonts w:ascii="Times New Roman" w:hAnsi="Times New Roman"/>
                <w:sz w:val="24"/>
              </w:rPr>
              <w:t>项目负责人</w:t>
            </w:r>
          </w:p>
        </w:tc>
        <w:tc>
          <w:tcPr>
            <w:tcW w:w="1447" w:type="dxa"/>
            <w:tcBorders>
              <w:tl2br w:val="nil"/>
              <w:tr2bl w:val="nil"/>
            </w:tcBorders>
            <w:shd w:val="clear" w:color="auto" w:fill="FFFFFF"/>
            <w:vAlign w:val="center"/>
          </w:tcPr>
          <w:p w14:paraId="546DB2A8">
            <w:pPr>
              <w:adjustRightInd w:val="0"/>
              <w:snapToGrid w:val="0"/>
              <w:jc w:val="center"/>
              <w:rPr>
                <w:rFonts w:ascii="Times New Roman" w:hAnsi="Times New Roman"/>
                <w:szCs w:val="21"/>
              </w:rPr>
            </w:pPr>
            <w:r>
              <w:rPr>
                <w:rFonts w:ascii="Times New Roman" w:hAnsi="Times New Roman"/>
                <w:szCs w:val="21"/>
              </w:rPr>
              <w:t>徐顺星</w:t>
            </w:r>
          </w:p>
        </w:tc>
        <w:tc>
          <w:tcPr>
            <w:tcW w:w="4730" w:type="dxa"/>
            <w:tcBorders>
              <w:tl2br w:val="nil"/>
              <w:tr2bl w:val="nil"/>
            </w:tcBorders>
            <w:shd w:val="clear" w:color="auto" w:fill="FFFFFF"/>
            <w:vAlign w:val="center"/>
          </w:tcPr>
          <w:p w14:paraId="0F6BC4F4">
            <w:pPr>
              <w:adjustRightInd w:val="0"/>
              <w:snapToGrid w:val="0"/>
              <w:jc w:val="center"/>
              <w:rPr>
                <w:rFonts w:ascii="Times New Roman" w:hAnsi="Times New Roman"/>
                <w:szCs w:val="21"/>
              </w:rPr>
            </w:pPr>
            <w:r>
              <w:rPr>
                <w:rFonts w:ascii="Times New Roman" w:hAnsi="Times New Roman"/>
                <w:szCs w:val="21"/>
              </w:rPr>
              <w:t>S011041000110192002229</w:t>
            </w:r>
          </w:p>
        </w:tc>
        <w:tc>
          <w:tcPr>
            <w:tcW w:w="1910" w:type="dxa"/>
            <w:tcBorders>
              <w:tl2br w:val="nil"/>
              <w:tr2bl w:val="nil"/>
            </w:tcBorders>
            <w:shd w:val="clear" w:color="auto" w:fill="FFFFFF"/>
            <w:vAlign w:val="center"/>
          </w:tcPr>
          <w:p w14:paraId="346F8A06">
            <w:pPr>
              <w:adjustRightInd w:val="0"/>
              <w:snapToGrid w:val="0"/>
              <w:jc w:val="center"/>
              <w:rPr>
                <w:rFonts w:ascii="Times New Roman" w:hAnsi="Times New Roman"/>
                <w:szCs w:val="21"/>
              </w:rPr>
            </w:pPr>
            <w:r>
              <w:rPr>
                <w:rFonts w:ascii="Times New Roman" w:hAnsi="Times New Roman"/>
                <w:szCs w:val="21"/>
              </w:rPr>
              <w:t>018803</w:t>
            </w:r>
          </w:p>
        </w:tc>
      </w:tr>
      <w:tr w14:paraId="028CD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454" w:hRule="atLeast"/>
          <w:jc w:val="center"/>
        </w:trPr>
        <w:tc>
          <w:tcPr>
            <w:tcW w:w="685" w:type="dxa"/>
            <w:vMerge w:val="restart"/>
            <w:tcBorders>
              <w:tl2br w:val="nil"/>
              <w:tr2bl w:val="nil"/>
            </w:tcBorders>
            <w:shd w:val="clear" w:color="auto" w:fill="FFFFFF"/>
            <w:vAlign w:val="center"/>
          </w:tcPr>
          <w:p w14:paraId="7526DE4B">
            <w:pPr>
              <w:adjustRightInd w:val="0"/>
              <w:snapToGrid w:val="0"/>
              <w:jc w:val="center"/>
              <w:rPr>
                <w:rFonts w:ascii="Times New Roman" w:hAnsi="Times New Roman"/>
                <w:sz w:val="24"/>
              </w:rPr>
            </w:pPr>
            <w:r>
              <w:rPr>
                <w:rFonts w:ascii="Times New Roman" w:hAnsi="Times New Roman"/>
                <w:sz w:val="24"/>
              </w:rPr>
              <w:t>项目组成员</w:t>
            </w:r>
          </w:p>
        </w:tc>
        <w:tc>
          <w:tcPr>
            <w:tcW w:w="1447" w:type="dxa"/>
            <w:tcBorders>
              <w:tl2br w:val="nil"/>
              <w:tr2bl w:val="nil"/>
            </w:tcBorders>
            <w:shd w:val="clear" w:color="auto" w:fill="FFFFFF"/>
            <w:vAlign w:val="center"/>
          </w:tcPr>
          <w:p w14:paraId="6F2AE4A5">
            <w:pPr>
              <w:adjustRightInd w:val="0"/>
              <w:snapToGrid w:val="0"/>
              <w:jc w:val="center"/>
              <w:rPr>
                <w:rFonts w:ascii="Times New Roman" w:hAnsi="Times New Roman"/>
                <w:szCs w:val="21"/>
              </w:rPr>
            </w:pPr>
            <w:r>
              <w:rPr>
                <w:rFonts w:ascii="Times New Roman" w:hAnsi="Times New Roman"/>
                <w:szCs w:val="21"/>
              </w:rPr>
              <w:t>乔贯德</w:t>
            </w:r>
          </w:p>
        </w:tc>
        <w:tc>
          <w:tcPr>
            <w:tcW w:w="4730" w:type="dxa"/>
            <w:tcBorders>
              <w:tl2br w:val="nil"/>
              <w:tr2bl w:val="nil"/>
            </w:tcBorders>
            <w:shd w:val="clear" w:color="auto" w:fill="FFFFFF"/>
            <w:vAlign w:val="center"/>
          </w:tcPr>
          <w:p w14:paraId="5B928274">
            <w:pPr>
              <w:adjustRightInd w:val="0"/>
              <w:snapToGrid w:val="0"/>
              <w:jc w:val="center"/>
              <w:rPr>
                <w:rFonts w:ascii="Times New Roman" w:hAnsi="Times New Roman"/>
                <w:szCs w:val="21"/>
              </w:rPr>
            </w:pPr>
            <w:r>
              <w:rPr>
                <w:rFonts w:ascii="Times New Roman" w:hAnsi="Times New Roman"/>
                <w:szCs w:val="21"/>
              </w:rPr>
              <w:t>1700000000300087</w:t>
            </w:r>
          </w:p>
        </w:tc>
        <w:tc>
          <w:tcPr>
            <w:tcW w:w="1910" w:type="dxa"/>
            <w:tcBorders>
              <w:tl2br w:val="nil"/>
              <w:tr2bl w:val="nil"/>
            </w:tcBorders>
            <w:shd w:val="clear" w:color="auto" w:fill="FFFFFF"/>
            <w:vAlign w:val="center"/>
          </w:tcPr>
          <w:p w14:paraId="1EA3875E">
            <w:pPr>
              <w:adjustRightInd w:val="0"/>
              <w:snapToGrid w:val="0"/>
              <w:jc w:val="center"/>
              <w:rPr>
                <w:rFonts w:ascii="Times New Roman" w:hAnsi="Times New Roman"/>
                <w:szCs w:val="21"/>
              </w:rPr>
            </w:pPr>
            <w:r>
              <w:rPr>
                <w:rFonts w:ascii="Times New Roman" w:hAnsi="Times New Roman"/>
                <w:szCs w:val="21"/>
              </w:rPr>
              <w:t>030797</w:t>
            </w:r>
          </w:p>
        </w:tc>
      </w:tr>
      <w:tr w14:paraId="00920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685" w:type="dxa"/>
            <w:vMerge w:val="continue"/>
            <w:tcBorders>
              <w:tl2br w:val="nil"/>
              <w:tr2bl w:val="nil"/>
            </w:tcBorders>
            <w:shd w:val="clear" w:color="auto" w:fill="FFFFFF"/>
            <w:vAlign w:val="center"/>
          </w:tcPr>
          <w:p w14:paraId="6F5B7494">
            <w:pPr>
              <w:adjustRightInd w:val="0"/>
              <w:snapToGrid w:val="0"/>
              <w:jc w:val="center"/>
              <w:rPr>
                <w:rFonts w:ascii="Times New Roman" w:hAnsi="Times New Roman"/>
                <w:sz w:val="24"/>
              </w:rPr>
            </w:pPr>
          </w:p>
        </w:tc>
        <w:tc>
          <w:tcPr>
            <w:tcW w:w="1447" w:type="dxa"/>
            <w:tcBorders>
              <w:tl2br w:val="nil"/>
              <w:tr2bl w:val="nil"/>
            </w:tcBorders>
            <w:shd w:val="clear" w:color="auto" w:fill="FFFFFF"/>
            <w:vAlign w:val="center"/>
          </w:tcPr>
          <w:p w14:paraId="2294508C">
            <w:pPr>
              <w:adjustRightInd w:val="0"/>
              <w:snapToGrid w:val="0"/>
              <w:jc w:val="center"/>
              <w:rPr>
                <w:rFonts w:ascii="Times New Roman" w:hAnsi="Times New Roman"/>
                <w:szCs w:val="21"/>
              </w:rPr>
            </w:pPr>
            <w:r>
              <w:rPr>
                <w:rFonts w:ascii="Times New Roman" w:hAnsi="Times New Roman"/>
                <w:szCs w:val="21"/>
              </w:rPr>
              <w:t>舒斌</w:t>
            </w:r>
          </w:p>
        </w:tc>
        <w:tc>
          <w:tcPr>
            <w:tcW w:w="4730" w:type="dxa"/>
            <w:tcBorders>
              <w:tl2br w:val="nil"/>
              <w:tr2bl w:val="nil"/>
            </w:tcBorders>
            <w:shd w:val="clear" w:color="auto" w:fill="FFFFFF"/>
            <w:vAlign w:val="center"/>
          </w:tcPr>
          <w:p w14:paraId="2EE2E24D">
            <w:pPr>
              <w:adjustRightInd w:val="0"/>
              <w:snapToGrid w:val="0"/>
              <w:jc w:val="center"/>
              <w:rPr>
                <w:rFonts w:ascii="Times New Roman" w:hAnsi="Times New Roman"/>
                <w:szCs w:val="21"/>
              </w:rPr>
            </w:pPr>
            <w:r>
              <w:rPr>
                <w:rFonts w:ascii="Times New Roman" w:hAnsi="Times New Roman"/>
                <w:szCs w:val="21"/>
              </w:rPr>
              <w:t>0800000000205889</w:t>
            </w:r>
            <w:bookmarkStart w:id="0" w:name="_GoBack"/>
            <w:bookmarkEnd w:id="0"/>
          </w:p>
        </w:tc>
        <w:tc>
          <w:tcPr>
            <w:tcW w:w="1910" w:type="dxa"/>
            <w:tcBorders>
              <w:tl2br w:val="nil"/>
              <w:tr2bl w:val="nil"/>
            </w:tcBorders>
            <w:shd w:val="clear" w:color="auto" w:fill="FFFFFF"/>
            <w:vAlign w:val="center"/>
          </w:tcPr>
          <w:p w14:paraId="51107CD6">
            <w:pPr>
              <w:adjustRightInd w:val="0"/>
              <w:snapToGrid w:val="0"/>
              <w:jc w:val="center"/>
              <w:rPr>
                <w:rFonts w:ascii="Times New Roman" w:hAnsi="Times New Roman"/>
                <w:szCs w:val="21"/>
              </w:rPr>
            </w:pPr>
            <w:r>
              <w:rPr>
                <w:rFonts w:ascii="Times New Roman" w:hAnsi="Times New Roman"/>
                <w:szCs w:val="21"/>
              </w:rPr>
              <w:t>013031</w:t>
            </w:r>
          </w:p>
        </w:tc>
      </w:tr>
      <w:tr w14:paraId="1E4CA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454" w:hRule="atLeast"/>
          <w:jc w:val="center"/>
        </w:trPr>
        <w:tc>
          <w:tcPr>
            <w:tcW w:w="685" w:type="dxa"/>
            <w:vMerge w:val="continue"/>
            <w:tcBorders>
              <w:tl2br w:val="nil"/>
              <w:tr2bl w:val="nil"/>
            </w:tcBorders>
            <w:shd w:val="clear" w:color="auto" w:fill="FFFFFF"/>
            <w:vAlign w:val="center"/>
          </w:tcPr>
          <w:p w14:paraId="7D46849B">
            <w:pPr>
              <w:adjustRightInd w:val="0"/>
              <w:snapToGrid w:val="0"/>
              <w:jc w:val="center"/>
              <w:rPr>
                <w:rFonts w:ascii="Times New Roman" w:hAnsi="Times New Roman"/>
                <w:sz w:val="24"/>
              </w:rPr>
            </w:pPr>
          </w:p>
        </w:tc>
        <w:tc>
          <w:tcPr>
            <w:tcW w:w="1447" w:type="dxa"/>
            <w:tcBorders>
              <w:tl2br w:val="nil"/>
              <w:tr2bl w:val="nil"/>
            </w:tcBorders>
            <w:shd w:val="clear" w:color="auto" w:fill="FFFFFF"/>
            <w:vAlign w:val="center"/>
          </w:tcPr>
          <w:p w14:paraId="155A1E08">
            <w:pPr>
              <w:adjustRightInd w:val="0"/>
              <w:snapToGrid w:val="0"/>
              <w:jc w:val="center"/>
              <w:rPr>
                <w:rFonts w:ascii="Times New Roman" w:hAnsi="Times New Roman"/>
                <w:szCs w:val="21"/>
              </w:rPr>
            </w:pPr>
            <w:r>
              <w:rPr>
                <w:rFonts w:ascii="Times New Roman" w:hAnsi="Times New Roman"/>
                <w:szCs w:val="21"/>
              </w:rPr>
              <w:t>赵云峰</w:t>
            </w:r>
          </w:p>
        </w:tc>
        <w:tc>
          <w:tcPr>
            <w:tcW w:w="4730" w:type="dxa"/>
            <w:tcBorders>
              <w:tl2br w:val="nil"/>
              <w:tr2bl w:val="nil"/>
            </w:tcBorders>
            <w:shd w:val="clear" w:color="auto" w:fill="FFFFFF"/>
            <w:vAlign w:val="center"/>
          </w:tcPr>
          <w:p w14:paraId="3D3ED154">
            <w:pPr>
              <w:adjustRightInd w:val="0"/>
              <w:snapToGrid w:val="0"/>
              <w:jc w:val="center"/>
              <w:rPr>
                <w:rFonts w:ascii="Times New Roman" w:hAnsi="Times New Roman"/>
                <w:szCs w:val="21"/>
              </w:rPr>
            </w:pPr>
            <w:r>
              <w:rPr>
                <w:rFonts w:hint="default" w:ascii="Times New Roman" w:hAnsi="Times New Roman"/>
                <w:szCs w:val="21"/>
                <w:lang w:val="en-US" w:eastAsia="zh-CN"/>
              </w:rPr>
              <w:t>1600000000200809</w:t>
            </w:r>
          </w:p>
        </w:tc>
        <w:tc>
          <w:tcPr>
            <w:tcW w:w="1910" w:type="dxa"/>
            <w:tcBorders>
              <w:tl2br w:val="nil"/>
              <w:tr2bl w:val="nil"/>
            </w:tcBorders>
            <w:shd w:val="clear" w:color="auto" w:fill="FFFFFF"/>
            <w:vAlign w:val="center"/>
          </w:tcPr>
          <w:p w14:paraId="2DF154BD">
            <w:pPr>
              <w:adjustRightInd w:val="0"/>
              <w:snapToGrid w:val="0"/>
              <w:jc w:val="center"/>
              <w:rPr>
                <w:rFonts w:ascii="Times New Roman" w:hAnsi="Times New Roman"/>
                <w:szCs w:val="21"/>
              </w:rPr>
            </w:pPr>
            <w:r>
              <w:rPr>
                <w:rFonts w:ascii="Times New Roman" w:hAnsi="Times New Roman"/>
                <w:szCs w:val="21"/>
              </w:rPr>
              <w:t>030095</w:t>
            </w:r>
          </w:p>
        </w:tc>
      </w:tr>
      <w:tr w14:paraId="6C7A2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454" w:hRule="atLeast"/>
          <w:jc w:val="center"/>
        </w:trPr>
        <w:tc>
          <w:tcPr>
            <w:tcW w:w="685" w:type="dxa"/>
            <w:vMerge w:val="continue"/>
            <w:tcBorders>
              <w:tl2br w:val="nil"/>
              <w:tr2bl w:val="nil"/>
            </w:tcBorders>
            <w:shd w:val="clear" w:color="auto" w:fill="FFFFFF"/>
            <w:vAlign w:val="center"/>
          </w:tcPr>
          <w:p w14:paraId="7E8676E5">
            <w:pPr>
              <w:adjustRightInd w:val="0"/>
              <w:snapToGrid w:val="0"/>
              <w:jc w:val="center"/>
              <w:rPr>
                <w:rFonts w:ascii="Times New Roman" w:hAnsi="Times New Roman"/>
                <w:sz w:val="24"/>
              </w:rPr>
            </w:pPr>
          </w:p>
        </w:tc>
        <w:tc>
          <w:tcPr>
            <w:tcW w:w="1447" w:type="dxa"/>
            <w:tcBorders>
              <w:tl2br w:val="nil"/>
              <w:tr2bl w:val="nil"/>
            </w:tcBorders>
            <w:shd w:val="clear" w:color="auto" w:fill="FFFFFF"/>
            <w:vAlign w:val="center"/>
          </w:tcPr>
          <w:p w14:paraId="078C1F10">
            <w:pPr>
              <w:adjustRightInd w:val="0"/>
              <w:snapToGrid w:val="0"/>
              <w:jc w:val="center"/>
              <w:rPr>
                <w:rFonts w:ascii="Times New Roman" w:hAnsi="Times New Roman"/>
                <w:szCs w:val="21"/>
              </w:rPr>
            </w:pPr>
            <w:r>
              <w:rPr>
                <w:rFonts w:ascii="Times New Roman" w:hAnsi="Times New Roman"/>
                <w:szCs w:val="21"/>
              </w:rPr>
              <w:t>张晋慧</w:t>
            </w:r>
          </w:p>
        </w:tc>
        <w:tc>
          <w:tcPr>
            <w:tcW w:w="4730" w:type="dxa"/>
            <w:tcBorders>
              <w:tl2br w:val="nil"/>
              <w:tr2bl w:val="nil"/>
            </w:tcBorders>
            <w:shd w:val="clear" w:color="auto" w:fill="FFFFFF"/>
            <w:vAlign w:val="center"/>
          </w:tcPr>
          <w:p w14:paraId="259063A2">
            <w:pPr>
              <w:adjustRightInd w:val="0"/>
              <w:snapToGrid w:val="0"/>
              <w:jc w:val="center"/>
              <w:rPr>
                <w:rFonts w:ascii="Times New Roman" w:hAnsi="Times New Roman"/>
                <w:szCs w:val="21"/>
              </w:rPr>
            </w:pPr>
            <w:r>
              <w:rPr>
                <w:rFonts w:ascii="Times New Roman" w:hAnsi="Times New Roman"/>
                <w:szCs w:val="21"/>
              </w:rPr>
              <w:t>1100000000302946</w:t>
            </w:r>
          </w:p>
        </w:tc>
        <w:tc>
          <w:tcPr>
            <w:tcW w:w="1910" w:type="dxa"/>
            <w:tcBorders>
              <w:tl2br w:val="nil"/>
              <w:tr2bl w:val="nil"/>
            </w:tcBorders>
            <w:shd w:val="clear" w:color="auto" w:fill="FFFFFF"/>
            <w:vAlign w:val="center"/>
          </w:tcPr>
          <w:p w14:paraId="2F4B07E2">
            <w:pPr>
              <w:adjustRightInd w:val="0"/>
              <w:snapToGrid w:val="0"/>
              <w:jc w:val="center"/>
              <w:rPr>
                <w:rFonts w:ascii="Times New Roman" w:hAnsi="Times New Roman"/>
                <w:szCs w:val="21"/>
              </w:rPr>
            </w:pPr>
            <w:r>
              <w:rPr>
                <w:rFonts w:ascii="Times New Roman" w:hAnsi="Times New Roman"/>
                <w:szCs w:val="21"/>
              </w:rPr>
              <w:t>020045</w:t>
            </w:r>
          </w:p>
        </w:tc>
      </w:tr>
      <w:tr w14:paraId="3CDB6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454" w:hRule="atLeast"/>
          <w:jc w:val="center"/>
        </w:trPr>
        <w:tc>
          <w:tcPr>
            <w:tcW w:w="685" w:type="dxa"/>
            <w:vMerge w:val="continue"/>
            <w:tcBorders>
              <w:tl2br w:val="nil"/>
              <w:tr2bl w:val="nil"/>
            </w:tcBorders>
            <w:shd w:val="clear" w:color="auto" w:fill="FFFFFF"/>
            <w:vAlign w:val="center"/>
          </w:tcPr>
          <w:p w14:paraId="264D8CEB">
            <w:pPr>
              <w:adjustRightInd w:val="0"/>
              <w:snapToGrid w:val="0"/>
              <w:jc w:val="center"/>
              <w:rPr>
                <w:rFonts w:ascii="Times New Roman" w:hAnsi="Times New Roman"/>
                <w:sz w:val="24"/>
              </w:rPr>
            </w:pPr>
          </w:p>
        </w:tc>
        <w:tc>
          <w:tcPr>
            <w:tcW w:w="1447" w:type="dxa"/>
            <w:tcBorders>
              <w:tl2br w:val="nil"/>
              <w:tr2bl w:val="nil"/>
            </w:tcBorders>
            <w:shd w:val="clear" w:color="auto" w:fill="FFFFFF"/>
            <w:vAlign w:val="center"/>
          </w:tcPr>
          <w:p w14:paraId="0823DF6D">
            <w:pPr>
              <w:adjustRightInd w:val="0"/>
              <w:snapToGrid w:val="0"/>
              <w:jc w:val="center"/>
              <w:rPr>
                <w:rFonts w:ascii="Times New Roman" w:hAnsi="Times New Roman"/>
                <w:sz w:val="24"/>
              </w:rPr>
            </w:pPr>
          </w:p>
        </w:tc>
        <w:tc>
          <w:tcPr>
            <w:tcW w:w="4730" w:type="dxa"/>
            <w:tcBorders>
              <w:tl2br w:val="nil"/>
              <w:tr2bl w:val="nil"/>
            </w:tcBorders>
            <w:shd w:val="clear" w:color="auto" w:fill="FFFFFF"/>
            <w:vAlign w:val="center"/>
          </w:tcPr>
          <w:p w14:paraId="633F1A15">
            <w:pPr>
              <w:adjustRightInd w:val="0"/>
              <w:snapToGrid w:val="0"/>
              <w:jc w:val="center"/>
              <w:rPr>
                <w:rFonts w:ascii="Times New Roman" w:hAnsi="Times New Roman"/>
                <w:szCs w:val="21"/>
              </w:rPr>
            </w:pPr>
          </w:p>
        </w:tc>
        <w:tc>
          <w:tcPr>
            <w:tcW w:w="1910" w:type="dxa"/>
            <w:tcBorders>
              <w:tl2br w:val="nil"/>
              <w:tr2bl w:val="nil"/>
            </w:tcBorders>
            <w:shd w:val="clear" w:color="auto" w:fill="FFFFFF"/>
            <w:vAlign w:val="center"/>
          </w:tcPr>
          <w:p w14:paraId="06D88E65">
            <w:pPr>
              <w:adjustRightInd w:val="0"/>
              <w:snapToGrid w:val="0"/>
              <w:jc w:val="center"/>
              <w:rPr>
                <w:rFonts w:ascii="Times New Roman" w:hAnsi="Times New Roman"/>
                <w:szCs w:val="21"/>
              </w:rPr>
            </w:pPr>
          </w:p>
        </w:tc>
      </w:tr>
      <w:tr w14:paraId="7634F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2132" w:type="dxa"/>
            <w:gridSpan w:val="2"/>
            <w:tcBorders>
              <w:tl2br w:val="nil"/>
              <w:tr2bl w:val="nil"/>
            </w:tcBorders>
            <w:shd w:val="clear" w:color="auto" w:fill="FFFFFF"/>
            <w:vAlign w:val="center"/>
          </w:tcPr>
          <w:p w14:paraId="483EE5E3">
            <w:pPr>
              <w:widowControl/>
              <w:adjustRightInd w:val="0"/>
              <w:snapToGrid w:val="0"/>
              <w:jc w:val="center"/>
              <w:rPr>
                <w:rFonts w:ascii="Times New Roman" w:hAnsi="Times New Roman"/>
                <w:sz w:val="24"/>
              </w:rPr>
            </w:pPr>
            <w:r>
              <w:rPr>
                <w:rFonts w:ascii="Times New Roman" w:hAnsi="Times New Roman"/>
                <w:kern w:val="0"/>
                <w:sz w:val="24"/>
                <w:shd w:val="clear" w:color="auto" w:fill="FFFFFF"/>
              </w:rPr>
              <w:t>技术专家</w:t>
            </w:r>
          </w:p>
        </w:tc>
        <w:tc>
          <w:tcPr>
            <w:tcW w:w="6640" w:type="dxa"/>
            <w:gridSpan w:val="2"/>
            <w:tcBorders>
              <w:tl2br w:val="nil"/>
              <w:tr2bl w:val="nil"/>
            </w:tcBorders>
            <w:shd w:val="clear" w:color="auto" w:fill="FFFFFF"/>
            <w:vAlign w:val="center"/>
          </w:tcPr>
          <w:p w14:paraId="30062137">
            <w:pPr>
              <w:adjustRightInd w:val="0"/>
              <w:snapToGrid w:val="0"/>
              <w:jc w:val="center"/>
              <w:rPr>
                <w:rFonts w:ascii="Times New Roman" w:hAnsi="Times New Roman"/>
                <w:szCs w:val="21"/>
              </w:rPr>
            </w:pPr>
            <w:r>
              <w:rPr>
                <w:rFonts w:ascii="Times New Roman" w:hAnsi="Times New Roman"/>
                <w:szCs w:val="21"/>
              </w:rPr>
              <w:t>/</w:t>
            </w:r>
          </w:p>
        </w:tc>
      </w:tr>
      <w:tr w14:paraId="56584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454" w:hRule="atLeast"/>
          <w:jc w:val="center"/>
        </w:trPr>
        <w:tc>
          <w:tcPr>
            <w:tcW w:w="2132" w:type="dxa"/>
            <w:gridSpan w:val="2"/>
            <w:tcBorders>
              <w:tl2br w:val="nil"/>
              <w:tr2bl w:val="nil"/>
            </w:tcBorders>
            <w:shd w:val="clear" w:color="auto" w:fill="FFFFFF"/>
            <w:vAlign w:val="center"/>
          </w:tcPr>
          <w:p w14:paraId="68D202FB">
            <w:pPr>
              <w:widowControl/>
              <w:adjustRightInd w:val="0"/>
              <w:snapToGrid w:val="0"/>
              <w:jc w:val="center"/>
              <w:rPr>
                <w:rFonts w:ascii="Times New Roman" w:hAnsi="Times New Roman"/>
                <w:sz w:val="24"/>
              </w:rPr>
            </w:pPr>
            <w:r>
              <w:rPr>
                <w:rFonts w:ascii="Times New Roman" w:hAnsi="Times New Roman"/>
                <w:kern w:val="0"/>
                <w:sz w:val="24"/>
                <w:shd w:val="clear" w:color="auto" w:fill="FFFFFF"/>
              </w:rPr>
              <w:t>现场勘察人员及时间</w:t>
            </w:r>
          </w:p>
        </w:tc>
        <w:tc>
          <w:tcPr>
            <w:tcW w:w="6640" w:type="dxa"/>
            <w:gridSpan w:val="2"/>
            <w:tcBorders>
              <w:tl2br w:val="nil"/>
              <w:tr2bl w:val="nil"/>
            </w:tcBorders>
            <w:shd w:val="clear" w:color="auto" w:fill="FFFFFF"/>
            <w:vAlign w:val="center"/>
          </w:tcPr>
          <w:p w14:paraId="5BC95895">
            <w:pPr>
              <w:widowControl/>
              <w:adjustRightInd w:val="0"/>
              <w:snapToGrid w:val="0"/>
              <w:jc w:val="center"/>
              <w:rPr>
                <w:rFonts w:ascii="Times New Roman" w:hAnsi="Times New Roman"/>
                <w:szCs w:val="21"/>
              </w:rPr>
            </w:pPr>
            <w:r>
              <w:rPr>
                <w:rFonts w:ascii="Times New Roman" w:hAnsi="Times New Roman"/>
                <w:szCs w:val="21"/>
              </w:rPr>
              <w:t>徐顺星</w:t>
            </w:r>
            <w:r>
              <w:rPr>
                <w:rFonts w:hint="eastAsia" w:ascii="Times New Roman" w:hAnsi="Times New Roman"/>
                <w:szCs w:val="21"/>
              </w:rPr>
              <w:t>、乔贯德</w:t>
            </w:r>
            <w:r>
              <w:rPr>
                <w:rFonts w:ascii="Times New Roman" w:hAnsi="Times New Roman"/>
                <w:szCs w:val="21"/>
              </w:rPr>
              <w:t>2025年11月17日</w:t>
            </w:r>
          </w:p>
        </w:tc>
      </w:tr>
      <w:tr w14:paraId="61CAF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132" w:type="dxa"/>
            <w:gridSpan w:val="2"/>
            <w:tcBorders>
              <w:tl2br w:val="nil"/>
              <w:tr2bl w:val="nil"/>
            </w:tcBorders>
            <w:shd w:val="clear" w:color="auto" w:fill="FFFFFF"/>
            <w:vAlign w:val="center"/>
          </w:tcPr>
          <w:p w14:paraId="12B1DEDC">
            <w:pPr>
              <w:widowControl/>
              <w:adjustRightInd w:val="0"/>
              <w:snapToGrid w:val="0"/>
              <w:jc w:val="center"/>
              <w:rPr>
                <w:rFonts w:ascii="Times New Roman" w:hAnsi="Times New Roman"/>
                <w:sz w:val="24"/>
              </w:rPr>
            </w:pPr>
            <w:r>
              <w:rPr>
                <w:rFonts w:ascii="Times New Roman" w:hAnsi="Times New Roman"/>
                <w:sz w:val="24"/>
              </w:rPr>
              <w:t>现场核查的人员和时间</w:t>
            </w:r>
          </w:p>
        </w:tc>
        <w:tc>
          <w:tcPr>
            <w:tcW w:w="6640" w:type="dxa"/>
            <w:gridSpan w:val="2"/>
            <w:tcBorders>
              <w:tl2br w:val="nil"/>
              <w:tr2bl w:val="nil"/>
            </w:tcBorders>
            <w:shd w:val="clear" w:color="auto" w:fill="FFFFFF"/>
            <w:vAlign w:val="center"/>
          </w:tcPr>
          <w:p w14:paraId="4CBF4BC7">
            <w:pPr>
              <w:widowControl/>
              <w:adjustRightInd w:val="0"/>
              <w:snapToGrid w:val="0"/>
              <w:jc w:val="center"/>
              <w:rPr>
                <w:rFonts w:ascii="Times New Roman" w:hAnsi="Times New Roman"/>
                <w:szCs w:val="21"/>
              </w:rPr>
            </w:pPr>
            <w:r>
              <w:rPr>
                <w:rFonts w:ascii="Times New Roman" w:hAnsi="Times New Roman"/>
                <w:szCs w:val="21"/>
              </w:rPr>
              <w:t>徐顺星</w:t>
            </w:r>
            <w:r>
              <w:rPr>
                <w:rFonts w:hint="eastAsia" w:ascii="Times New Roman" w:hAnsi="Times New Roman"/>
                <w:szCs w:val="21"/>
              </w:rPr>
              <w:t>、乔贯德</w:t>
            </w:r>
            <w:r>
              <w:rPr>
                <w:rFonts w:ascii="Times New Roman" w:hAnsi="Times New Roman"/>
                <w:szCs w:val="21"/>
              </w:rPr>
              <w:t>2025年11月27日</w:t>
            </w:r>
          </w:p>
        </w:tc>
      </w:tr>
      <w:tr w14:paraId="6D9F9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251" w:hRule="atLeast"/>
          <w:jc w:val="center"/>
        </w:trPr>
        <w:tc>
          <w:tcPr>
            <w:tcW w:w="685" w:type="dxa"/>
            <w:tcBorders>
              <w:tl2br w:val="nil"/>
              <w:tr2bl w:val="nil"/>
            </w:tcBorders>
            <w:shd w:val="clear" w:color="auto" w:fill="FFFFFF"/>
            <w:vAlign w:val="center"/>
          </w:tcPr>
          <w:p w14:paraId="419CBE29">
            <w:pPr>
              <w:widowControl/>
              <w:adjustRightInd w:val="0"/>
              <w:snapToGrid w:val="0"/>
              <w:jc w:val="center"/>
              <w:rPr>
                <w:rFonts w:ascii="Times New Roman" w:hAnsi="Times New Roman"/>
                <w:sz w:val="24"/>
              </w:rPr>
            </w:pPr>
            <w:r>
              <w:rPr>
                <w:rFonts w:ascii="Times New Roman" w:hAnsi="Times New Roman"/>
                <w:kern w:val="0"/>
                <w:sz w:val="24"/>
                <w:shd w:val="clear" w:color="auto" w:fill="FFFFFF"/>
              </w:rPr>
              <w:t>项目简介</w:t>
            </w:r>
          </w:p>
        </w:tc>
        <w:tc>
          <w:tcPr>
            <w:tcW w:w="8087" w:type="dxa"/>
            <w:gridSpan w:val="3"/>
            <w:tcBorders>
              <w:tl2br w:val="nil"/>
              <w:tr2bl w:val="nil"/>
            </w:tcBorders>
            <w:shd w:val="clear" w:color="auto" w:fill="FFFFFF"/>
            <w:vAlign w:val="center"/>
          </w:tcPr>
          <w:p w14:paraId="35380363">
            <w:pPr>
              <w:pStyle w:val="2"/>
              <w:adjustRightInd w:val="0"/>
              <w:snapToGrid w:val="0"/>
              <w:ind w:firstLine="480" w:firstLineChars="200"/>
              <w:rPr>
                <w:rFonts w:ascii="Times New Roman" w:hAnsi="Times New Roman"/>
                <w:kern w:val="0"/>
                <w:sz w:val="24"/>
                <w:szCs w:val="24"/>
                <w:shd w:val="clear" w:color="auto" w:fill="FFFFFF"/>
              </w:rPr>
            </w:pPr>
            <w:r>
              <w:rPr>
                <w:rFonts w:hint="eastAsia" w:ascii="Times New Roman" w:hAnsi="Times New Roman"/>
                <w:kern w:val="0"/>
                <w:sz w:val="24"/>
                <w:szCs w:val="24"/>
                <w:shd w:val="clear" w:color="auto" w:fill="FFFFFF"/>
              </w:rPr>
              <w:t>江西省立新帮扶新能源有限公司成立于2007年11月，企业原名称为安义县立新化工产品有限公司，2025年1月，企业更名为江西省立新帮扶新能源有限公司并取得危险化学品经营许可证。该公司一直以来是以经营压缩气体（乙炔、氮气、氧气、氩气等）、易燃液体（甲醇、甲苯）、腐蚀品、毒害品贸易经营的供应商，产品覆盖普通气体、激光气体、电光源气体、电子工业用气体、超高纯气体、标准气体、工业气体等十几个系统共200多个品种，该公司充装站位于安义县城龙津镇城北村，用地性质为工业用地，占地面积约为2400平方米。产品主要销往省内半导体制造行业、生物制药行业、机械加工行业等厂及周边地区工业使用。</w:t>
            </w:r>
          </w:p>
          <w:p w14:paraId="360CEAC9">
            <w:pPr>
              <w:pStyle w:val="2"/>
              <w:adjustRightInd w:val="0"/>
              <w:snapToGrid w:val="0"/>
              <w:ind w:firstLine="480" w:firstLineChars="200"/>
              <w:rPr>
                <w:rFonts w:ascii="Times New Roman" w:hAnsi="Times New Roman"/>
                <w:kern w:val="0"/>
                <w:sz w:val="24"/>
                <w:szCs w:val="24"/>
                <w:shd w:val="clear" w:color="auto" w:fill="FFFFFF"/>
              </w:rPr>
            </w:pPr>
            <w:r>
              <w:rPr>
                <w:rFonts w:hint="eastAsia" w:ascii="Times New Roman" w:hAnsi="Times New Roman"/>
                <w:kern w:val="0"/>
                <w:sz w:val="24"/>
                <w:szCs w:val="24"/>
                <w:shd w:val="clear" w:color="auto" w:fill="FFFFFF"/>
              </w:rPr>
              <w:t>该项目依托原有101充装站房、201储罐区、403公用工程楼等建筑物，对产品的包装形式及规格（状态）进行调整；原有工艺包括工业氮气、氩+二氧化碳混合气、氩气、工业氧气、二氧化碳气体充装，年充装工业氮气约4.5万瓶、二氧化碳（气液混合）约8.6万瓶、氩气约4.3万瓶、工业氧气约9.1万瓶、80%氩+20%二氧化碳混合气约0.97万瓶（以上气瓶容积为40L钢瓶）；该项目新增加液氮、液氩、液氧、液二氧化碳充装，新增混合气（20%氩+80%二氧化碳、80%氩+20%二氧化碳、80%氩+20%氮、95%氩+5%氧、5%氩+15%二氧化碳+80%氮）充装，新增1台模压机M10201，用于高压氮气充装，新增1台氧气汽化器E10202，用于满足氧气充装的生产需求，避免液氧管道结霜。达产后年充装工业氮气约2.4万瓶、二氧化碳（气液混合）约7.5万瓶、氩气约2.6万瓶、工业氧气约6.5万瓶、80%氩+20%二氧化碳混合气0.5万瓶（以上气瓶容积为40L钢瓶），年充装液氧0.1万瓶、液氮0.05万瓶、液氩0.05万瓶、液二氧化碳0.1万瓶（以上气瓶容积为175L杜瓦瓶），20%氩+80%二氧化碳混合气0.5万瓶、80%氩+20%氮混合气0.5万瓶、95%氩+5%氧混合气0.5万瓶、5%氩+15%二氧化碳+80%氮混合气0.5万瓶（以上气瓶容积为40L钢瓶）。</w:t>
            </w:r>
          </w:p>
          <w:p w14:paraId="40E6B44C">
            <w:pPr>
              <w:pStyle w:val="2"/>
              <w:adjustRightInd w:val="0"/>
              <w:snapToGrid w:val="0"/>
              <w:ind w:firstLine="480" w:firstLineChars="200"/>
              <w:rPr>
                <w:rFonts w:ascii="Times New Roman" w:hAnsi="Times New Roman"/>
                <w:kern w:val="0"/>
                <w:sz w:val="24"/>
                <w:szCs w:val="24"/>
                <w:shd w:val="clear" w:color="auto" w:fill="FFFFFF"/>
              </w:rPr>
            </w:pPr>
            <w:r>
              <w:rPr>
                <w:rFonts w:hint="eastAsia" w:ascii="Times New Roman" w:hAnsi="Times New Roman"/>
                <w:kern w:val="0"/>
                <w:sz w:val="24"/>
                <w:szCs w:val="24"/>
                <w:shd w:val="clear" w:color="auto" w:fill="FFFFFF"/>
              </w:rPr>
              <w:t>验收结论：江西省立新帮扶新能源有限公司气体充装站项目主体工程及与之配套的安全设施与设计基本相符，符合国家有关安全生产的法律法规和技术标准；经安装、调试和试生产，系统各设备工作正常，项目中存在的危险有害因素基本得到控制，满足安全生产要求，具备安全设施竣工验收条件。</w:t>
            </w:r>
          </w:p>
        </w:tc>
      </w:tr>
      <w:tr w14:paraId="6D8F2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jc w:val="center"/>
        </w:trPr>
        <w:tc>
          <w:tcPr>
            <w:tcW w:w="685" w:type="dxa"/>
            <w:tcBorders>
              <w:tl2br w:val="nil"/>
              <w:tr2bl w:val="nil"/>
            </w:tcBorders>
            <w:shd w:val="clear" w:color="auto" w:fill="FFFFFF"/>
            <w:vAlign w:val="center"/>
          </w:tcPr>
          <w:p w14:paraId="0EABBBD5">
            <w:pPr>
              <w:pStyle w:val="2"/>
              <w:adjustRightInd w:val="0"/>
              <w:snapToGrid w:val="0"/>
              <w:rPr>
                <w:rFonts w:hint="eastAsia" w:ascii="Times New Roman" w:hAnsi="Times New Roman"/>
                <w:b/>
                <w:bCs/>
                <w:kern w:val="0"/>
                <w:sz w:val="24"/>
                <w:szCs w:val="24"/>
                <w:shd w:val="clear" w:color="auto" w:fill="FFFFFF"/>
              </w:rPr>
            </w:pPr>
            <w:r>
              <w:rPr>
                <w:rFonts w:hint="eastAsia" w:ascii="Times New Roman" w:hAnsi="Times New Roman"/>
                <w:b/>
                <w:bCs/>
                <w:kern w:val="0"/>
                <w:sz w:val="24"/>
                <w:szCs w:val="24"/>
                <w:shd w:val="clear" w:color="auto" w:fill="FFFFFF"/>
              </w:rPr>
              <w:t>生产工艺</w:t>
            </w:r>
          </w:p>
        </w:tc>
        <w:tc>
          <w:tcPr>
            <w:tcW w:w="8087" w:type="dxa"/>
            <w:gridSpan w:val="3"/>
            <w:tcBorders>
              <w:tl2br w:val="nil"/>
              <w:tr2bl w:val="nil"/>
            </w:tcBorders>
            <w:shd w:val="clear" w:color="auto" w:fill="FFFFFF"/>
            <w:vAlign w:val="center"/>
          </w:tcPr>
          <w:p w14:paraId="67EE2B73">
            <w:pPr>
              <w:pStyle w:val="2"/>
              <w:adjustRightInd w:val="0"/>
              <w:snapToGrid w:val="0"/>
              <w:rPr>
                <w:rFonts w:ascii="Times New Roman" w:hAnsi="Times New Roman"/>
                <w:b/>
                <w:bCs/>
                <w:kern w:val="0"/>
                <w:sz w:val="24"/>
                <w:szCs w:val="24"/>
                <w:shd w:val="clear" w:color="auto" w:fill="FFFFFF"/>
              </w:rPr>
            </w:pPr>
            <w:r>
              <w:rPr>
                <w:rFonts w:hint="eastAsia" w:ascii="Times New Roman" w:hAnsi="Times New Roman"/>
                <w:b/>
                <w:bCs/>
                <w:kern w:val="0"/>
                <w:sz w:val="24"/>
                <w:szCs w:val="24"/>
                <w:shd w:val="clear" w:color="auto" w:fill="FFFFFF"/>
              </w:rPr>
              <w:t>生产工艺：</w:t>
            </w:r>
          </w:p>
          <w:p w14:paraId="3705D789">
            <w:pPr>
              <w:pStyle w:val="2"/>
              <w:adjustRightInd w:val="0"/>
              <w:snapToGrid w:val="0"/>
              <w:ind w:firstLine="480" w:firstLineChars="200"/>
              <w:rPr>
                <w:rFonts w:ascii="Times New Roman" w:hAnsi="Times New Roman"/>
                <w:kern w:val="0"/>
                <w:sz w:val="24"/>
                <w:szCs w:val="24"/>
                <w:shd w:val="clear" w:color="auto" w:fill="FFFFFF"/>
              </w:rPr>
            </w:pPr>
            <w:r>
              <w:rPr>
                <w:rFonts w:ascii="Times New Roman" w:hAnsi="Times New Roman"/>
                <w:kern w:val="0"/>
                <w:sz w:val="24"/>
                <w:szCs w:val="24"/>
                <w:shd w:val="clear" w:color="auto" w:fill="FFFFFF"/>
              </w:rPr>
              <w:t>1</w:t>
            </w:r>
            <w:r>
              <w:rPr>
                <w:rFonts w:hint="eastAsia" w:ascii="Times New Roman" w:hAnsi="Times New Roman"/>
                <w:kern w:val="0"/>
                <w:sz w:val="24"/>
                <w:szCs w:val="24"/>
                <w:shd w:val="clear" w:color="auto" w:fill="FFFFFF"/>
              </w:rPr>
              <w:t>、氧气充装工艺（原生产工艺，未变化）</w:t>
            </w:r>
          </w:p>
          <w:p w14:paraId="762A66CD">
            <w:pPr>
              <w:pStyle w:val="2"/>
              <w:adjustRightInd w:val="0"/>
              <w:snapToGrid w:val="0"/>
              <w:ind w:firstLine="480" w:firstLineChars="200"/>
              <w:rPr>
                <w:rFonts w:ascii="Times New Roman" w:hAnsi="Times New Roman"/>
                <w:kern w:val="0"/>
                <w:sz w:val="24"/>
                <w:szCs w:val="24"/>
                <w:shd w:val="clear" w:color="auto" w:fill="FFFFFF"/>
              </w:rPr>
            </w:pPr>
            <w:r>
              <w:rPr>
                <w:rFonts w:hint="eastAsia" w:ascii="Times New Roman" w:hAnsi="Times New Roman"/>
                <w:kern w:val="0"/>
                <w:sz w:val="24"/>
                <w:szCs w:val="24"/>
                <w:shd w:val="clear" w:color="auto" w:fill="FFFFFF"/>
              </w:rPr>
              <w:t>从有生产资质的企业购进液态氧，通过低温液体槽车进行运输，检验合格后将液态氧置于低温储槽内储存。储存在储槽内的液体分别经低温液体泵加压达到预设压力；然后经高压气化器将气化后的常温气态氧通过充装汇流排注入钢瓶，当压力达到钢瓶的公称工作压力</w:t>
            </w:r>
            <w:r>
              <w:rPr>
                <w:rFonts w:ascii="Times New Roman" w:hAnsi="Times New Roman"/>
                <w:kern w:val="0"/>
                <w:sz w:val="24"/>
                <w:szCs w:val="24"/>
                <w:shd w:val="clear" w:color="auto" w:fill="FFFFFF"/>
              </w:rPr>
              <w:t>15MPa时，关闭阀门，卸下氧气瓶，经检验合</w:t>
            </w:r>
            <w:r>
              <w:rPr>
                <w:rFonts w:hint="eastAsia" w:ascii="Times New Roman" w:hAnsi="Times New Roman"/>
                <w:kern w:val="0"/>
                <w:sz w:val="24"/>
                <w:szCs w:val="24"/>
                <w:shd w:val="clear" w:color="auto" w:fill="FFFFFF"/>
              </w:rPr>
              <w:t>格后出厂。</w:t>
            </w:r>
          </w:p>
          <w:p w14:paraId="53B6C3FA">
            <w:pPr>
              <w:pStyle w:val="2"/>
              <w:adjustRightInd w:val="0"/>
              <w:snapToGrid w:val="0"/>
              <w:ind w:firstLine="480" w:firstLineChars="200"/>
              <w:rPr>
                <w:rFonts w:ascii="Times New Roman" w:hAnsi="Times New Roman"/>
                <w:kern w:val="0"/>
                <w:sz w:val="24"/>
                <w:szCs w:val="24"/>
                <w:shd w:val="clear" w:color="auto" w:fill="FFFFFF"/>
              </w:rPr>
            </w:pPr>
            <w:r>
              <w:rPr>
                <w:rFonts w:ascii="Times New Roman" w:hAnsi="Times New Roman"/>
                <w:kern w:val="0"/>
                <w:sz w:val="24"/>
                <w:szCs w:val="24"/>
                <w:shd w:val="clear" w:color="auto" w:fill="FFFFFF"/>
              </w:rPr>
              <w:t>2</w:t>
            </w:r>
            <w:r>
              <w:rPr>
                <w:rFonts w:hint="eastAsia" w:ascii="Times New Roman" w:hAnsi="Times New Roman"/>
                <w:kern w:val="0"/>
                <w:sz w:val="24"/>
                <w:szCs w:val="24"/>
                <w:shd w:val="clear" w:color="auto" w:fill="FFFFFF"/>
              </w:rPr>
              <w:t>、氩气充装工艺（原生产工艺，未变化）</w:t>
            </w:r>
          </w:p>
          <w:p w14:paraId="25893141">
            <w:pPr>
              <w:pStyle w:val="2"/>
              <w:adjustRightInd w:val="0"/>
              <w:snapToGrid w:val="0"/>
              <w:ind w:firstLine="480" w:firstLineChars="200"/>
              <w:rPr>
                <w:rFonts w:ascii="Times New Roman" w:hAnsi="Times New Roman"/>
                <w:kern w:val="0"/>
                <w:sz w:val="24"/>
                <w:szCs w:val="24"/>
                <w:shd w:val="clear" w:color="auto" w:fill="FFFFFF"/>
              </w:rPr>
            </w:pPr>
            <w:r>
              <w:rPr>
                <w:rFonts w:hint="eastAsia" w:ascii="Times New Roman" w:hAnsi="Times New Roman"/>
                <w:kern w:val="0"/>
                <w:sz w:val="24"/>
                <w:szCs w:val="24"/>
                <w:shd w:val="clear" w:color="auto" w:fill="FFFFFF"/>
              </w:rPr>
              <w:t>从有生产资质的企业购进液态氩，通过低温液体槽车进行运输，检验合格后将液态氩置于低温储槽内储存。储存在储槽内的液体分别经低温液体泵加压达到预设压力；然后经高压气化器将气化后的常温气态氩通过充装汇流排注入钢瓶，当压力达到钢瓶的公称工作压力</w:t>
            </w:r>
            <w:r>
              <w:rPr>
                <w:rFonts w:ascii="Times New Roman" w:hAnsi="Times New Roman"/>
                <w:kern w:val="0"/>
                <w:sz w:val="24"/>
                <w:szCs w:val="24"/>
                <w:shd w:val="clear" w:color="auto" w:fill="FFFFFF"/>
              </w:rPr>
              <w:t>15MPa时，关闭瓶阀，卸下氩气瓶，经检验合</w:t>
            </w:r>
            <w:r>
              <w:rPr>
                <w:rFonts w:hint="eastAsia" w:ascii="Times New Roman" w:hAnsi="Times New Roman"/>
                <w:kern w:val="0"/>
                <w:sz w:val="24"/>
                <w:szCs w:val="24"/>
                <w:shd w:val="clear" w:color="auto" w:fill="FFFFFF"/>
              </w:rPr>
              <w:t>格后出厂。</w:t>
            </w:r>
          </w:p>
          <w:p w14:paraId="1B333F84">
            <w:pPr>
              <w:pStyle w:val="2"/>
              <w:adjustRightInd w:val="0"/>
              <w:snapToGrid w:val="0"/>
              <w:ind w:firstLine="480" w:firstLineChars="200"/>
              <w:rPr>
                <w:rFonts w:ascii="Times New Roman" w:hAnsi="Times New Roman"/>
                <w:kern w:val="0"/>
                <w:sz w:val="24"/>
                <w:szCs w:val="24"/>
                <w:shd w:val="clear" w:color="auto" w:fill="FFFFFF"/>
              </w:rPr>
            </w:pPr>
            <w:r>
              <w:rPr>
                <w:rFonts w:ascii="Times New Roman" w:hAnsi="Times New Roman"/>
                <w:kern w:val="0"/>
                <w:sz w:val="24"/>
                <w:szCs w:val="24"/>
                <w:shd w:val="clear" w:color="auto" w:fill="FFFFFF"/>
              </w:rPr>
              <w:t>3</w:t>
            </w:r>
            <w:r>
              <w:rPr>
                <w:rFonts w:hint="eastAsia" w:ascii="Times New Roman" w:hAnsi="Times New Roman"/>
                <w:kern w:val="0"/>
                <w:sz w:val="24"/>
                <w:szCs w:val="24"/>
                <w:shd w:val="clear" w:color="auto" w:fill="FFFFFF"/>
              </w:rPr>
              <w:t>、二氧化碳充装工艺（原生产工艺，未变化）</w:t>
            </w:r>
          </w:p>
          <w:p w14:paraId="18186793">
            <w:pPr>
              <w:pStyle w:val="2"/>
              <w:adjustRightInd w:val="0"/>
              <w:snapToGrid w:val="0"/>
              <w:ind w:firstLine="480" w:firstLineChars="200"/>
              <w:rPr>
                <w:rFonts w:ascii="Times New Roman" w:hAnsi="Times New Roman"/>
                <w:kern w:val="0"/>
                <w:sz w:val="24"/>
                <w:szCs w:val="24"/>
                <w:shd w:val="clear" w:color="auto" w:fill="FFFFFF"/>
              </w:rPr>
            </w:pPr>
            <w:r>
              <w:rPr>
                <w:rFonts w:hint="eastAsia" w:ascii="Times New Roman" w:hAnsi="Times New Roman"/>
                <w:kern w:val="0"/>
                <w:sz w:val="24"/>
                <w:szCs w:val="24"/>
                <w:shd w:val="clear" w:color="auto" w:fill="FFFFFF"/>
              </w:rPr>
              <w:t>从有生产资质的企业购进液态二氧化碳，通过槽车进行运输，检验合格后将液态二氧化碳置于储槽内储存。储存在储槽内的液体经低温液体泵加压达到</w:t>
            </w:r>
            <w:r>
              <w:rPr>
                <w:rFonts w:ascii="Times New Roman" w:hAnsi="Times New Roman"/>
                <w:kern w:val="0"/>
                <w:sz w:val="24"/>
                <w:szCs w:val="24"/>
                <w:shd w:val="clear" w:color="auto" w:fill="FFFFFF"/>
              </w:rPr>
              <w:t>4MPa通过充装汇流排注入钢瓶，电子秤称重充装，气液混合相重量达到铭牌指</w:t>
            </w:r>
            <w:r>
              <w:rPr>
                <w:rFonts w:hint="eastAsia" w:ascii="Times New Roman" w:hAnsi="Times New Roman"/>
                <w:kern w:val="0"/>
                <w:sz w:val="24"/>
                <w:szCs w:val="24"/>
                <w:shd w:val="clear" w:color="auto" w:fill="FFFFFF"/>
              </w:rPr>
              <w:t>示重量后视为装满，复称经检验合格后出厂。</w:t>
            </w:r>
          </w:p>
          <w:p w14:paraId="7B4A23DA">
            <w:pPr>
              <w:pStyle w:val="2"/>
              <w:adjustRightInd w:val="0"/>
              <w:snapToGrid w:val="0"/>
              <w:ind w:firstLine="480" w:firstLineChars="200"/>
              <w:rPr>
                <w:rFonts w:ascii="Times New Roman" w:hAnsi="Times New Roman"/>
                <w:kern w:val="0"/>
                <w:sz w:val="24"/>
                <w:szCs w:val="24"/>
                <w:shd w:val="clear" w:color="auto" w:fill="FFFFFF"/>
              </w:rPr>
            </w:pPr>
            <w:r>
              <w:rPr>
                <w:rFonts w:ascii="Times New Roman" w:hAnsi="Times New Roman"/>
                <w:kern w:val="0"/>
                <w:sz w:val="24"/>
                <w:szCs w:val="24"/>
                <w:shd w:val="clear" w:color="auto" w:fill="FFFFFF"/>
              </w:rPr>
              <w:t>4</w:t>
            </w:r>
            <w:r>
              <w:rPr>
                <w:rFonts w:hint="eastAsia" w:ascii="Times New Roman" w:hAnsi="Times New Roman"/>
                <w:kern w:val="0"/>
                <w:sz w:val="24"/>
                <w:szCs w:val="24"/>
                <w:shd w:val="clear" w:color="auto" w:fill="FFFFFF"/>
              </w:rPr>
              <w:t>、氮气充装工艺流程（原生产工艺，未变化）</w:t>
            </w:r>
          </w:p>
          <w:p w14:paraId="664E5DE6">
            <w:pPr>
              <w:pStyle w:val="2"/>
              <w:adjustRightInd w:val="0"/>
              <w:snapToGrid w:val="0"/>
              <w:ind w:firstLine="480" w:firstLineChars="200"/>
              <w:rPr>
                <w:rFonts w:ascii="Times New Roman" w:hAnsi="Times New Roman"/>
                <w:kern w:val="0"/>
                <w:sz w:val="24"/>
                <w:szCs w:val="24"/>
                <w:shd w:val="clear" w:color="auto" w:fill="FFFFFF"/>
              </w:rPr>
            </w:pPr>
            <w:r>
              <w:rPr>
                <w:rFonts w:hint="eastAsia" w:ascii="Times New Roman" w:hAnsi="Times New Roman"/>
                <w:kern w:val="0"/>
                <w:sz w:val="24"/>
                <w:szCs w:val="24"/>
                <w:shd w:val="clear" w:color="auto" w:fill="FFFFFF"/>
              </w:rPr>
              <w:t>从有生产资质的企业购进液态氮，通过低温液体槽车进行运输，检验合格后将液态氮置于低温储槽内储存。储存在储槽内的液体分别经低温液体泵加压达到预设压力，然后经高压气化器将气化后的常温气态氮通过充装汇流排注入钢瓶，当压力达到钢瓶的公称工作压力</w:t>
            </w:r>
            <w:r>
              <w:rPr>
                <w:rFonts w:ascii="Times New Roman" w:hAnsi="Times New Roman"/>
                <w:kern w:val="0"/>
                <w:sz w:val="24"/>
                <w:szCs w:val="24"/>
                <w:shd w:val="clear" w:color="auto" w:fill="FFFFFF"/>
              </w:rPr>
              <w:t>15MPa时，关闭瓶阀，卸下氮气瓶，经检验合</w:t>
            </w:r>
            <w:r>
              <w:rPr>
                <w:rFonts w:hint="eastAsia" w:ascii="Times New Roman" w:hAnsi="Times New Roman"/>
                <w:kern w:val="0"/>
                <w:sz w:val="24"/>
                <w:szCs w:val="24"/>
                <w:shd w:val="clear" w:color="auto" w:fill="FFFFFF"/>
              </w:rPr>
              <w:t>格后出厂。</w:t>
            </w:r>
          </w:p>
          <w:p w14:paraId="67753C8F">
            <w:pPr>
              <w:pStyle w:val="2"/>
              <w:adjustRightInd w:val="0"/>
              <w:snapToGrid w:val="0"/>
              <w:ind w:firstLine="480" w:firstLineChars="200"/>
              <w:rPr>
                <w:rFonts w:ascii="Times New Roman" w:hAnsi="Times New Roman"/>
                <w:kern w:val="0"/>
                <w:sz w:val="24"/>
                <w:szCs w:val="24"/>
                <w:shd w:val="clear" w:color="auto" w:fill="FFFFFF"/>
              </w:rPr>
            </w:pPr>
            <w:r>
              <w:rPr>
                <w:rFonts w:ascii="Times New Roman" w:hAnsi="Times New Roman"/>
                <w:kern w:val="0"/>
                <w:sz w:val="24"/>
                <w:szCs w:val="24"/>
                <w:shd w:val="clear" w:color="auto" w:fill="FFFFFF"/>
              </w:rPr>
              <w:t>5</w:t>
            </w:r>
            <w:r>
              <w:rPr>
                <w:rFonts w:hint="eastAsia" w:ascii="Times New Roman" w:hAnsi="Times New Roman"/>
                <w:kern w:val="0"/>
                <w:sz w:val="24"/>
                <w:szCs w:val="24"/>
                <w:shd w:val="clear" w:color="auto" w:fill="FFFFFF"/>
              </w:rPr>
              <w:t>、高压氮气充装工艺流程（新增生产工艺）</w:t>
            </w:r>
          </w:p>
          <w:p w14:paraId="17A12B65">
            <w:pPr>
              <w:pStyle w:val="2"/>
              <w:adjustRightInd w:val="0"/>
              <w:snapToGrid w:val="0"/>
              <w:ind w:firstLine="480" w:firstLineChars="200"/>
              <w:rPr>
                <w:rFonts w:ascii="Times New Roman" w:hAnsi="Times New Roman"/>
                <w:kern w:val="0"/>
                <w:sz w:val="24"/>
                <w:szCs w:val="24"/>
                <w:shd w:val="clear" w:color="auto" w:fill="FFFFFF"/>
              </w:rPr>
            </w:pPr>
            <w:r>
              <w:rPr>
                <w:rFonts w:hint="eastAsia" w:ascii="Times New Roman" w:hAnsi="Times New Roman"/>
                <w:kern w:val="0"/>
                <w:sz w:val="24"/>
                <w:szCs w:val="24"/>
                <w:shd w:val="clear" w:color="auto" w:fill="FFFFFF"/>
              </w:rPr>
              <w:t>从有生产资质的企业购进液态氮，通过低温液体槽车进行运输，检验合格后将液态氮置于低温储槽内储存。储槽上部气态氮经模压机加压，加压后的氮气输送至充装汇流排后通过充装汇流排注入钢瓶，当压力达到钢瓶的公称工作压力</w:t>
            </w:r>
            <w:r>
              <w:rPr>
                <w:rFonts w:ascii="Times New Roman" w:hAnsi="Times New Roman"/>
                <w:kern w:val="0"/>
                <w:sz w:val="24"/>
                <w:szCs w:val="24"/>
                <w:shd w:val="clear" w:color="auto" w:fill="FFFFFF"/>
              </w:rPr>
              <w:t>20MPa时，关闭瓶阀，卸下氮气瓶，经检验合格后出厂。</w:t>
            </w:r>
          </w:p>
          <w:p w14:paraId="1D0A7552">
            <w:pPr>
              <w:pStyle w:val="2"/>
              <w:adjustRightInd w:val="0"/>
              <w:snapToGrid w:val="0"/>
              <w:ind w:firstLine="480" w:firstLineChars="200"/>
              <w:rPr>
                <w:rFonts w:ascii="Times New Roman" w:hAnsi="Times New Roman"/>
                <w:kern w:val="0"/>
                <w:sz w:val="24"/>
                <w:szCs w:val="24"/>
                <w:shd w:val="clear" w:color="auto" w:fill="FFFFFF"/>
              </w:rPr>
            </w:pPr>
            <w:r>
              <w:rPr>
                <w:rFonts w:ascii="Times New Roman" w:hAnsi="Times New Roman"/>
                <w:kern w:val="0"/>
                <w:sz w:val="24"/>
                <w:szCs w:val="24"/>
                <w:shd w:val="clear" w:color="auto" w:fill="FFFFFF"/>
              </w:rPr>
              <w:t>6</w:t>
            </w:r>
            <w:r>
              <w:rPr>
                <w:rFonts w:hint="eastAsia" w:ascii="Times New Roman" w:hAnsi="Times New Roman"/>
                <w:kern w:val="0"/>
                <w:sz w:val="24"/>
                <w:szCs w:val="24"/>
                <w:shd w:val="clear" w:color="auto" w:fill="FFFFFF"/>
              </w:rPr>
              <w:t>、混合气体充装工艺流程（增加混合气种类，工艺调整）</w:t>
            </w:r>
          </w:p>
          <w:p w14:paraId="35438409">
            <w:pPr>
              <w:pStyle w:val="2"/>
              <w:adjustRightInd w:val="0"/>
              <w:snapToGrid w:val="0"/>
              <w:ind w:firstLine="480" w:firstLineChars="200"/>
              <w:rPr>
                <w:rFonts w:ascii="Times New Roman" w:hAnsi="Times New Roman"/>
                <w:kern w:val="0"/>
                <w:sz w:val="24"/>
                <w:szCs w:val="24"/>
                <w:shd w:val="clear" w:color="auto" w:fill="FFFFFF"/>
              </w:rPr>
            </w:pPr>
            <w:r>
              <w:rPr>
                <w:rFonts w:hint="eastAsia" w:ascii="Times New Roman" w:hAnsi="Times New Roman"/>
                <w:kern w:val="0"/>
                <w:sz w:val="24"/>
                <w:szCs w:val="24"/>
                <w:shd w:val="clear" w:color="auto" w:fill="FFFFFF"/>
              </w:rPr>
              <w:t>原生产工艺：采取钢瓶先在二氧化碳汇流排处充装二氧化碳气体至压力</w:t>
            </w:r>
            <w:r>
              <w:rPr>
                <w:rFonts w:ascii="Times New Roman" w:hAnsi="Times New Roman"/>
                <w:kern w:val="0"/>
                <w:sz w:val="24"/>
                <w:szCs w:val="24"/>
                <w:shd w:val="clear" w:color="auto" w:fill="FFFFFF"/>
              </w:rPr>
              <w:t>2.7MPa，卸下钢瓶，然后至氩气充装处，至氩气汇流排压力到3.0MPa时打开</w:t>
            </w:r>
            <w:r>
              <w:rPr>
                <w:rFonts w:hint="eastAsia" w:ascii="Times New Roman" w:hAnsi="Times New Roman"/>
                <w:kern w:val="0"/>
                <w:sz w:val="24"/>
                <w:szCs w:val="24"/>
                <w:shd w:val="clear" w:color="auto" w:fill="FFFFFF"/>
              </w:rPr>
              <w:t>汇流排总阀充氩气到</w:t>
            </w:r>
            <w:r>
              <w:rPr>
                <w:rFonts w:ascii="Times New Roman" w:hAnsi="Times New Roman"/>
                <w:kern w:val="0"/>
                <w:sz w:val="24"/>
                <w:szCs w:val="24"/>
                <w:shd w:val="clear" w:color="auto" w:fill="FFFFFF"/>
              </w:rPr>
              <w:t>15.0MPa，充装完毕，卸下钢瓶即可。</w:t>
            </w:r>
          </w:p>
          <w:p w14:paraId="7A2D1E6A">
            <w:pPr>
              <w:pStyle w:val="2"/>
              <w:adjustRightInd w:val="0"/>
              <w:snapToGrid w:val="0"/>
              <w:ind w:firstLine="480" w:firstLineChars="200"/>
              <w:rPr>
                <w:rFonts w:ascii="Times New Roman" w:hAnsi="Times New Roman"/>
                <w:kern w:val="0"/>
                <w:sz w:val="24"/>
                <w:szCs w:val="24"/>
                <w:shd w:val="clear" w:color="auto" w:fill="FFFFFF"/>
              </w:rPr>
            </w:pPr>
            <w:r>
              <w:rPr>
                <w:rFonts w:hint="eastAsia" w:ascii="Times New Roman" w:hAnsi="Times New Roman"/>
                <w:kern w:val="0"/>
                <w:sz w:val="24"/>
                <w:szCs w:val="24"/>
                <w:shd w:val="clear" w:color="auto" w:fill="FFFFFF"/>
              </w:rPr>
              <w:t>新生产工艺：根据订单需求，变更后混合气体充装涉及以下五种混合气产品：</w:t>
            </w:r>
            <w:r>
              <w:rPr>
                <w:rFonts w:ascii="Times New Roman" w:hAnsi="Times New Roman"/>
                <w:kern w:val="0"/>
                <w:sz w:val="24"/>
                <w:szCs w:val="24"/>
                <w:shd w:val="clear" w:color="auto" w:fill="FFFFFF"/>
              </w:rPr>
              <w:t>20%氩+80%二氧化碳混合气、80%氩+20%二氧化碳混合气、80%氩+20%氮混</w:t>
            </w:r>
            <w:r>
              <w:rPr>
                <w:rFonts w:hint="eastAsia" w:ascii="Times New Roman" w:hAnsi="Times New Roman"/>
                <w:kern w:val="0"/>
                <w:sz w:val="24"/>
                <w:szCs w:val="24"/>
                <w:shd w:val="clear" w:color="auto" w:fill="FFFFFF"/>
              </w:rPr>
              <w:t>合气、</w:t>
            </w:r>
            <w:r>
              <w:rPr>
                <w:rFonts w:ascii="Times New Roman" w:hAnsi="Times New Roman"/>
                <w:kern w:val="0"/>
                <w:sz w:val="24"/>
                <w:szCs w:val="24"/>
                <w:shd w:val="clear" w:color="auto" w:fill="FFFFFF"/>
              </w:rPr>
              <w:t>95%氩+5%氧混合气、5%氩+15%二氧化碳+80%氮混合气。充装工艺流</w:t>
            </w:r>
            <w:r>
              <w:rPr>
                <w:rFonts w:hint="eastAsia" w:ascii="Times New Roman" w:hAnsi="Times New Roman"/>
                <w:kern w:val="0"/>
                <w:sz w:val="24"/>
                <w:szCs w:val="24"/>
                <w:shd w:val="clear" w:color="auto" w:fill="FFFFFF"/>
              </w:rPr>
              <w:t>程如下：</w:t>
            </w:r>
          </w:p>
          <w:p w14:paraId="2FF4BDD9">
            <w:pPr>
              <w:pStyle w:val="2"/>
              <w:adjustRightInd w:val="0"/>
              <w:snapToGrid w:val="0"/>
              <w:ind w:firstLine="480" w:firstLineChars="200"/>
              <w:rPr>
                <w:rFonts w:ascii="Times New Roman" w:hAnsi="Times New Roman"/>
                <w:kern w:val="0"/>
                <w:sz w:val="24"/>
                <w:szCs w:val="24"/>
                <w:shd w:val="clear" w:color="auto" w:fill="FFFFFF"/>
              </w:rPr>
            </w:pPr>
            <w:r>
              <w:rPr>
                <w:rFonts w:ascii="Times New Roman" w:hAnsi="Times New Roman"/>
                <w:kern w:val="0"/>
                <w:sz w:val="24"/>
                <w:szCs w:val="24"/>
                <w:shd w:val="clear" w:color="auto" w:fill="FFFFFF"/>
              </w:rPr>
              <w:t>1）20%氩+80%二氧化碳混合气：先在氩气汇流排操作台充装口处连接</w:t>
            </w:r>
            <w:r>
              <w:rPr>
                <w:rFonts w:hint="eastAsia" w:ascii="Times New Roman" w:hAnsi="Times New Roman"/>
                <w:kern w:val="0"/>
                <w:sz w:val="24"/>
                <w:szCs w:val="24"/>
                <w:shd w:val="clear" w:color="auto" w:fill="FFFFFF"/>
              </w:rPr>
              <w:t>钢瓶，打开二氧化碳管线上阀门，按混合气比例充装二氧化碳气体至压力</w:t>
            </w:r>
            <w:r>
              <w:rPr>
                <w:rFonts w:ascii="Times New Roman" w:hAnsi="Times New Roman"/>
                <w:kern w:val="0"/>
                <w:sz w:val="24"/>
                <w:szCs w:val="24"/>
                <w:shd w:val="clear" w:color="auto" w:fill="FFFFFF"/>
              </w:rPr>
              <w:t>8.0MPa，然后关闭二氧化碳管线上阀门，开氩气汇流排总阀充氩气到11.5MPa，</w:t>
            </w:r>
            <w:r>
              <w:rPr>
                <w:rFonts w:hint="eastAsia" w:ascii="Times New Roman" w:hAnsi="Times New Roman"/>
                <w:kern w:val="0"/>
                <w:sz w:val="24"/>
                <w:szCs w:val="24"/>
                <w:shd w:val="clear" w:color="auto" w:fill="FFFFFF"/>
              </w:rPr>
              <w:t>充装完毕，卸下混合气钢瓶，经检验合格后出厂。</w:t>
            </w:r>
          </w:p>
          <w:p w14:paraId="5B23F2B1">
            <w:pPr>
              <w:pStyle w:val="2"/>
              <w:adjustRightInd w:val="0"/>
              <w:snapToGrid w:val="0"/>
              <w:ind w:firstLine="480" w:firstLineChars="200"/>
              <w:rPr>
                <w:rFonts w:ascii="Times New Roman" w:hAnsi="Times New Roman"/>
                <w:kern w:val="0"/>
                <w:sz w:val="24"/>
                <w:szCs w:val="24"/>
                <w:shd w:val="clear" w:color="auto" w:fill="FFFFFF"/>
              </w:rPr>
            </w:pPr>
            <w:r>
              <w:rPr>
                <w:rFonts w:ascii="Times New Roman" w:hAnsi="Times New Roman"/>
                <w:kern w:val="0"/>
                <w:sz w:val="24"/>
                <w:szCs w:val="24"/>
                <w:shd w:val="clear" w:color="auto" w:fill="FFFFFF"/>
              </w:rPr>
              <w:t>2）80%氩+20%二氧化碳混合气：先在氩气汇流排操作台充装口处连接</w:t>
            </w:r>
            <w:r>
              <w:rPr>
                <w:rFonts w:hint="eastAsia" w:ascii="Times New Roman" w:hAnsi="Times New Roman"/>
                <w:kern w:val="0"/>
                <w:sz w:val="24"/>
                <w:szCs w:val="24"/>
                <w:shd w:val="clear" w:color="auto" w:fill="FFFFFF"/>
              </w:rPr>
              <w:t>钢瓶，打开二氧化碳管线上阀门，按混合气比例充装二氧化碳气体至压力</w:t>
            </w:r>
            <w:r>
              <w:rPr>
                <w:rFonts w:ascii="Times New Roman" w:hAnsi="Times New Roman"/>
                <w:kern w:val="0"/>
                <w:sz w:val="24"/>
                <w:szCs w:val="24"/>
                <w:shd w:val="clear" w:color="auto" w:fill="FFFFFF"/>
              </w:rPr>
              <w:t>2.7MPa，然后关闭二氧化碳管线上阀门，开氩气汇流排总阀充氩气到15.0MPa，</w:t>
            </w:r>
            <w:r>
              <w:rPr>
                <w:rFonts w:hint="eastAsia" w:ascii="Times New Roman" w:hAnsi="Times New Roman"/>
                <w:kern w:val="0"/>
                <w:sz w:val="24"/>
                <w:szCs w:val="24"/>
                <w:shd w:val="clear" w:color="auto" w:fill="FFFFFF"/>
              </w:rPr>
              <w:t>充装完毕，卸下混合气钢瓶，经检验合格后出厂。</w:t>
            </w:r>
          </w:p>
          <w:p w14:paraId="0D22475F">
            <w:pPr>
              <w:pStyle w:val="2"/>
              <w:adjustRightInd w:val="0"/>
              <w:snapToGrid w:val="0"/>
              <w:ind w:firstLine="480" w:firstLineChars="200"/>
              <w:rPr>
                <w:rFonts w:ascii="Times New Roman" w:hAnsi="Times New Roman"/>
                <w:kern w:val="0"/>
                <w:sz w:val="24"/>
                <w:szCs w:val="24"/>
                <w:shd w:val="clear" w:color="auto" w:fill="FFFFFF"/>
              </w:rPr>
            </w:pPr>
            <w:r>
              <w:rPr>
                <w:rFonts w:ascii="Times New Roman" w:hAnsi="Times New Roman"/>
                <w:kern w:val="0"/>
                <w:sz w:val="24"/>
                <w:szCs w:val="24"/>
                <w:shd w:val="clear" w:color="auto" w:fill="FFFFFF"/>
              </w:rPr>
              <w:t>3）80%氩+20%氮混合气：先在氩气汇流排操作台充装口处连接钢瓶，</w:t>
            </w:r>
            <w:r>
              <w:rPr>
                <w:rFonts w:hint="eastAsia" w:ascii="Times New Roman" w:hAnsi="Times New Roman"/>
                <w:kern w:val="0"/>
                <w:sz w:val="24"/>
                <w:szCs w:val="24"/>
                <w:shd w:val="clear" w:color="auto" w:fill="FFFFFF"/>
              </w:rPr>
              <w:t>打开氮气管线上阀门，按混合气比例充装氮气至压力</w:t>
            </w:r>
            <w:r>
              <w:rPr>
                <w:rFonts w:ascii="Times New Roman" w:hAnsi="Times New Roman"/>
                <w:kern w:val="0"/>
                <w:sz w:val="24"/>
                <w:szCs w:val="24"/>
                <w:shd w:val="clear" w:color="auto" w:fill="FFFFFF"/>
              </w:rPr>
              <w:t>2.7MPa，然后关闭氮气</w:t>
            </w:r>
            <w:r>
              <w:rPr>
                <w:rFonts w:hint="eastAsia" w:ascii="Times New Roman" w:hAnsi="Times New Roman"/>
                <w:kern w:val="0"/>
                <w:sz w:val="24"/>
                <w:szCs w:val="24"/>
                <w:shd w:val="clear" w:color="auto" w:fill="FFFFFF"/>
              </w:rPr>
              <w:t>管线上阀门，开氩气汇流排总阀充氩气到</w:t>
            </w:r>
            <w:r>
              <w:rPr>
                <w:rFonts w:ascii="Times New Roman" w:hAnsi="Times New Roman"/>
                <w:kern w:val="0"/>
                <w:sz w:val="24"/>
                <w:szCs w:val="24"/>
                <w:shd w:val="clear" w:color="auto" w:fill="FFFFFF"/>
              </w:rPr>
              <w:t>11.5MPa，充装完毕，卸下混合气钢</w:t>
            </w:r>
            <w:r>
              <w:rPr>
                <w:rFonts w:hint="eastAsia" w:ascii="Times New Roman" w:hAnsi="Times New Roman"/>
                <w:kern w:val="0"/>
                <w:sz w:val="24"/>
                <w:szCs w:val="24"/>
                <w:shd w:val="clear" w:color="auto" w:fill="FFFFFF"/>
              </w:rPr>
              <w:t>瓶，经检验合格后出厂。</w:t>
            </w:r>
          </w:p>
          <w:p w14:paraId="7718BD88">
            <w:pPr>
              <w:pStyle w:val="2"/>
              <w:adjustRightInd w:val="0"/>
              <w:snapToGrid w:val="0"/>
              <w:ind w:firstLine="480" w:firstLineChars="200"/>
              <w:rPr>
                <w:rFonts w:ascii="Times New Roman" w:hAnsi="Times New Roman"/>
                <w:kern w:val="0"/>
                <w:sz w:val="24"/>
                <w:szCs w:val="24"/>
                <w:shd w:val="clear" w:color="auto" w:fill="FFFFFF"/>
              </w:rPr>
            </w:pPr>
            <w:r>
              <w:rPr>
                <w:rFonts w:ascii="Times New Roman" w:hAnsi="Times New Roman"/>
                <w:kern w:val="0"/>
                <w:sz w:val="24"/>
                <w:szCs w:val="24"/>
                <w:shd w:val="clear" w:color="auto" w:fill="FFFFFF"/>
              </w:rPr>
              <w:t>4）95%氩+5%氧混合气：</w:t>
            </w:r>
            <w:r>
              <w:rPr>
                <w:rFonts w:hint="eastAsia" w:ascii="Times New Roman" w:hAnsi="Times New Roman"/>
                <w:kern w:val="0"/>
                <w:sz w:val="24"/>
                <w:szCs w:val="24"/>
                <w:shd w:val="clear" w:color="auto" w:fill="FFFFFF"/>
              </w:rPr>
              <w:t>先在氩气汇流排操作台充装口处连接钢瓶</w:t>
            </w:r>
            <w:r>
              <w:rPr>
                <w:rFonts w:ascii="Times New Roman" w:hAnsi="Times New Roman"/>
                <w:kern w:val="0"/>
                <w:sz w:val="24"/>
                <w:szCs w:val="24"/>
                <w:shd w:val="clear" w:color="auto" w:fill="FFFFFF"/>
              </w:rPr>
              <w:t>，打开氩气汇流排总阀充氩气到11.0MPa，充装完毕，</w:t>
            </w:r>
            <w:r>
              <w:rPr>
                <w:rFonts w:hint="eastAsia" w:ascii="Times New Roman" w:hAnsi="Times New Roman"/>
                <w:kern w:val="0"/>
                <w:sz w:val="24"/>
                <w:szCs w:val="24"/>
                <w:shd w:val="clear" w:color="auto" w:fill="FFFFFF"/>
              </w:rPr>
              <w:t>关闭总阀，</w:t>
            </w:r>
            <w:r>
              <w:rPr>
                <w:rFonts w:ascii="Times New Roman" w:hAnsi="Times New Roman"/>
                <w:kern w:val="0"/>
                <w:sz w:val="24"/>
                <w:szCs w:val="24"/>
                <w:shd w:val="clear" w:color="auto" w:fill="FFFFFF"/>
              </w:rPr>
              <w:t>卸下钢瓶。将钢瓶转移到氧气汇流排操作台充装口处连接钢瓶，打开氧气汇流排总阀充氧气到11.5MPa，充装完毕，卸下混合气钢瓶，经检验合格后出厂</w:t>
            </w:r>
            <w:r>
              <w:rPr>
                <w:rFonts w:hint="eastAsia" w:ascii="Times New Roman" w:hAnsi="Times New Roman"/>
                <w:kern w:val="0"/>
                <w:sz w:val="24"/>
                <w:szCs w:val="24"/>
                <w:shd w:val="clear" w:color="auto" w:fill="FFFFFF"/>
              </w:rPr>
              <w:t>。</w:t>
            </w:r>
          </w:p>
          <w:p w14:paraId="0B2C0930">
            <w:pPr>
              <w:pStyle w:val="2"/>
              <w:adjustRightInd w:val="0"/>
              <w:snapToGrid w:val="0"/>
              <w:ind w:firstLine="480" w:firstLineChars="200"/>
              <w:rPr>
                <w:rFonts w:ascii="Times New Roman" w:hAnsi="Times New Roman"/>
                <w:kern w:val="0"/>
                <w:sz w:val="24"/>
                <w:szCs w:val="24"/>
                <w:shd w:val="clear" w:color="auto" w:fill="FFFFFF"/>
              </w:rPr>
            </w:pPr>
            <w:r>
              <w:rPr>
                <w:rFonts w:ascii="Times New Roman" w:hAnsi="Times New Roman"/>
                <w:kern w:val="0"/>
                <w:sz w:val="24"/>
                <w:szCs w:val="24"/>
                <w:shd w:val="clear" w:color="auto" w:fill="FFFFFF"/>
              </w:rPr>
              <w:t>5）5%氩+15%二氧化碳+80%氮混合气：先在氩气汇流排操作台充装口</w:t>
            </w:r>
            <w:r>
              <w:rPr>
                <w:rFonts w:hint="eastAsia" w:ascii="Times New Roman" w:hAnsi="Times New Roman"/>
                <w:kern w:val="0"/>
                <w:sz w:val="24"/>
                <w:szCs w:val="24"/>
                <w:shd w:val="clear" w:color="auto" w:fill="FFFFFF"/>
              </w:rPr>
              <w:t>处连接钢瓶，打开二氧化碳管线上阀门，按混合气比例充装二氧化碳气体至压力</w:t>
            </w:r>
            <w:r>
              <w:rPr>
                <w:rFonts w:ascii="Times New Roman" w:hAnsi="Times New Roman"/>
                <w:kern w:val="0"/>
                <w:sz w:val="24"/>
                <w:szCs w:val="24"/>
                <w:shd w:val="clear" w:color="auto" w:fill="FFFFFF"/>
              </w:rPr>
              <w:t>1.5MPa，然后关闭二氧化碳管线上阀门，开氩气汇流排总阀充氩气至压力2.0MPa，然后关闭氩气汇流排总阀，打开氮气管线上阀门，按混合气比例充装</w:t>
            </w:r>
            <w:r>
              <w:rPr>
                <w:rFonts w:hint="eastAsia" w:ascii="Times New Roman" w:hAnsi="Times New Roman"/>
                <w:kern w:val="0"/>
                <w:sz w:val="24"/>
                <w:szCs w:val="24"/>
                <w:shd w:val="clear" w:color="auto" w:fill="FFFFFF"/>
              </w:rPr>
              <w:t>氮气至压力</w:t>
            </w:r>
            <w:r>
              <w:rPr>
                <w:rFonts w:ascii="Times New Roman" w:hAnsi="Times New Roman"/>
                <w:kern w:val="0"/>
                <w:sz w:val="24"/>
                <w:szCs w:val="24"/>
                <w:shd w:val="clear" w:color="auto" w:fill="FFFFFF"/>
              </w:rPr>
              <w:t>11.5MPa，然后关闭氮气管线上阀门，充装完毕，卸下混合气钢瓶，</w:t>
            </w:r>
            <w:r>
              <w:rPr>
                <w:rFonts w:hint="eastAsia" w:ascii="Times New Roman" w:hAnsi="Times New Roman"/>
                <w:kern w:val="0"/>
                <w:sz w:val="24"/>
                <w:szCs w:val="24"/>
                <w:shd w:val="clear" w:color="auto" w:fill="FFFFFF"/>
              </w:rPr>
              <w:t>经检验合格后出厂。</w:t>
            </w:r>
          </w:p>
          <w:p w14:paraId="336936CD">
            <w:pPr>
              <w:pStyle w:val="2"/>
              <w:adjustRightInd w:val="0"/>
              <w:snapToGrid w:val="0"/>
              <w:ind w:firstLine="480" w:firstLineChars="200"/>
              <w:rPr>
                <w:rFonts w:ascii="Times New Roman" w:hAnsi="Times New Roman"/>
                <w:kern w:val="0"/>
                <w:sz w:val="24"/>
                <w:szCs w:val="24"/>
                <w:shd w:val="clear" w:color="auto" w:fill="FFFFFF"/>
              </w:rPr>
            </w:pPr>
            <w:r>
              <w:rPr>
                <w:rFonts w:ascii="Times New Roman" w:hAnsi="Times New Roman"/>
                <w:kern w:val="0"/>
                <w:sz w:val="24"/>
                <w:szCs w:val="24"/>
                <w:shd w:val="clear" w:color="auto" w:fill="FFFFFF"/>
              </w:rPr>
              <w:t>7</w:t>
            </w:r>
            <w:r>
              <w:rPr>
                <w:rFonts w:hint="eastAsia" w:ascii="Times New Roman" w:hAnsi="Times New Roman"/>
                <w:kern w:val="0"/>
                <w:sz w:val="24"/>
                <w:szCs w:val="24"/>
                <w:shd w:val="clear" w:color="auto" w:fill="FFFFFF"/>
              </w:rPr>
              <w:t>、低温液体充装（新增生产工艺）</w:t>
            </w:r>
          </w:p>
          <w:p w14:paraId="6668316F">
            <w:pPr>
              <w:pStyle w:val="2"/>
              <w:adjustRightInd w:val="0"/>
              <w:snapToGrid w:val="0"/>
              <w:ind w:firstLine="480" w:firstLineChars="200"/>
              <w:rPr>
                <w:rFonts w:ascii="Times New Roman" w:hAnsi="Times New Roman"/>
                <w:kern w:val="0"/>
                <w:sz w:val="24"/>
                <w:szCs w:val="24"/>
                <w:shd w:val="clear" w:color="auto" w:fill="FFFFFF"/>
              </w:rPr>
            </w:pPr>
            <w:r>
              <w:rPr>
                <w:rFonts w:ascii="Times New Roman" w:hAnsi="Times New Roman"/>
                <w:kern w:val="0"/>
                <w:sz w:val="24"/>
                <w:szCs w:val="24"/>
                <w:shd w:val="clear" w:color="auto" w:fill="FFFFFF"/>
              </w:rPr>
              <w:t>准备好铜质接口，专用工具，低温手套。（充装氧需检查周边无油脂，</w:t>
            </w:r>
            <w:r>
              <w:rPr>
                <w:rFonts w:hint="eastAsia" w:ascii="Times New Roman" w:hAnsi="Times New Roman"/>
                <w:kern w:val="0"/>
                <w:sz w:val="24"/>
                <w:szCs w:val="24"/>
                <w:shd w:val="clear" w:color="auto" w:fill="FFFFFF"/>
              </w:rPr>
              <w:t>瓶口管线工具均无油脂）</w:t>
            </w:r>
          </w:p>
          <w:p w14:paraId="463D5CCB">
            <w:pPr>
              <w:pStyle w:val="2"/>
              <w:adjustRightInd w:val="0"/>
              <w:snapToGrid w:val="0"/>
              <w:ind w:firstLine="480" w:firstLineChars="200"/>
              <w:rPr>
                <w:rFonts w:ascii="Times New Roman" w:hAnsi="Times New Roman"/>
                <w:kern w:val="0"/>
                <w:sz w:val="24"/>
                <w:szCs w:val="24"/>
                <w:shd w:val="clear" w:color="auto" w:fill="FFFFFF"/>
              </w:rPr>
            </w:pPr>
            <w:r>
              <w:rPr>
                <w:rFonts w:ascii="Times New Roman" w:hAnsi="Times New Roman"/>
                <w:kern w:val="0"/>
                <w:sz w:val="24"/>
                <w:szCs w:val="24"/>
                <w:shd w:val="clear" w:color="auto" w:fill="FFFFFF"/>
              </w:rPr>
              <w:t>检查杜瓦瓶外观无破损，附件完好，铭牌清晰，压力表指示表以及容量</w:t>
            </w:r>
            <w:r>
              <w:rPr>
                <w:rFonts w:hint="eastAsia" w:ascii="Times New Roman" w:hAnsi="Times New Roman"/>
                <w:kern w:val="0"/>
                <w:sz w:val="24"/>
                <w:szCs w:val="24"/>
                <w:shd w:val="clear" w:color="auto" w:fill="FFFFFF"/>
              </w:rPr>
              <w:t>表是否准确，各个阀门，接口是否完好。</w:t>
            </w:r>
          </w:p>
          <w:p w14:paraId="3B1DC00C">
            <w:pPr>
              <w:pStyle w:val="2"/>
              <w:adjustRightInd w:val="0"/>
              <w:snapToGrid w:val="0"/>
              <w:ind w:firstLine="480" w:firstLineChars="200"/>
              <w:rPr>
                <w:rFonts w:ascii="Times New Roman" w:hAnsi="Times New Roman"/>
                <w:kern w:val="0"/>
                <w:sz w:val="24"/>
                <w:szCs w:val="24"/>
                <w:shd w:val="clear" w:color="auto" w:fill="FFFFFF"/>
              </w:rPr>
            </w:pPr>
            <w:r>
              <w:rPr>
                <w:rFonts w:ascii="Times New Roman" w:hAnsi="Times New Roman"/>
                <w:kern w:val="0"/>
                <w:sz w:val="24"/>
                <w:szCs w:val="24"/>
                <w:shd w:val="clear" w:color="auto" w:fill="FFFFFF"/>
              </w:rPr>
              <w:t>称重或直接放在磅秤上并记下空瓶重量。</w:t>
            </w:r>
          </w:p>
          <w:p w14:paraId="7F5D6033">
            <w:pPr>
              <w:pStyle w:val="2"/>
              <w:adjustRightInd w:val="0"/>
              <w:snapToGrid w:val="0"/>
              <w:ind w:firstLine="480" w:firstLineChars="200"/>
              <w:rPr>
                <w:rFonts w:ascii="Times New Roman" w:hAnsi="Times New Roman"/>
                <w:kern w:val="0"/>
                <w:sz w:val="24"/>
                <w:szCs w:val="24"/>
                <w:shd w:val="clear" w:color="auto" w:fill="FFFFFF"/>
              </w:rPr>
            </w:pPr>
            <w:r>
              <w:rPr>
                <w:rFonts w:ascii="Times New Roman" w:hAnsi="Times New Roman"/>
                <w:kern w:val="0"/>
                <w:sz w:val="24"/>
                <w:szCs w:val="24"/>
                <w:shd w:val="clear" w:color="auto" w:fill="FFFFFF"/>
              </w:rPr>
              <w:t>找到杜瓦进液口（充装口），确认接口不含水</w:t>
            </w:r>
            <w:r>
              <w:rPr>
                <w:rFonts w:hint="eastAsia" w:ascii="Times New Roman" w:hAnsi="Times New Roman"/>
                <w:kern w:val="0"/>
                <w:sz w:val="24"/>
                <w:szCs w:val="24"/>
                <w:shd w:val="clear" w:color="auto" w:fill="FFFFFF"/>
              </w:rPr>
              <w:t>（通过打开充装阀，利用管道内存留的液体汽化后的气体清除</w:t>
            </w:r>
            <w:r>
              <w:rPr>
                <w:rFonts w:ascii="Times New Roman" w:hAnsi="Times New Roman"/>
                <w:kern w:val="0"/>
                <w:sz w:val="24"/>
                <w:szCs w:val="24"/>
                <w:shd w:val="clear" w:color="auto" w:fill="FFFFFF"/>
              </w:rPr>
              <w:t>充装口</w:t>
            </w:r>
            <w:r>
              <w:rPr>
                <w:rFonts w:hint="eastAsia" w:ascii="Times New Roman" w:hAnsi="Times New Roman"/>
                <w:kern w:val="0"/>
                <w:sz w:val="24"/>
                <w:szCs w:val="24"/>
                <w:shd w:val="clear" w:color="auto" w:fill="FFFFFF"/>
              </w:rPr>
              <w:t>凝结水）</w:t>
            </w:r>
            <w:r>
              <w:rPr>
                <w:rFonts w:ascii="Times New Roman" w:hAnsi="Times New Roman"/>
                <w:kern w:val="0"/>
                <w:sz w:val="24"/>
                <w:szCs w:val="24"/>
                <w:shd w:val="clear" w:color="auto" w:fill="FFFFFF"/>
              </w:rPr>
              <w:t>，以避免接口凝结。使用</w:t>
            </w:r>
            <w:r>
              <w:rPr>
                <w:rFonts w:hint="eastAsia" w:ascii="Times New Roman" w:hAnsi="Times New Roman"/>
                <w:kern w:val="0"/>
                <w:sz w:val="24"/>
                <w:szCs w:val="24"/>
                <w:shd w:val="clear" w:color="auto" w:fill="FFFFFF"/>
              </w:rPr>
              <w:t>钢质接口接上杜瓦进液口并与充装软管对接。</w:t>
            </w:r>
          </w:p>
          <w:p w14:paraId="3C408E8C">
            <w:pPr>
              <w:pStyle w:val="2"/>
              <w:adjustRightInd w:val="0"/>
              <w:snapToGrid w:val="0"/>
              <w:ind w:firstLine="480" w:firstLineChars="200"/>
              <w:rPr>
                <w:rFonts w:ascii="Times New Roman" w:hAnsi="Times New Roman"/>
                <w:kern w:val="0"/>
                <w:sz w:val="24"/>
                <w:szCs w:val="24"/>
                <w:shd w:val="clear" w:color="auto" w:fill="FFFFFF"/>
              </w:rPr>
            </w:pPr>
            <w:r>
              <w:rPr>
                <w:rFonts w:ascii="Times New Roman" w:hAnsi="Times New Roman"/>
                <w:kern w:val="0"/>
                <w:sz w:val="24"/>
                <w:szCs w:val="24"/>
                <w:shd w:val="clear" w:color="auto" w:fill="FFFFFF"/>
              </w:rPr>
              <w:t>确认充装阀门关闭，杜瓦进液阀门关闭，位于充装阀门和杜瓦进液阀门</w:t>
            </w:r>
            <w:r>
              <w:rPr>
                <w:rFonts w:hint="eastAsia" w:ascii="Times New Roman" w:hAnsi="Times New Roman"/>
                <w:kern w:val="0"/>
                <w:sz w:val="24"/>
                <w:szCs w:val="24"/>
                <w:shd w:val="clear" w:color="auto" w:fill="FFFFFF"/>
              </w:rPr>
              <w:t>之间的放空阀门打开。</w:t>
            </w:r>
          </w:p>
          <w:p w14:paraId="13A95AD1">
            <w:pPr>
              <w:pStyle w:val="2"/>
              <w:adjustRightInd w:val="0"/>
              <w:snapToGrid w:val="0"/>
              <w:ind w:firstLine="480" w:firstLineChars="200"/>
              <w:rPr>
                <w:rFonts w:ascii="Times New Roman" w:hAnsi="Times New Roman"/>
                <w:kern w:val="0"/>
                <w:sz w:val="24"/>
                <w:szCs w:val="24"/>
                <w:shd w:val="clear" w:color="auto" w:fill="FFFFFF"/>
              </w:rPr>
            </w:pPr>
            <w:r>
              <w:rPr>
                <w:rFonts w:ascii="Times New Roman" w:hAnsi="Times New Roman"/>
                <w:kern w:val="0"/>
                <w:sz w:val="24"/>
                <w:szCs w:val="24"/>
                <w:shd w:val="clear" w:color="auto" w:fill="FFFFFF"/>
              </w:rPr>
              <w:t>清洗管线。打开罐阀，若是罐体压力不够，适当增压</w:t>
            </w:r>
            <w:r>
              <w:rPr>
                <w:rFonts w:hint="eastAsia" w:ascii="Times New Roman" w:hAnsi="Times New Roman"/>
                <w:kern w:val="0"/>
                <w:sz w:val="24"/>
                <w:szCs w:val="24"/>
                <w:shd w:val="clear" w:color="auto" w:fill="FFFFFF"/>
              </w:rPr>
              <w:t>（自动增加，即当储罐内部压力低于预设值时，增压系统会自动启动。</w:t>
            </w:r>
            <w:r>
              <w:rPr>
                <w:rFonts w:ascii="Times New Roman" w:hAnsi="Times New Roman"/>
                <w:kern w:val="0"/>
                <w:sz w:val="24"/>
                <w:szCs w:val="24"/>
                <w:shd w:val="clear" w:color="auto" w:fill="FFFFFF"/>
              </w:rPr>
              <w:t>罐内液体在静压力作用下流入</w:t>
            </w:r>
            <w:r>
              <w:rPr>
                <w:rFonts w:hint="eastAsia" w:ascii="Times New Roman" w:hAnsi="Times New Roman"/>
                <w:kern w:val="0"/>
                <w:sz w:val="24"/>
                <w:szCs w:val="24"/>
                <w:shd w:val="clear" w:color="auto" w:fill="FFFFFF"/>
              </w:rPr>
              <w:t>汽化器</w:t>
            </w:r>
            <w:r>
              <w:rPr>
                <w:rFonts w:ascii="Times New Roman" w:hAnsi="Times New Roman"/>
                <w:kern w:val="0"/>
                <w:sz w:val="24"/>
                <w:szCs w:val="24"/>
                <w:shd w:val="clear" w:color="auto" w:fill="FFFFFF"/>
              </w:rPr>
              <w:t>，液体在</w:t>
            </w:r>
            <w:r>
              <w:rPr>
                <w:rFonts w:hint="eastAsia" w:ascii="Times New Roman" w:hAnsi="Times New Roman"/>
                <w:kern w:val="0"/>
                <w:sz w:val="24"/>
                <w:szCs w:val="24"/>
                <w:shd w:val="clear" w:color="auto" w:fill="FFFFFF"/>
              </w:rPr>
              <w:t>汽化</w:t>
            </w:r>
            <w:r>
              <w:rPr>
                <w:rFonts w:ascii="Times New Roman" w:hAnsi="Times New Roman"/>
                <w:kern w:val="0"/>
                <w:sz w:val="24"/>
                <w:szCs w:val="24"/>
                <w:shd w:val="clear" w:color="auto" w:fill="FFFFFF"/>
              </w:rPr>
              <w:t>器中与环境空气进行热交换，</w:t>
            </w:r>
            <w:r>
              <w:rPr>
                <w:rFonts w:hint="eastAsia" w:ascii="Times New Roman" w:hAnsi="Times New Roman"/>
                <w:kern w:val="0"/>
                <w:sz w:val="24"/>
                <w:szCs w:val="24"/>
                <w:shd w:val="clear" w:color="auto" w:fill="FFFFFF"/>
              </w:rPr>
              <w:t>汽化</w:t>
            </w:r>
            <w:r>
              <w:rPr>
                <w:rFonts w:ascii="Times New Roman" w:hAnsi="Times New Roman"/>
                <w:kern w:val="0"/>
                <w:sz w:val="24"/>
                <w:szCs w:val="24"/>
                <w:shd w:val="clear" w:color="auto" w:fill="FFFFFF"/>
              </w:rPr>
              <w:t>为气体。这些气体随后通过气相管路返回储罐，增加罐内压力。当压力回升至设定值以上时，增压阀门关闭，过程停止</w:t>
            </w:r>
            <w:r>
              <w:rPr>
                <w:rFonts w:hint="eastAsia" w:ascii="Times New Roman" w:hAnsi="Times New Roman"/>
                <w:kern w:val="0"/>
                <w:sz w:val="24"/>
                <w:szCs w:val="24"/>
                <w:shd w:val="clear" w:color="auto" w:fill="FFFFFF"/>
              </w:rPr>
              <w:t>）</w:t>
            </w:r>
            <w:r>
              <w:rPr>
                <w:rFonts w:ascii="Times New Roman" w:hAnsi="Times New Roman"/>
                <w:kern w:val="0"/>
                <w:sz w:val="24"/>
                <w:szCs w:val="24"/>
                <w:shd w:val="clear" w:color="auto" w:fill="FFFFFF"/>
              </w:rPr>
              <w:t>。（此时确保杜</w:t>
            </w:r>
            <w:r>
              <w:rPr>
                <w:rFonts w:hint="eastAsia" w:ascii="Times New Roman" w:hAnsi="Times New Roman"/>
                <w:kern w:val="0"/>
                <w:sz w:val="24"/>
                <w:szCs w:val="24"/>
                <w:shd w:val="clear" w:color="auto" w:fill="FFFFFF"/>
              </w:rPr>
              <w:t>瓦阀门关闭，关闭放空阀，打开充装阀，让气体充满管线以及软管。关闭充装阀，打开放空阀，放掉管线残留气体。保证释放时管线为正压。）清洗完毕后，关闭放空阀。</w:t>
            </w:r>
          </w:p>
          <w:p w14:paraId="630DC21D">
            <w:pPr>
              <w:pStyle w:val="2"/>
              <w:adjustRightInd w:val="0"/>
              <w:snapToGrid w:val="0"/>
              <w:ind w:firstLine="480" w:firstLineChars="200"/>
              <w:rPr>
                <w:rFonts w:ascii="Times New Roman" w:hAnsi="Times New Roman"/>
                <w:kern w:val="0"/>
                <w:sz w:val="24"/>
                <w:szCs w:val="24"/>
                <w:shd w:val="clear" w:color="auto" w:fill="FFFFFF"/>
              </w:rPr>
            </w:pPr>
            <w:r>
              <w:rPr>
                <w:rFonts w:ascii="Times New Roman" w:hAnsi="Times New Roman"/>
                <w:kern w:val="0"/>
                <w:sz w:val="24"/>
                <w:szCs w:val="24"/>
                <w:shd w:val="clear" w:color="auto" w:fill="FFFFFF"/>
              </w:rPr>
              <w:t>开始充装，打开充装阀，同时打开杜瓦进液阀，杜瓦放空阀。保证瓶内</w:t>
            </w:r>
            <w:r>
              <w:rPr>
                <w:rFonts w:hint="eastAsia" w:ascii="Times New Roman" w:hAnsi="Times New Roman"/>
                <w:kern w:val="0"/>
                <w:sz w:val="24"/>
                <w:szCs w:val="24"/>
                <w:shd w:val="clear" w:color="auto" w:fill="FFFFFF"/>
              </w:rPr>
              <w:t>压力小于罐体压力，开始进液。</w:t>
            </w:r>
          </w:p>
          <w:p w14:paraId="21DCC999">
            <w:pPr>
              <w:pStyle w:val="2"/>
              <w:adjustRightInd w:val="0"/>
              <w:snapToGrid w:val="0"/>
              <w:ind w:firstLine="480" w:firstLineChars="200"/>
              <w:rPr>
                <w:rFonts w:ascii="Times New Roman" w:hAnsi="Times New Roman"/>
                <w:kern w:val="0"/>
                <w:sz w:val="24"/>
                <w:szCs w:val="24"/>
                <w:shd w:val="clear" w:color="auto" w:fill="FFFFFF"/>
              </w:rPr>
            </w:pPr>
            <w:r>
              <w:rPr>
                <w:rFonts w:ascii="Times New Roman" w:hAnsi="Times New Roman"/>
                <w:kern w:val="0"/>
                <w:sz w:val="24"/>
                <w:szCs w:val="24"/>
                <w:shd w:val="clear" w:color="auto" w:fill="FFFFFF"/>
              </w:rPr>
              <w:t>判断充装完毕，a.若是在秤上充装，液体重量达到铭牌指示重量。b.杜</w:t>
            </w:r>
            <w:r>
              <w:rPr>
                <w:rFonts w:hint="eastAsia" w:ascii="Times New Roman" w:hAnsi="Times New Roman"/>
                <w:kern w:val="0"/>
                <w:sz w:val="24"/>
                <w:szCs w:val="24"/>
                <w:shd w:val="clear" w:color="auto" w:fill="FFFFFF"/>
              </w:rPr>
              <w:t>瓦放空阀排液。</w:t>
            </w:r>
            <w:r>
              <w:rPr>
                <w:rFonts w:ascii="Times New Roman" w:hAnsi="Times New Roman"/>
                <w:kern w:val="0"/>
                <w:sz w:val="24"/>
                <w:szCs w:val="24"/>
                <w:shd w:val="clear" w:color="auto" w:fill="FFFFFF"/>
              </w:rPr>
              <w:t>c.容量指示标志指到满。上述任一项达标即可认为是装满。记</w:t>
            </w:r>
            <w:r>
              <w:rPr>
                <w:rFonts w:hint="eastAsia" w:ascii="Times New Roman" w:hAnsi="Times New Roman"/>
                <w:kern w:val="0"/>
                <w:sz w:val="24"/>
                <w:szCs w:val="24"/>
                <w:shd w:val="clear" w:color="auto" w:fill="FFFFFF"/>
              </w:rPr>
              <w:t>录充装重量。</w:t>
            </w:r>
          </w:p>
          <w:p w14:paraId="2E2EBE1C">
            <w:pPr>
              <w:pStyle w:val="2"/>
              <w:adjustRightInd w:val="0"/>
              <w:snapToGrid w:val="0"/>
              <w:ind w:firstLine="480" w:firstLineChars="200"/>
              <w:rPr>
                <w:rFonts w:ascii="Times New Roman" w:hAnsi="Times New Roman"/>
                <w:kern w:val="0"/>
                <w:sz w:val="24"/>
                <w:szCs w:val="24"/>
                <w:shd w:val="clear" w:color="auto" w:fill="FFFFFF"/>
              </w:rPr>
            </w:pPr>
            <w:r>
              <w:rPr>
                <w:rFonts w:ascii="Times New Roman" w:hAnsi="Times New Roman"/>
                <w:kern w:val="0"/>
                <w:sz w:val="24"/>
                <w:szCs w:val="24"/>
                <w:shd w:val="clear" w:color="auto" w:fill="FFFFFF"/>
              </w:rPr>
              <w:t>关闭杜瓦进液阀，杜瓦放空阀，关闭管线充装阀，若是没有后续充装，</w:t>
            </w:r>
            <w:r>
              <w:rPr>
                <w:rFonts w:hint="eastAsia" w:ascii="Times New Roman" w:hAnsi="Times New Roman"/>
                <w:kern w:val="0"/>
                <w:sz w:val="24"/>
                <w:szCs w:val="24"/>
                <w:shd w:val="clear" w:color="auto" w:fill="FFFFFF"/>
              </w:rPr>
              <w:t>可关闭罐体阀，若罐体有增压，关闭罐体增压阀。打开管线充装阀和管线放空阀，排管线中的液体。</w:t>
            </w:r>
          </w:p>
          <w:p w14:paraId="5240159B">
            <w:pPr>
              <w:pStyle w:val="2"/>
              <w:adjustRightInd w:val="0"/>
              <w:snapToGrid w:val="0"/>
              <w:ind w:firstLine="480" w:firstLineChars="200"/>
              <w:rPr>
                <w:rFonts w:ascii="Times New Roman" w:hAnsi="Times New Roman"/>
                <w:kern w:val="0"/>
                <w:sz w:val="24"/>
                <w:szCs w:val="24"/>
                <w:shd w:val="clear" w:color="auto" w:fill="FFFFFF"/>
              </w:rPr>
            </w:pPr>
            <w:r>
              <w:rPr>
                <w:rFonts w:ascii="Times New Roman" w:hAnsi="Times New Roman"/>
                <w:kern w:val="0"/>
                <w:sz w:val="24"/>
                <w:szCs w:val="24"/>
                <w:shd w:val="clear" w:color="auto" w:fill="FFFFFF"/>
              </w:rPr>
              <w:t>排净管线液体和压力后，可拆卸软管。</w:t>
            </w:r>
          </w:p>
          <w:p w14:paraId="7F89C88D">
            <w:pPr>
              <w:pStyle w:val="2"/>
              <w:adjustRightInd w:val="0"/>
              <w:snapToGrid w:val="0"/>
              <w:ind w:firstLine="480" w:firstLineChars="200"/>
              <w:rPr>
                <w:rFonts w:ascii="Times New Roman" w:hAnsi="Times New Roman"/>
                <w:kern w:val="0"/>
                <w:sz w:val="24"/>
                <w:szCs w:val="24"/>
                <w:shd w:val="clear" w:color="auto" w:fill="FFFFFF"/>
              </w:rPr>
            </w:pPr>
            <w:r>
              <w:rPr>
                <w:rFonts w:ascii="Times New Roman" w:hAnsi="Times New Roman"/>
                <w:kern w:val="0"/>
                <w:sz w:val="24"/>
                <w:szCs w:val="24"/>
                <w:shd w:val="clear" w:color="auto" w:fill="FFFFFF"/>
              </w:rPr>
              <w:t>清理场所，收拾工具，打印收据。</w:t>
            </w:r>
          </w:p>
          <w:p w14:paraId="63DFC2FB">
            <w:pPr>
              <w:pStyle w:val="2"/>
              <w:adjustRightInd w:val="0"/>
              <w:snapToGrid w:val="0"/>
              <w:ind w:firstLine="480" w:firstLineChars="200"/>
              <w:rPr>
                <w:rFonts w:ascii="Times New Roman" w:hAnsi="Times New Roman"/>
              </w:rPr>
            </w:pPr>
            <w:r>
              <w:rPr>
                <w:rFonts w:ascii="Times New Roman" w:hAnsi="Times New Roman"/>
                <w:kern w:val="0"/>
                <w:sz w:val="24"/>
                <w:szCs w:val="24"/>
                <w:shd w:val="clear" w:color="auto" w:fill="FFFFFF"/>
              </w:rPr>
              <w:t>8</w:t>
            </w:r>
            <w:r>
              <w:rPr>
                <w:rFonts w:hint="eastAsia" w:ascii="Times New Roman" w:hAnsi="Times New Roman"/>
                <w:kern w:val="0"/>
                <w:sz w:val="24"/>
                <w:szCs w:val="24"/>
                <w:shd w:val="clear" w:color="auto" w:fill="FFFFFF"/>
              </w:rPr>
              <w:t>、工艺流程简图</w:t>
            </w:r>
          </w:p>
          <w:p w14:paraId="1A47F778">
            <w:pPr>
              <w:pStyle w:val="2"/>
              <w:adjustRightInd w:val="0"/>
              <w:snapToGrid w:val="0"/>
              <w:ind w:firstLine="480" w:firstLineChars="200"/>
              <w:rPr>
                <w:rFonts w:ascii="Times New Roman" w:hAnsi="Times New Roman"/>
                <w:kern w:val="0"/>
                <w:sz w:val="24"/>
                <w:szCs w:val="24"/>
                <w:shd w:val="clear" w:color="auto" w:fill="FFFFFF"/>
              </w:rPr>
            </w:pPr>
            <w:r>
              <w:rPr>
                <w:rFonts w:hint="eastAsia" w:ascii="Times New Roman" w:hAnsi="Times New Roman"/>
                <w:kern w:val="0"/>
                <w:sz w:val="24"/>
                <w:szCs w:val="24"/>
                <w:shd w:val="clear" w:color="auto" w:fill="FFFFFF"/>
              </w:rPr>
              <w:t>氧气、氩气、氮气充装工艺流程图（氧气、氩气充装与原生产工艺一致，未发生变化，氮气充装在需要充装高压氮气的情况下，新增模压机加压工序）</w:t>
            </w:r>
          </w:p>
          <w:p w14:paraId="55ED79BA">
            <w:pPr>
              <w:adjustRightInd w:val="0"/>
              <w:snapToGrid w:val="0"/>
              <w:jc w:val="center"/>
              <w:rPr>
                <w:rFonts w:ascii="Times New Roman" w:hAnsi="Times New Roman"/>
                <w:sz w:val="28"/>
                <w:szCs w:val="28"/>
              </w:rPr>
            </w:pPr>
            <w:r>
              <w:rPr>
                <w:rFonts w:ascii="等线" w:hAnsi="等线" w:eastAsia="等线"/>
                <w:szCs w:val="22"/>
              </w:rPr>
              <w:drawing>
                <wp:inline distT="0" distB="0" distL="0" distR="0">
                  <wp:extent cx="3733165" cy="1306830"/>
                  <wp:effectExtent l="0" t="0" r="635" b="7620"/>
                  <wp:docPr id="1" name="图片 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示&#10;&#10;描述已自动生成"/>
                          <pic:cNvPicPr>
                            <a:picLocks noChangeAspect="1"/>
                          </pic:cNvPicPr>
                        </pic:nvPicPr>
                        <pic:blipFill>
                          <a:blip r:embed="rId4"/>
                          <a:stretch>
                            <a:fillRect/>
                          </a:stretch>
                        </pic:blipFill>
                        <pic:spPr>
                          <a:xfrm>
                            <a:off x="0" y="0"/>
                            <a:ext cx="3763988" cy="1317642"/>
                          </a:xfrm>
                          <a:prstGeom prst="rect">
                            <a:avLst/>
                          </a:prstGeom>
                        </pic:spPr>
                      </pic:pic>
                    </a:graphicData>
                  </a:graphic>
                </wp:inline>
              </w:drawing>
            </w:r>
          </w:p>
          <w:p w14:paraId="1263CB2F">
            <w:pPr>
              <w:adjustRightInd w:val="0"/>
              <w:snapToGrid w:val="0"/>
              <w:spacing w:line="500" w:lineRule="exact"/>
              <w:jc w:val="center"/>
              <w:rPr>
                <w:rFonts w:ascii="Times New Roman" w:hAnsi="Times New Roman"/>
                <w:sz w:val="28"/>
                <w:szCs w:val="28"/>
              </w:rPr>
            </w:pPr>
            <w:r>
              <w:rPr>
                <w:rFonts w:hint="eastAsia" w:ascii="Times New Roman" w:hAnsi="Times New Roman"/>
                <w:b/>
                <w:szCs w:val="22"/>
              </w:rPr>
              <w:t>图</w:t>
            </w:r>
            <w:r>
              <w:rPr>
                <w:rFonts w:ascii="Times New Roman" w:hAnsi="Times New Roman"/>
                <w:b/>
                <w:szCs w:val="22"/>
              </w:rPr>
              <w:t>2.5-1  氧气、氩气、氮气充装</w:t>
            </w:r>
            <w:r>
              <w:rPr>
                <w:rFonts w:hint="eastAsia" w:ascii="Times New Roman" w:hAnsi="Times New Roman"/>
                <w:b/>
                <w:szCs w:val="22"/>
              </w:rPr>
              <w:t>工艺流程图</w:t>
            </w:r>
          </w:p>
          <w:p w14:paraId="19769228">
            <w:pPr>
              <w:pStyle w:val="2"/>
              <w:adjustRightInd w:val="0"/>
              <w:snapToGrid w:val="0"/>
              <w:ind w:firstLine="480" w:firstLineChars="200"/>
              <w:rPr>
                <w:rFonts w:ascii="Times New Roman" w:hAnsi="Times New Roman"/>
                <w:kern w:val="0"/>
                <w:sz w:val="24"/>
                <w:szCs w:val="24"/>
                <w:shd w:val="clear" w:color="auto" w:fill="FFFFFF"/>
              </w:rPr>
            </w:pPr>
            <w:r>
              <w:rPr>
                <w:rFonts w:hint="eastAsia" w:ascii="Times New Roman" w:hAnsi="Times New Roman"/>
                <w:kern w:val="0"/>
                <w:sz w:val="24"/>
                <w:szCs w:val="24"/>
                <w:shd w:val="clear" w:color="auto" w:fill="FFFFFF"/>
              </w:rPr>
              <w:t>二氧化碳充装工艺流程图（与原生产工艺一致，未发生变化）</w:t>
            </w:r>
          </w:p>
          <w:p w14:paraId="74D1D854">
            <w:pPr>
              <w:adjustRightInd w:val="0"/>
              <w:snapToGrid w:val="0"/>
              <w:jc w:val="center"/>
              <w:rPr>
                <w:rFonts w:ascii="Times New Roman" w:hAnsi="Times New Roman"/>
                <w:sz w:val="28"/>
                <w:szCs w:val="28"/>
              </w:rPr>
            </w:pPr>
            <w:r>
              <w:rPr>
                <w:rFonts w:ascii="等线" w:hAnsi="等线" w:eastAsia="等线"/>
                <w:szCs w:val="22"/>
              </w:rPr>
              <w:drawing>
                <wp:inline distT="0" distB="0" distL="0" distR="0">
                  <wp:extent cx="3878580" cy="3354705"/>
                  <wp:effectExtent l="0" t="0" r="7620" b="0"/>
                  <wp:docPr id="2" name="图片 2"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示&#10;&#10;描述已自动生成"/>
                          <pic:cNvPicPr>
                            <a:picLocks noChangeAspect="1"/>
                          </pic:cNvPicPr>
                        </pic:nvPicPr>
                        <pic:blipFill>
                          <a:blip r:embed="rId5"/>
                          <a:stretch>
                            <a:fillRect/>
                          </a:stretch>
                        </pic:blipFill>
                        <pic:spPr>
                          <a:xfrm>
                            <a:off x="0" y="0"/>
                            <a:ext cx="3893949" cy="3368197"/>
                          </a:xfrm>
                          <a:prstGeom prst="rect">
                            <a:avLst/>
                          </a:prstGeom>
                        </pic:spPr>
                      </pic:pic>
                    </a:graphicData>
                  </a:graphic>
                </wp:inline>
              </w:drawing>
            </w:r>
          </w:p>
          <w:p w14:paraId="3164F984">
            <w:pPr>
              <w:adjustRightInd w:val="0"/>
              <w:snapToGrid w:val="0"/>
              <w:spacing w:line="500" w:lineRule="exact"/>
              <w:jc w:val="center"/>
              <w:rPr>
                <w:rFonts w:ascii="Times New Roman" w:hAnsi="Times New Roman"/>
                <w:sz w:val="28"/>
                <w:szCs w:val="28"/>
              </w:rPr>
            </w:pPr>
            <w:r>
              <w:rPr>
                <w:rFonts w:hint="eastAsia" w:ascii="Times New Roman" w:hAnsi="Times New Roman"/>
                <w:b/>
                <w:szCs w:val="22"/>
              </w:rPr>
              <w:t>图</w:t>
            </w:r>
            <w:r>
              <w:rPr>
                <w:rFonts w:ascii="Times New Roman" w:hAnsi="Times New Roman"/>
                <w:b/>
                <w:szCs w:val="22"/>
              </w:rPr>
              <w:t>2.5-2  二氧化碳充装</w:t>
            </w:r>
            <w:r>
              <w:rPr>
                <w:rFonts w:hint="eastAsia" w:ascii="Times New Roman" w:hAnsi="Times New Roman"/>
                <w:b/>
                <w:szCs w:val="22"/>
              </w:rPr>
              <w:t>工艺流程图</w:t>
            </w:r>
          </w:p>
          <w:p w14:paraId="09C4FF1E">
            <w:pPr>
              <w:pStyle w:val="2"/>
              <w:adjustRightInd w:val="0"/>
              <w:snapToGrid w:val="0"/>
              <w:ind w:firstLine="480" w:firstLineChars="200"/>
              <w:rPr>
                <w:rFonts w:ascii="Times New Roman" w:hAnsi="Times New Roman"/>
                <w:kern w:val="0"/>
                <w:sz w:val="24"/>
                <w:szCs w:val="24"/>
                <w:shd w:val="clear" w:color="auto" w:fill="FFFFFF"/>
              </w:rPr>
            </w:pPr>
            <w:r>
              <w:rPr>
                <w:rFonts w:hint="eastAsia" w:ascii="Times New Roman" w:hAnsi="Times New Roman"/>
                <w:kern w:val="0"/>
                <w:sz w:val="24"/>
                <w:szCs w:val="24"/>
                <w:shd w:val="clear" w:color="auto" w:fill="FFFFFF"/>
              </w:rPr>
              <w:t>低温液体杜瓦瓶充装工艺流程图（新增生产工艺）</w:t>
            </w:r>
          </w:p>
          <w:p w14:paraId="657BE448">
            <w:pPr>
              <w:adjustRightInd w:val="0"/>
              <w:snapToGrid w:val="0"/>
              <w:jc w:val="center"/>
              <w:rPr>
                <w:rFonts w:ascii="Times New Roman" w:hAnsi="Times New Roman"/>
                <w:sz w:val="28"/>
                <w:szCs w:val="28"/>
              </w:rPr>
            </w:pPr>
            <w:r>
              <w:rPr>
                <w:rFonts w:ascii="等线" w:hAnsi="等线" w:eastAsia="等线"/>
                <w:szCs w:val="22"/>
              </w:rPr>
              <w:drawing>
                <wp:inline distT="0" distB="0" distL="0" distR="0">
                  <wp:extent cx="4085590" cy="1129030"/>
                  <wp:effectExtent l="0" t="0" r="0" b="0"/>
                  <wp:docPr id="3" name="图片 3"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示&#10;&#10;描述已自动生成"/>
                          <pic:cNvPicPr>
                            <a:picLocks noChangeAspect="1"/>
                          </pic:cNvPicPr>
                        </pic:nvPicPr>
                        <pic:blipFill>
                          <a:blip r:embed="rId6"/>
                          <a:stretch>
                            <a:fillRect/>
                          </a:stretch>
                        </pic:blipFill>
                        <pic:spPr>
                          <a:xfrm>
                            <a:off x="0" y="0"/>
                            <a:ext cx="4104794" cy="1134807"/>
                          </a:xfrm>
                          <a:prstGeom prst="rect">
                            <a:avLst/>
                          </a:prstGeom>
                        </pic:spPr>
                      </pic:pic>
                    </a:graphicData>
                  </a:graphic>
                </wp:inline>
              </w:drawing>
            </w:r>
          </w:p>
          <w:p w14:paraId="5CF19BCF">
            <w:pPr>
              <w:adjustRightInd w:val="0"/>
              <w:snapToGrid w:val="0"/>
              <w:spacing w:line="500" w:lineRule="exact"/>
              <w:jc w:val="center"/>
              <w:rPr>
                <w:rFonts w:ascii="Times New Roman" w:hAnsi="Times New Roman"/>
                <w:sz w:val="28"/>
                <w:szCs w:val="28"/>
              </w:rPr>
            </w:pPr>
            <w:r>
              <w:rPr>
                <w:rFonts w:hint="eastAsia" w:ascii="Times New Roman" w:hAnsi="Times New Roman"/>
                <w:b/>
                <w:szCs w:val="22"/>
              </w:rPr>
              <w:t>图</w:t>
            </w:r>
            <w:r>
              <w:rPr>
                <w:rFonts w:ascii="Times New Roman" w:hAnsi="Times New Roman"/>
                <w:b/>
                <w:szCs w:val="22"/>
              </w:rPr>
              <w:t>2.5-3  低温液体杜瓦瓶充装工艺流程图</w:t>
            </w:r>
          </w:p>
          <w:p w14:paraId="3BF3457E">
            <w:pPr>
              <w:pStyle w:val="2"/>
              <w:adjustRightInd w:val="0"/>
              <w:snapToGrid w:val="0"/>
              <w:ind w:firstLine="480" w:firstLineChars="200"/>
              <w:rPr>
                <w:rFonts w:ascii="Times New Roman" w:hAnsi="Times New Roman"/>
                <w:kern w:val="0"/>
                <w:sz w:val="24"/>
                <w:szCs w:val="24"/>
                <w:shd w:val="clear" w:color="auto" w:fill="FFFFFF"/>
              </w:rPr>
            </w:pPr>
            <w:r>
              <w:rPr>
                <w:rFonts w:hint="eastAsia" w:ascii="Times New Roman" w:hAnsi="Times New Roman"/>
                <w:kern w:val="0"/>
                <w:sz w:val="24"/>
                <w:szCs w:val="24"/>
                <w:shd w:val="clear" w:color="auto" w:fill="FFFFFF"/>
              </w:rPr>
              <w:t>混合气充装工艺流程图（增加混合气种类，工艺调整）</w:t>
            </w:r>
          </w:p>
          <w:p w14:paraId="7EBDBED2">
            <w:pPr>
              <w:pStyle w:val="2"/>
              <w:adjustRightInd w:val="0"/>
              <w:snapToGrid w:val="0"/>
              <w:ind w:firstLine="480" w:firstLineChars="200"/>
              <w:rPr>
                <w:rFonts w:ascii="Times New Roman" w:hAnsi="Times New Roman"/>
                <w:kern w:val="0"/>
                <w:sz w:val="24"/>
                <w:szCs w:val="24"/>
                <w:shd w:val="clear" w:color="auto" w:fill="FFFFFF"/>
              </w:rPr>
            </w:pPr>
            <w:r>
              <w:rPr>
                <w:rFonts w:hint="eastAsia" w:ascii="Times New Roman" w:hAnsi="Times New Roman"/>
                <w:kern w:val="0"/>
                <w:sz w:val="24"/>
                <w:szCs w:val="24"/>
                <w:shd w:val="clear" w:color="auto" w:fill="FFFFFF"/>
              </w:rPr>
              <w:t>原生产工艺流程图：</w:t>
            </w:r>
          </w:p>
          <w:p w14:paraId="504E8C81">
            <w:pPr>
              <w:adjustRightInd w:val="0"/>
              <w:snapToGrid w:val="0"/>
              <w:jc w:val="center"/>
              <w:rPr>
                <w:rFonts w:ascii="Times New Roman" w:hAnsi="Times New Roman"/>
                <w:sz w:val="28"/>
                <w:szCs w:val="28"/>
              </w:rPr>
            </w:pPr>
            <w:r>
              <w:rPr>
                <w:rFonts w:ascii="等线" w:hAnsi="等线" w:eastAsia="等线"/>
                <w:szCs w:val="22"/>
              </w:rPr>
              <w:drawing>
                <wp:inline distT="0" distB="0" distL="0" distR="0">
                  <wp:extent cx="4216400" cy="1577340"/>
                  <wp:effectExtent l="0" t="0" r="0" b="3810"/>
                  <wp:docPr id="4" name="图片 4"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示&#10;&#10;描述已自动生成"/>
                          <pic:cNvPicPr>
                            <a:picLocks noChangeAspect="1"/>
                          </pic:cNvPicPr>
                        </pic:nvPicPr>
                        <pic:blipFill>
                          <a:blip r:embed="rId7"/>
                          <a:stretch>
                            <a:fillRect/>
                          </a:stretch>
                        </pic:blipFill>
                        <pic:spPr>
                          <a:xfrm>
                            <a:off x="0" y="0"/>
                            <a:ext cx="4232027" cy="1583323"/>
                          </a:xfrm>
                          <a:prstGeom prst="rect">
                            <a:avLst/>
                          </a:prstGeom>
                        </pic:spPr>
                      </pic:pic>
                    </a:graphicData>
                  </a:graphic>
                </wp:inline>
              </w:drawing>
            </w:r>
          </w:p>
          <w:p w14:paraId="70710169">
            <w:pPr>
              <w:adjustRightInd w:val="0"/>
              <w:snapToGrid w:val="0"/>
              <w:spacing w:line="500" w:lineRule="exact"/>
              <w:jc w:val="center"/>
              <w:rPr>
                <w:rFonts w:ascii="Times New Roman" w:hAnsi="Times New Roman"/>
                <w:sz w:val="28"/>
                <w:szCs w:val="28"/>
              </w:rPr>
            </w:pPr>
            <w:r>
              <w:rPr>
                <w:rFonts w:hint="eastAsia" w:ascii="Times New Roman" w:hAnsi="Times New Roman"/>
                <w:b/>
                <w:szCs w:val="22"/>
              </w:rPr>
              <w:t>图</w:t>
            </w:r>
            <w:r>
              <w:rPr>
                <w:rFonts w:ascii="Times New Roman" w:hAnsi="Times New Roman"/>
                <w:b/>
                <w:szCs w:val="22"/>
              </w:rPr>
              <w:t xml:space="preserve">2.5-4  </w:t>
            </w:r>
            <w:r>
              <w:rPr>
                <w:rFonts w:hint="eastAsia" w:ascii="Times New Roman" w:hAnsi="Times New Roman"/>
                <w:b/>
                <w:szCs w:val="22"/>
              </w:rPr>
              <w:t>原混合气</w:t>
            </w:r>
            <w:r>
              <w:rPr>
                <w:rFonts w:ascii="Times New Roman" w:hAnsi="Times New Roman"/>
                <w:b/>
                <w:szCs w:val="22"/>
              </w:rPr>
              <w:t>充装工艺流程图</w:t>
            </w:r>
          </w:p>
          <w:p w14:paraId="3A4FFD19">
            <w:pPr>
              <w:pStyle w:val="2"/>
              <w:adjustRightInd w:val="0"/>
              <w:snapToGrid w:val="0"/>
              <w:ind w:firstLine="480" w:firstLineChars="200"/>
              <w:rPr>
                <w:rFonts w:ascii="Times New Roman" w:hAnsi="Times New Roman"/>
                <w:kern w:val="0"/>
                <w:sz w:val="24"/>
                <w:szCs w:val="24"/>
                <w:shd w:val="clear" w:color="auto" w:fill="FFFFFF"/>
              </w:rPr>
            </w:pPr>
            <w:r>
              <w:rPr>
                <w:rFonts w:hint="eastAsia" w:ascii="Times New Roman" w:hAnsi="Times New Roman"/>
                <w:kern w:val="0"/>
                <w:sz w:val="24"/>
                <w:szCs w:val="24"/>
                <w:shd w:val="clear" w:color="auto" w:fill="FFFFFF"/>
              </w:rPr>
              <w:t>新生产工艺流程图：</w:t>
            </w:r>
          </w:p>
          <w:p w14:paraId="29AD8DE9">
            <w:pPr>
              <w:adjustRightInd w:val="0"/>
              <w:snapToGrid w:val="0"/>
              <w:jc w:val="center"/>
              <w:rPr>
                <w:rFonts w:ascii="Times New Roman" w:hAnsi="Times New Roman"/>
                <w:sz w:val="28"/>
                <w:szCs w:val="28"/>
              </w:rPr>
            </w:pPr>
            <w:r>
              <w:rPr>
                <w:rFonts w:ascii="等线" w:hAnsi="等线" w:eastAsia="等线"/>
                <w:szCs w:val="22"/>
              </w:rPr>
              <w:drawing>
                <wp:inline distT="0" distB="0" distL="0" distR="0">
                  <wp:extent cx="4478655" cy="2759710"/>
                  <wp:effectExtent l="0" t="0" r="0" b="2540"/>
                  <wp:docPr id="5" name="图片 5"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示&#10;&#10;描述已自动生成"/>
                          <pic:cNvPicPr>
                            <a:picLocks noChangeAspect="1"/>
                          </pic:cNvPicPr>
                        </pic:nvPicPr>
                        <pic:blipFill>
                          <a:blip r:embed="rId8"/>
                          <a:stretch>
                            <a:fillRect/>
                          </a:stretch>
                        </pic:blipFill>
                        <pic:spPr>
                          <a:xfrm>
                            <a:off x="0" y="0"/>
                            <a:ext cx="4499016" cy="2772205"/>
                          </a:xfrm>
                          <a:prstGeom prst="rect">
                            <a:avLst/>
                          </a:prstGeom>
                        </pic:spPr>
                      </pic:pic>
                    </a:graphicData>
                  </a:graphic>
                </wp:inline>
              </w:drawing>
            </w:r>
          </w:p>
          <w:p w14:paraId="6D51935C">
            <w:pPr>
              <w:adjustRightInd w:val="0"/>
              <w:snapToGrid w:val="0"/>
              <w:spacing w:line="500" w:lineRule="exact"/>
              <w:jc w:val="center"/>
              <w:rPr>
                <w:rFonts w:hint="eastAsia" w:ascii="Times New Roman" w:hAnsi="Times New Roman"/>
                <w:sz w:val="28"/>
                <w:szCs w:val="28"/>
              </w:rPr>
            </w:pPr>
            <w:r>
              <w:rPr>
                <w:rFonts w:hint="eastAsia" w:ascii="Times New Roman" w:hAnsi="Times New Roman"/>
                <w:b/>
                <w:szCs w:val="22"/>
              </w:rPr>
              <w:t>图</w:t>
            </w:r>
            <w:r>
              <w:rPr>
                <w:rFonts w:ascii="Times New Roman" w:hAnsi="Times New Roman"/>
                <w:b/>
                <w:szCs w:val="22"/>
              </w:rPr>
              <w:t xml:space="preserve">2.5-5  </w:t>
            </w:r>
            <w:r>
              <w:rPr>
                <w:rFonts w:hint="eastAsia" w:ascii="Times New Roman" w:hAnsi="Times New Roman"/>
                <w:b/>
                <w:szCs w:val="22"/>
              </w:rPr>
              <w:t>新混合气</w:t>
            </w:r>
            <w:r>
              <w:rPr>
                <w:rFonts w:ascii="Times New Roman" w:hAnsi="Times New Roman"/>
                <w:b/>
                <w:szCs w:val="22"/>
              </w:rPr>
              <w:t>充装工艺流程图</w:t>
            </w:r>
          </w:p>
        </w:tc>
      </w:tr>
      <w:tr w14:paraId="224F7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454" w:hRule="atLeast"/>
          <w:jc w:val="center"/>
        </w:trPr>
        <w:tc>
          <w:tcPr>
            <w:tcW w:w="685" w:type="dxa"/>
            <w:tcBorders>
              <w:tl2br w:val="nil"/>
              <w:tr2bl w:val="nil"/>
            </w:tcBorders>
            <w:shd w:val="clear" w:color="auto" w:fill="FFFFFF"/>
            <w:vAlign w:val="center"/>
          </w:tcPr>
          <w:p w14:paraId="1F8E8FA0">
            <w:pPr>
              <w:widowControl/>
              <w:adjustRightInd w:val="0"/>
              <w:snapToGrid w:val="0"/>
              <w:jc w:val="center"/>
              <w:rPr>
                <w:rFonts w:ascii="Times New Roman" w:hAnsi="Times New Roman"/>
                <w:sz w:val="24"/>
              </w:rPr>
            </w:pPr>
            <w:r>
              <w:rPr>
                <w:rFonts w:ascii="Times New Roman" w:hAnsi="Times New Roman"/>
                <w:kern w:val="0"/>
                <w:sz w:val="24"/>
                <w:shd w:val="clear" w:color="auto" w:fill="FFFFFF"/>
              </w:rPr>
              <w:t>被评价单位信息反馈情况</w:t>
            </w:r>
          </w:p>
        </w:tc>
        <w:tc>
          <w:tcPr>
            <w:tcW w:w="8087" w:type="dxa"/>
            <w:gridSpan w:val="3"/>
            <w:tcBorders>
              <w:tl2br w:val="nil"/>
              <w:tr2bl w:val="nil"/>
            </w:tcBorders>
            <w:shd w:val="clear" w:color="auto" w:fill="FFFFFF"/>
            <w:vAlign w:val="center"/>
          </w:tcPr>
          <w:p w14:paraId="3B28ABB1">
            <w:pPr>
              <w:widowControl/>
              <w:adjustRightInd w:val="0"/>
              <w:snapToGrid w:val="0"/>
              <w:jc w:val="center"/>
              <w:rPr>
                <w:rFonts w:ascii="Times New Roman" w:hAnsi="Times New Roman"/>
                <w:sz w:val="24"/>
              </w:rPr>
            </w:pPr>
            <w:r>
              <w:rPr>
                <w:rFonts w:ascii="Times New Roman" w:hAnsi="Times New Roman"/>
                <w:kern w:val="0"/>
                <w:sz w:val="24"/>
                <w:shd w:val="clear" w:color="auto" w:fill="FFFFFF"/>
              </w:rPr>
              <w:t>满意</w:t>
            </w:r>
          </w:p>
        </w:tc>
      </w:tr>
    </w:tbl>
    <w:p w14:paraId="33BC6922">
      <w:pPr>
        <w:pStyle w:val="2"/>
        <w:adjustRightInd w:val="0"/>
        <w:snapToGrid w:val="0"/>
        <w:sectPr>
          <w:pgSz w:w="11906" w:h="16838"/>
          <w:pgMar w:top="1440" w:right="1800" w:bottom="1440" w:left="1800" w:header="851" w:footer="992" w:gutter="0"/>
          <w:cols w:space="720" w:num="1"/>
          <w:docGrid w:type="lines" w:linePitch="312" w:charSpace="0"/>
        </w:sectPr>
      </w:pPr>
    </w:p>
    <w:p w14:paraId="586BD034">
      <w:pPr>
        <w:pStyle w:val="2"/>
        <w:adjustRightInd w:val="0"/>
        <w:snapToGrid w:val="0"/>
        <w:sectPr>
          <w:pgSz w:w="16838" w:h="11906" w:orient="landscape"/>
          <w:pgMar w:top="1800" w:right="1440" w:bottom="1800" w:left="1440" w:header="851" w:footer="992" w:gutter="0"/>
          <w:cols w:space="720" w:num="1"/>
          <w:docGrid w:type="lines" w:linePitch="312" w:charSpace="0"/>
        </w:sectPr>
      </w:pPr>
      <w:r>
        <w:drawing>
          <wp:inline distT="0" distB="0" distL="0" distR="0">
            <wp:extent cx="4011930" cy="5347335"/>
            <wp:effectExtent l="0" t="0" r="7620" b="5715"/>
            <wp:docPr id="10" name="图片 10" descr="人们站在一起&#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人们站在一起&#10;&#10;中度可信度描述已自动生成"/>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4014519" cy="5350920"/>
                    </a:xfrm>
                    <a:prstGeom prst="rect">
                      <a:avLst/>
                    </a:prstGeom>
                    <a:noFill/>
                    <a:ln>
                      <a:noFill/>
                    </a:ln>
                  </pic:spPr>
                </pic:pic>
              </a:graphicData>
            </a:graphic>
          </wp:inline>
        </w:drawing>
      </w:r>
      <w:r>
        <w:t xml:space="preserve"> </w:t>
      </w:r>
      <w:r>
        <w:drawing>
          <wp:inline distT="0" distB="0" distL="0" distR="0">
            <wp:extent cx="3956685" cy="5274310"/>
            <wp:effectExtent l="0" t="0" r="5715" b="2540"/>
            <wp:docPr id="11" name="图片 11" descr="一群人站在建筑前&#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一群人站在建筑前&#10;&#10;描述已自动生成"/>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3956685" cy="5274310"/>
                    </a:xfrm>
                    <a:prstGeom prst="rect">
                      <a:avLst/>
                    </a:prstGeom>
                    <a:noFill/>
                    <a:ln>
                      <a:noFill/>
                    </a:ln>
                  </pic:spPr>
                </pic:pic>
              </a:graphicData>
            </a:graphic>
          </wp:inline>
        </w:drawing>
      </w:r>
      <w:r>
        <w:t xml:space="preserve"> </w:t>
      </w:r>
      <w:r>
        <w:drawing>
          <wp:inline distT="0" distB="0" distL="0" distR="0">
            <wp:extent cx="4755515" cy="3568065"/>
            <wp:effectExtent l="0" t="0" r="6985" b="0"/>
            <wp:docPr id="12" name="图片 12" descr="男人们站在一起&#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男人们站在一起&#10;&#10;中度可信度描述已自动生成"/>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4761832" cy="3572556"/>
                    </a:xfrm>
                    <a:prstGeom prst="rect">
                      <a:avLst/>
                    </a:prstGeom>
                    <a:noFill/>
                    <a:ln>
                      <a:noFill/>
                    </a:ln>
                  </pic:spPr>
                </pic:pic>
              </a:graphicData>
            </a:graphic>
          </wp:inline>
        </w:drawing>
      </w:r>
      <w:r>
        <w:t xml:space="preserve"> </w:t>
      </w:r>
      <w:r>
        <w:drawing>
          <wp:inline distT="0" distB="0" distL="0" distR="0">
            <wp:extent cx="3956685" cy="5274310"/>
            <wp:effectExtent l="0" t="0" r="5715" b="2540"/>
            <wp:docPr id="13" name="图片 13" descr="一群人站在建筑旁边&#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一群人站在建筑旁边&#10;&#10;描述已自动生成"/>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3956685" cy="5274310"/>
                    </a:xfrm>
                    <a:prstGeom prst="rect">
                      <a:avLst/>
                    </a:prstGeom>
                    <a:noFill/>
                    <a:ln>
                      <a:noFill/>
                    </a:ln>
                  </pic:spPr>
                </pic:pic>
              </a:graphicData>
            </a:graphic>
          </wp:inline>
        </w:drawing>
      </w:r>
    </w:p>
    <w:p w14:paraId="69CDC898">
      <w:r>
        <w:drawing>
          <wp:inline distT="0" distB="0" distL="0" distR="0">
            <wp:extent cx="5274310" cy="7462520"/>
            <wp:effectExtent l="0" t="0" r="2540" b="5080"/>
            <wp:docPr id="15" name="图片 15" descr="文本, 信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文本, 信件&#10;&#10;描述已自动生成"/>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274310" cy="7462520"/>
                    </a:xfrm>
                    <a:prstGeom prst="rect">
                      <a:avLst/>
                    </a:prstGeom>
                    <a:noFill/>
                    <a:ln>
                      <a:noFill/>
                    </a:ln>
                  </pic:spPr>
                </pic:pic>
              </a:graphicData>
            </a:graphic>
          </wp:inline>
        </w:drawing>
      </w:r>
    </w:p>
    <w:p w14:paraId="2B6CE18D">
      <w:r>
        <w:drawing>
          <wp:inline distT="0" distB="0" distL="0" distR="0">
            <wp:extent cx="5274310" cy="7477760"/>
            <wp:effectExtent l="0" t="0" r="2540" b="8890"/>
            <wp:docPr id="6" name="图片 6" descr="一些文字和图片的手机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一些文字和图片的手机截图&#10;&#10;描述已自动生成"/>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274310" cy="7477760"/>
                    </a:xfrm>
                    <a:prstGeom prst="rect">
                      <a:avLst/>
                    </a:prstGeom>
                    <a:noFill/>
                    <a:ln>
                      <a:noFill/>
                    </a:ln>
                  </pic:spPr>
                </pic:pic>
              </a:graphicData>
            </a:graphic>
          </wp:inline>
        </w:drawing>
      </w:r>
      <w:r>
        <w:t xml:space="preserve"> </w:t>
      </w:r>
      <w:r>
        <w:drawing>
          <wp:inline distT="0" distB="0" distL="0" distR="0">
            <wp:extent cx="5274310" cy="7477760"/>
            <wp:effectExtent l="0" t="0" r="2540" b="8890"/>
            <wp:docPr id="7" name="图片 7" descr="日历&#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日历&#10;&#10;低可信度描述已自动生成"/>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274310" cy="7477760"/>
                    </a:xfrm>
                    <a:prstGeom prst="rect">
                      <a:avLst/>
                    </a:prstGeom>
                    <a:noFill/>
                    <a:ln>
                      <a:noFill/>
                    </a:ln>
                  </pic:spPr>
                </pic:pic>
              </a:graphicData>
            </a:graphic>
          </wp:inline>
        </w:drawing>
      </w:r>
      <w:r>
        <w:t xml:space="preserve">  </w:t>
      </w:r>
      <w:r>
        <w:drawing>
          <wp:inline distT="0" distB="0" distL="0" distR="0">
            <wp:extent cx="5274310" cy="7477760"/>
            <wp:effectExtent l="0" t="0" r="2540" b="8890"/>
            <wp:docPr id="14" name="图片 14" descr="文本, 信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文本, 信件&#10;&#10;描述已自动生成"/>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rot="10800000">
                      <a:off x="0" y="0"/>
                      <a:ext cx="5274310" cy="7477760"/>
                    </a:xfrm>
                    <a:prstGeom prst="rect">
                      <a:avLst/>
                    </a:prstGeom>
                    <a:noFill/>
                    <a:ln>
                      <a:noFill/>
                    </a:ln>
                  </pic:spPr>
                </pic:pic>
              </a:graphicData>
            </a:graphic>
          </wp:inline>
        </w:drawing>
      </w:r>
    </w:p>
    <w:p w14:paraId="382B109D">
      <w:pPr>
        <w:pStyle w:val="2"/>
        <w:rPr>
          <w:rFonts w:hint="eastAsia"/>
        </w:rPr>
      </w:pP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MS Gothic">
    <w:panose1 w:val="020B0609070205080204"/>
    <w:charset w:val="80"/>
    <w:family w:val="modern"/>
    <w:pitch w:val="default"/>
    <w:sig w:usb0="E00002FF" w:usb1="6AC7FDFB" w:usb2="08000012" w:usb3="00000000" w:csb0="4002009F" w:csb1="DFD7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Arial">
    <w:panose1 w:val="020B0604020202020204"/>
    <w:charset w:val="00"/>
    <w:family w:val="swiss"/>
    <w:pitch w:val="default"/>
    <w:sig w:usb0="E0002EFF" w:usb1="C000785B" w:usb2="00000009" w:usb3="00000000" w:csb0="400001FF" w:csb1="FFFF0000"/>
  </w:font>
  <w:font w:name="等线">
    <w:panose1 w:val="02010600030101010101"/>
    <w:charset w:val="86"/>
    <w:family w:val="auto"/>
    <w:pitch w:val="default"/>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1"/>
  <w:bordersDoNotSurroundHeader w:val="1"/>
  <w:bordersDoNotSurroundFooter w:val="1"/>
  <w:documentProtection w:enforcement="0"/>
  <w:defaultTabStop w:val="420"/>
  <w:drawingGridHorizontalSpacing w:val="105"/>
  <w:drawingGridVerticalSpacing w:val="156"/>
  <w:displayHorizontalDrawingGridEvery w:val="2"/>
  <w:displayVerticalDrawingGridEvery w:val="2"/>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751A"/>
    <w:rsid w:val="00047227"/>
    <w:rsid w:val="000834AB"/>
    <w:rsid w:val="00083D28"/>
    <w:rsid w:val="000C54D9"/>
    <w:rsid w:val="000D7D8B"/>
    <w:rsid w:val="000E5E08"/>
    <w:rsid w:val="00123D7B"/>
    <w:rsid w:val="001E0F04"/>
    <w:rsid w:val="00200AB8"/>
    <w:rsid w:val="00242F3E"/>
    <w:rsid w:val="002A36C8"/>
    <w:rsid w:val="002B3225"/>
    <w:rsid w:val="00303C12"/>
    <w:rsid w:val="003A7C06"/>
    <w:rsid w:val="00491699"/>
    <w:rsid w:val="004D1AF7"/>
    <w:rsid w:val="004D4D54"/>
    <w:rsid w:val="004F0C0E"/>
    <w:rsid w:val="006306A4"/>
    <w:rsid w:val="006B1E17"/>
    <w:rsid w:val="00756850"/>
    <w:rsid w:val="00776AD7"/>
    <w:rsid w:val="008D2051"/>
    <w:rsid w:val="00934482"/>
    <w:rsid w:val="00996ED1"/>
    <w:rsid w:val="009C66F1"/>
    <w:rsid w:val="00A27A13"/>
    <w:rsid w:val="00A44A1D"/>
    <w:rsid w:val="00A87892"/>
    <w:rsid w:val="00AE0067"/>
    <w:rsid w:val="00C7150A"/>
    <w:rsid w:val="00C75118"/>
    <w:rsid w:val="00C82162"/>
    <w:rsid w:val="00CA1763"/>
    <w:rsid w:val="00D40559"/>
    <w:rsid w:val="00D7793A"/>
    <w:rsid w:val="00D90AD8"/>
    <w:rsid w:val="00DC61BC"/>
    <w:rsid w:val="00DF2FF9"/>
    <w:rsid w:val="00E0615F"/>
    <w:rsid w:val="00E36069"/>
    <w:rsid w:val="00E3751A"/>
    <w:rsid w:val="00E476AA"/>
    <w:rsid w:val="00EA6C50"/>
    <w:rsid w:val="00F31403"/>
    <w:rsid w:val="00F32C86"/>
    <w:rsid w:val="00FB6398"/>
    <w:rsid w:val="00FD01D3"/>
    <w:rsid w:val="01381A2C"/>
    <w:rsid w:val="03C37305"/>
    <w:rsid w:val="04543719"/>
    <w:rsid w:val="045937F4"/>
    <w:rsid w:val="04664971"/>
    <w:rsid w:val="04D11406"/>
    <w:rsid w:val="06EF6353"/>
    <w:rsid w:val="07D32EB9"/>
    <w:rsid w:val="07E46E00"/>
    <w:rsid w:val="08300409"/>
    <w:rsid w:val="08ED0200"/>
    <w:rsid w:val="096769A3"/>
    <w:rsid w:val="096F1B10"/>
    <w:rsid w:val="0BC750FD"/>
    <w:rsid w:val="0D073DB5"/>
    <w:rsid w:val="0D081033"/>
    <w:rsid w:val="0F1C6141"/>
    <w:rsid w:val="10AE1BD9"/>
    <w:rsid w:val="13FA1B12"/>
    <w:rsid w:val="141C622E"/>
    <w:rsid w:val="17810296"/>
    <w:rsid w:val="17C601C4"/>
    <w:rsid w:val="188D103C"/>
    <w:rsid w:val="1A4E76A5"/>
    <w:rsid w:val="1ADA1B6B"/>
    <w:rsid w:val="1B63147C"/>
    <w:rsid w:val="1CD14F1F"/>
    <w:rsid w:val="1F142A61"/>
    <w:rsid w:val="1FAC2BD1"/>
    <w:rsid w:val="214C4107"/>
    <w:rsid w:val="21A13C43"/>
    <w:rsid w:val="2282270A"/>
    <w:rsid w:val="24775815"/>
    <w:rsid w:val="297A3C20"/>
    <w:rsid w:val="29925FE1"/>
    <w:rsid w:val="2BD9110B"/>
    <w:rsid w:val="339918AA"/>
    <w:rsid w:val="35211925"/>
    <w:rsid w:val="36577381"/>
    <w:rsid w:val="366115C7"/>
    <w:rsid w:val="3823766B"/>
    <w:rsid w:val="396748BA"/>
    <w:rsid w:val="3AD61658"/>
    <w:rsid w:val="3AF50232"/>
    <w:rsid w:val="3B251FB8"/>
    <w:rsid w:val="3B3712DA"/>
    <w:rsid w:val="3B622014"/>
    <w:rsid w:val="3C7D28D5"/>
    <w:rsid w:val="3D027FC2"/>
    <w:rsid w:val="3EB62D94"/>
    <w:rsid w:val="42305ED2"/>
    <w:rsid w:val="42355182"/>
    <w:rsid w:val="43120BD6"/>
    <w:rsid w:val="43F50190"/>
    <w:rsid w:val="4432163F"/>
    <w:rsid w:val="4546743F"/>
    <w:rsid w:val="46966FC2"/>
    <w:rsid w:val="47EE36B2"/>
    <w:rsid w:val="48AF6D87"/>
    <w:rsid w:val="4E3D5914"/>
    <w:rsid w:val="515A3854"/>
    <w:rsid w:val="52CC47C0"/>
    <w:rsid w:val="52E07D49"/>
    <w:rsid w:val="563D2137"/>
    <w:rsid w:val="56F8002E"/>
    <w:rsid w:val="57301D47"/>
    <w:rsid w:val="57800B40"/>
    <w:rsid w:val="57CD2DFE"/>
    <w:rsid w:val="58244FE5"/>
    <w:rsid w:val="584B13F6"/>
    <w:rsid w:val="59D926D2"/>
    <w:rsid w:val="5BC05975"/>
    <w:rsid w:val="5E3F6556"/>
    <w:rsid w:val="5E8C3C37"/>
    <w:rsid w:val="5EBC6D64"/>
    <w:rsid w:val="5FD163AE"/>
    <w:rsid w:val="60057BEA"/>
    <w:rsid w:val="60B460AF"/>
    <w:rsid w:val="619747AF"/>
    <w:rsid w:val="62EA5BC6"/>
    <w:rsid w:val="64126CC6"/>
    <w:rsid w:val="6559245A"/>
    <w:rsid w:val="658C415A"/>
    <w:rsid w:val="66C53C4A"/>
    <w:rsid w:val="678F323C"/>
    <w:rsid w:val="68233EA0"/>
    <w:rsid w:val="6AA57F27"/>
    <w:rsid w:val="6CC37EB5"/>
    <w:rsid w:val="6D1139EB"/>
    <w:rsid w:val="6F3D1DEF"/>
    <w:rsid w:val="71276AD1"/>
    <w:rsid w:val="7160445C"/>
    <w:rsid w:val="716C6A50"/>
    <w:rsid w:val="72C43B37"/>
    <w:rsid w:val="737D1DEA"/>
    <w:rsid w:val="748B2EA1"/>
    <w:rsid w:val="771E190D"/>
    <w:rsid w:val="77832F9B"/>
    <w:rsid w:val="79302291"/>
    <w:rsid w:val="7B424553"/>
    <w:rsid w:val="7BB96559"/>
    <w:rsid w:val="7C304A31"/>
    <w:rsid w:val="7D9B14E2"/>
    <w:rsid w:val="7DB761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qFormat="1" w:unhideWhenUsed="0" w:uiPriority="99" w:semiHidden="0" w:name="Body Text"/>
    <w:lsdException w:qFormat="1" w:uiPriority="99"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qFormat="1" w:unhideWhenUsed="0" w:uiPriority="0" w:semiHidden="0" w:name="Body Text First Indent"/>
    <w:lsdException w:qFormat="1" w:uiPriority="99" w:semiHidden="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3">
    <w:name w:val="heading 1"/>
    <w:basedOn w:val="1"/>
    <w:next w:val="1"/>
    <w:qFormat/>
    <w:uiPriority w:val="0"/>
    <w:pPr>
      <w:spacing w:before="100" w:beforeAutospacing="1" w:after="100" w:afterAutospacing="1"/>
      <w:jc w:val="left"/>
      <w:outlineLvl w:val="0"/>
    </w:pPr>
    <w:rPr>
      <w:rFonts w:hint="eastAsia" w:ascii="宋体" w:hAnsi="宋体"/>
      <w:b/>
      <w:kern w:val="44"/>
      <w:sz w:val="48"/>
      <w:szCs w:val="48"/>
    </w:rPr>
  </w:style>
  <w:style w:type="paragraph" w:styleId="4">
    <w:name w:val="heading 2"/>
    <w:basedOn w:val="1"/>
    <w:next w:val="1"/>
    <w:qFormat/>
    <w:uiPriority w:val="0"/>
    <w:pPr>
      <w:keepNext/>
      <w:keepLines/>
      <w:snapToGrid w:val="0"/>
      <w:spacing w:beforeLines="50" w:afterLines="50"/>
      <w:outlineLvl w:val="1"/>
    </w:pPr>
    <w:rPr>
      <w:rFonts w:eastAsia="楷体_GB2312" w:cs="MS Gothic"/>
      <w:b/>
      <w:snapToGrid w:val="0"/>
      <w:kern w:val="0"/>
      <w:sz w:val="32"/>
      <w:szCs w:val="28"/>
    </w:rPr>
  </w:style>
  <w:style w:type="character" w:default="1" w:styleId="15">
    <w:name w:val="Default Paragraph Font"/>
    <w:semiHidden/>
    <w:unhideWhenUsed/>
    <w:uiPriority w:val="1"/>
  </w:style>
  <w:style w:type="table" w:default="1" w:styleId="14">
    <w:name w:val="Normal Table"/>
    <w:semiHidden/>
    <w:unhideWhenUsed/>
    <w:uiPriority w:val="99"/>
    <w:tblPr>
      <w:tblCellMar>
        <w:top w:w="0" w:type="dxa"/>
        <w:left w:w="108" w:type="dxa"/>
        <w:bottom w:w="0" w:type="dxa"/>
        <w:right w:w="108" w:type="dxa"/>
      </w:tblCellMar>
    </w:tblPr>
  </w:style>
  <w:style w:type="paragraph" w:styleId="2">
    <w:name w:val="Body Text"/>
    <w:basedOn w:val="1"/>
    <w:next w:val="1"/>
    <w:qFormat/>
    <w:uiPriority w:val="99"/>
    <w:rPr>
      <w:sz w:val="28"/>
      <w:szCs w:val="28"/>
    </w:rPr>
  </w:style>
  <w:style w:type="paragraph" w:styleId="5">
    <w:name w:val="Normal Indent"/>
    <w:basedOn w:val="1"/>
    <w:qFormat/>
    <w:uiPriority w:val="0"/>
    <w:pPr>
      <w:adjustRightInd w:val="0"/>
      <w:spacing w:line="360" w:lineRule="atLeast"/>
      <w:ind w:firstLine="420"/>
      <w:jc w:val="left"/>
      <w:textAlignment w:val="baseline"/>
    </w:pPr>
    <w:rPr>
      <w:rFonts w:eastAsia="仿宋_GB2312"/>
      <w:kern w:val="0"/>
      <w:sz w:val="28"/>
      <w:szCs w:val="20"/>
    </w:rPr>
  </w:style>
  <w:style w:type="paragraph" w:styleId="6">
    <w:name w:val="Body Text Indent"/>
    <w:basedOn w:val="1"/>
    <w:unhideWhenUsed/>
    <w:qFormat/>
    <w:uiPriority w:val="99"/>
    <w:pPr>
      <w:spacing w:after="120"/>
      <w:ind w:left="420" w:leftChars="200"/>
    </w:pPr>
  </w:style>
  <w:style w:type="paragraph" w:styleId="7">
    <w:name w:val="Balloon Text"/>
    <w:basedOn w:val="1"/>
    <w:link w:val="21"/>
    <w:qFormat/>
    <w:uiPriority w:val="0"/>
    <w:rPr>
      <w:sz w:val="18"/>
      <w:szCs w:val="18"/>
    </w:rPr>
  </w:style>
  <w:style w:type="paragraph" w:styleId="8">
    <w:name w:val="footer"/>
    <w:basedOn w:val="1"/>
    <w:next w:val="9"/>
    <w:qFormat/>
    <w:uiPriority w:val="99"/>
    <w:pPr>
      <w:tabs>
        <w:tab w:val="center" w:pos="4153"/>
        <w:tab w:val="right" w:pos="8306"/>
      </w:tabs>
      <w:snapToGrid w:val="0"/>
    </w:pPr>
    <w:rPr>
      <w:sz w:val="18"/>
      <w:szCs w:val="18"/>
    </w:rPr>
  </w:style>
  <w:style w:type="paragraph" w:styleId="9">
    <w:name w:val="Normal (Web)"/>
    <w:basedOn w:val="1"/>
    <w:next w:val="10"/>
    <w:qFormat/>
    <w:uiPriority w:val="0"/>
    <w:pPr>
      <w:spacing w:before="100" w:beforeAutospacing="1" w:after="100" w:afterAutospacing="1"/>
      <w:jc w:val="left"/>
    </w:pPr>
    <w:rPr>
      <w:kern w:val="0"/>
      <w:sz w:val="24"/>
    </w:rPr>
  </w:style>
  <w:style w:type="paragraph" w:customStyle="1" w:styleId="10">
    <w:name w:val="toc 84"/>
    <w:next w:val="1"/>
    <w:qFormat/>
    <w:uiPriority w:val="0"/>
    <w:pPr>
      <w:wordWrap w:val="0"/>
      <w:ind w:left="2975"/>
      <w:jc w:val="both"/>
    </w:pPr>
    <w:rPr>
      <w:rFonts w:ascii="Times New Roman" w:hAnsi="Times New Roman" w:eastAsia="宋体" w:cs="Times New Roman"/>
      <w:sz w:val="21"/>
      <w:szCs w:val="22"/>
      <w:lang w:val="en-US" w:eastAsia="zh-CN" w:bidi="ar-SA"/>
    </w:rPr>
  </w:style>
  <w:style w:type="paragraph" w:styleId="11">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2">
    <w:name w:val="Body Text First Indent"/>
    <w:basedOn w:val="2"/>
    <w:qFormat/>
    <w:uiPriority w:val="0"/>
    <w:pPr>
      <w:spacing w:after="120"/>
      <w:ind w:firstLine="420" w:firstLineChars="100"/>
    </w:pPr>
  </w:style>
  <w:style w:type="paragraph" w:styleId="13">
    <w:name w:val="Body Text First Indent 2"/>
    <w:basedOn w:val="6"/>
    <w:next w:val="2"/>
    <w:unhideWhenUsed/>
    <w:qFormat/>
    <w:uiPriority w:val="99"/>
    <w:pPr>
      <w:ind w:firstLine="420" w:firstLineChars="200"/>
    </w:pPr>
  </w:style>
  <w:style w:type="paragraph" w:customStyle="1" w:styleId="16">
    <w:name w:val="li_正文"/>
    <w:basedOn w:val="1"/>
    <w:qFormat/>
    <w:uiPriority w:val="0"/>
    <w:pPr>
      <w:topLinePunct/>
      <w:adjustRightInd w:val="0"/>
      <w:snapToGrid w:val="0"/>
      <w:spacing w:line="360" w:lineRule="auto"/>
      <w:ind w:firstLine="700" w:firstLineChars="250"/>
    </w:pPr>
    <w:rPr>
      <w:rFonts w:ascii="宋体" w:hAnsi="宋体"/>
      <w:sz w:val="28"/>
      <w:szCs w:val="28"/>
    </w:rPr>
  </w:style>
  <w:style w:type="paragraph" w:customStyle="1" w:styleId="17">
    <w:name w:val="Default"/>
    <w:next w:val="1"/>
    <w:qFormat/>
    <w:uiPriority w:val="0"/>
    <w:pPr>
      <w:widowControl w:val="0"/>
      <w:autoSpaceDE w:val="0"/>
      <w:autoSpaceDN w:val="0"/>
    </w:pPr>
    <w:rPr>
      <w:rFonts w:hint="eastAsia" w:ascii="宋体" w:hAnsi="Times New Roman" w:eastAsia="宋体" w:cs="Times New Roman"/>
      <w:color w:val="000000"/>
      <w:sz w:val="24"/>
      <w:lang w:val="en-US" w:eastAsia="zh-CN" w:bidi="ar-SA"/>
    </w:rPr>
  </w:style>
  <w:style w:type="paragraph" w:customStyle="1" w:styleId="18">
    <w:name w:val="样式 标题 2"/>
    <w:basedOn w:val="4"/>
    <w:qFormat/>
    <w:uiPriority w:val="0"/>
    <w:pPr>
      <w:spacing w:beforeLines="0" w:afterLines="0"/>
    </w:pPr>
    <w:rPr>
      <w:rFonts w:ascii="Arial" w:hAnsi="Arial" w:eastAsia="宋体" w:cs="宋体"/>
      <w:snapToGrid/>
      <w:kern w:val="2"/>
      <w:szCs w:val="32"/>
      <w:lang w:val="zh-CN"/>
    </w:rPr>
  </w:style>
  <w:style w:type="paragraph" w:customStyle="1" w:styleId="19">
    <w:name w:val="样式 10 磅"/>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0">
    <w:name w:val="p0"/>
    <w:basedOn w:val="1"/>
    <w:qFormat/>
    <w:uiPriority w:val="0"/>
    <w:pPr>
      <w:widowControl/>
    </w:pPr>
    <w:rPr>
      <w:kern w:val="0"/>
      <w:szCs w:val="21"/>
    </w:rPr>
  </w:style>
  <w:style w:type="character" w:customStyle="1" w:styleId="21">
    <w:name w:val="批注框文本 字符"/>
    <w:basedOn w:val="15"/>
    <w:link w:val="7"/>
    <w:qFormat/>
    <w:uiPriority w:val="0"/>
    <w:rPr>
      <w:rFonts w:ascii="Calibri" w:hAnsi="Calibri"/>
      <w:kern w:val="2"/>
      <w:sz w:val="18"/>
      <w:szCs w:val="18"/>
    </w:rPr>
  </w:style>
  <w:style w:type="paragraph" w:customStyle="1" w:styleId="22">
    <w:name w:val="111"/>
    <w:basedOn w:val="1"/>
    <w:qFormat/>
    <w:uiPriority w:val="99"/>
    <w:pPr>
      <w:widowControl/>
      <w:tabs>
        <w:tab w:val="left" w:pos="0"/>
      </w:tabs>
      <w:spacing w:before="100" w:beforeAutospacing="1" w:after="100" w:afterAutospacing="1"/>
      <w:jc w:val="left"/>
    </w:pPr>
    <w:rPr>
      <w:rFonts w:ascii="宋体" w:hAnsi="宋体" w:cs="宋体"/>
      <w:kern w:val="0"/>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Lenovo</Company>
  <Pages>11</Pages>
  <Words>3555</Words>
  <Characters>3986</Characters>
  <Lines>29</Lines>
  <Paragraphs>8</Paragraphs>
  <TotalTime>0</TotalTime>
  <ScaleCrop>false</ScaleCrop>
  <LinksUpToDate>false</LinksUpToDate>
  <CharactersWithSpaces>4002</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2020-04-30T03:42:00Z</dcterms:created>
  <dc:creator>Administrator</dc:creator>
  <cp:lastModifiedBy>叶子</cp:lastModifiedBy>
  <dcterms:modified xsi:type="dcterms:W3CDTF">2026-01-04T07:28:52Z</dcterms:modified>
  <cp:revision>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CBC97AFE74F849AB869B334A78305E19</vt:lpwstr>
  </property>
  <property fmtid="{D5CDD505-2E9C-101B-9397-08002B2CF9AE}" pid="4" name="KSOTemplateDocerSaveRecord">
    <vt:lpwstr>eyJoZGlkIjoiNDgzMjdiZTZhYWEwMDUyMzMwMzdhZWM2ZmNjMGMzMDkiLCJ1c2VySWQiOiI1NzcyNjAwMzgifQ==</vt:lpwstr>
  </property>
</Properties>
</file>