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06"/>
        <w:gridCol w:w="894"/>
        <w:gridCol w:w="5612"/>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9014" w:type="dxa"/>
            <w:gridSpan w:val="3"/>
            <w:tcBorders>
              <w:tl2br w:val="nil"/>
              <w:tr2bl w:val="nil"/>
            </w:tcBorders>
            <w:shd w:val="clear" w:color="auto" w:fill="FFFFFF"/>
            <w:vAlign w:val="center"/>
          </w:tcPr>
          <w:p w14:paraId="5F47FE3D">
            <w:pPr>
              <w:widowControl/>
              <w:spacing w:after="150"/>
              <w:jc w:val="center"/>
              <w:rPr>
                <w:rFonts w:hint="eastAsia" w:ascii="宋体" w:hAnsi="宋体" w:eastAsia="宋体" w:cs="宋体"/>
                <w:kern w:val="0"/>
                <w:sz w:val="24"/>
                <w:shd w:val="clear" w:color="auto" w:fill="FFFFFF"/>
                <w:lang w:eastAsia="zh-CN"/>
              </w:rPr>
            </w:pPr>
            <w:r>
              <w:rPr>
                <w:rFonts w:hint="eastAsia" w:ascii="宋体" w:hAnsi="宋体" w:eastAsia="宋体" w:cs="宋体"/>
                <w:kern w:val="0"/>
                <w:sz w:val="24"/>
                <w:shd w:val="clear" w:color="auto" w:fill="FFFFFF"/>
                <w:lang w:eastAsia="zh-CN"/>
              </w:rPr>
              <w:t>瑞金市普特气体有限公司</w:t>
            </w:r>
          </w:p>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瑞金市普特气体乙炔生产、充装在役装置自动控制技术提升改造工程竣工验收安全评价</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9014" w:type="dxa"/>
            <w:gridSpan w:val="3"/>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12</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4"/>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0B93473">
            <w:pPr>
              <w:jc w:val="center"/>
              <w:rPr>
                <w:rFonts w:ascii="宋体" w:hAnsi="宋体" w:cs="宋体"/>
                <w:sz w:val="24"/>
              </w:rPr>
            </w:pPr>
          </w:p>
        </w:tc>
        <w:tc>
          <w:tcPr>
            <w:tcW w:w="894"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12" w:type="dxa"/>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06"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894" w:type="dxa"/>
            <w:tcBorders>
              <w:tl2br w:val="nil"/>
              <w:tr2bl w:val="nil"/>
            </w:tcBorders>
            <w:shd w:val="clear" w:color="auto" w:fill="FFFFFF"/>
            <w:vAlign w:val="center"/>
          </w:tcPr>
          <w:p w14:paraId="56565DEB">
            <w:pPr>
              <w:spacing w:before="156" w:beforeLines="50" w:after="156" w:afterLines="50" w:line="400" w:lineRule="exact"/>
              <w:ind w:firstLine="0" w:firstLineChars="0"/>
              <w:jc w:val="center"/>
              <w:rPr>
                <w:rFonts w:hint="default" w:ascii="Calibri" w:hAnsi="Calibri" w:eastAsia="宋体" w:cs="Times New Roman"/>
                <w:kern w:val="2"/>
                <w:sz w:val="24"/>
                <w:szCs w:val="24"/>
                <w:lang w:val="en-US" w:eastAsia="zh-CN" w:bidi="ar-SA"/>
              </w:rPr>
            </w:pPr>
            <w:r>
              <w:rPr>
                <w:rFonts w:ascii="Calibri" w:hAnsi="Calibri"/>
                <w:sz w:val="24"/>
                <w:szCs w:val="24"/>
              </w:rPr>
              <w:t>蓝家财</w:t>
            </w:r>
          </w:p>
        </w:tc>
        <w:tc>
          <w:tcPr>
            <w:tcW w:w="5612" w:type="dxa"/>
            <w:tcBorders>
              <w:tl2br w:val="nil"/>
              <w:tr2bl w:val="nil"/>
            </w:tcBorders>
            <w:shd w:val="clear" w:color="auto" w:fill="FFFFFF"/>
            <w:vAlign w:val="center"/>
          </w:tcPr>
          <w:p w14:paraId="74203271">
            <w:pPr>
              <w:spacing w:line="360" w:lineRule="exact"/>
              <w:ind w:firstLine="0" w:firstLineChars="0"/>
              <w:jc w:val="center"/>
              <w:rPr>
                <w:rFonts w:hint="default" w:ascii="宋体" w:hAnsi="宋体" w:eastAsia="宋体" w:cs="宋体"/>
                <w:kern w:val="2"/>
                <w:sz w:val="24"/>
                <w:szCs w:val="24"/>
                <w:lang w:val="en-US" w:eastAsia="zh-CN" w:bidi="zh-TW"/>
              </w:rPr>
            </w:pPr>
            <w:r>
              <w:rPr>
                <w:rFonts w:hint="default" w:ascii="宋体" w:hAnsi="宋体" w:cs="宋体"/>
                <w:sz w:val="24"/>
                <w:szCs w:val="24"/>
                <w:lang w:bidi="zh-TW"/>
              </w:rPr>
              <w:t>CAWS530000230200862</w:t>
            </w:r>
          </w:p>
        </w:tc>
        <w:tc>
          <w:tcPr>
            <w:tcW w:w="2508" w:type="dxa"/>
            <w:tcBorders>
              <w:tl2br w:val="nil"/>
              <w:tr2bl w:val="nil"/>
            </w:tcBorders>
            <w:shd w:val="clear" w:color="auto" w:fill="FFFFFF"/>
            <w:vAlign w:val="center"/>
          </w:tcPr>
          <w:p w14:paraId="3EA9A323">
            <w:pPr>
              <w:spacing w:line="360" w:lineRule="exact"/>
              <w:ind w:firstLine="0" w:firstLineChars="0"/>
              <w:jc w:val="center"/>
              <w:rPr>
                <w:rFonts w:hint="default" w:ascii="宋体" w:hAnsi="宋体" w:eastAsia="宋体" w:cs="宋体"/>
                <w:kern w:val="2"/>
                <w:sz w:val="24"/>
                <w:szCs w:val="24"/>
                <w:lang w:val="en-US" w:eastAsia="zh-CN" w:bidi="zh-TW"/>
              </w:rPr>
            </w:pPr>
            <w:r>
              <w:rPr>
                <w:rFonts w:hint="default" w:ascii="宋体" w:hAnsi="宋体" w:cs="宋体"/>
                <w:sz w:val="24"/>
                <w:szCs w:val="24"/>
                <w:lang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06"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894" w:type="dxa"/>
            <w:tcBorders>
              <w:tl2br w:val="nil"/>
              <w:tr2bl w:val="nil"/>
            </w:tcBorders>
            <w:shd w:val="clear" w:color="auto" w:fill="FFFFFF"/>
            <w:vAlign w:val="center"/>
          </w:tcPr>
          <w:p w14:paraId="2D36C39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乔贯德</w:t>
            </w:r>
          </w:p>
        </w:tc>
        <w:tc>
          <w:tcPr>
            <w:tcW w:w="5612" w:type="dxa"/>
            <w:tcBorders>
              <w:tl2br w:val="nil"/>
              <w:tr2bl w:val="nil"/>
            </w:tcBorders>
            <w:shd w:val="clear" w:color="auto" w:fill="FFFFFF"/>
            <w:vAlign w:val="center"/>
          </w:tcPr>
          <w:p w14:paraId="652AFC5A">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1700000000300087</w:t>
            </w:r>
          </w:p>
        </w:tc>
        <w:tc>
          <w:tcPr>
            <w:tcW w:w="2508" w:type="dxa"/>
            <w:tcBorders>
              <w:tl2br w:val="nil"/>
              <w:tr2bl w:val="nil"/>
            </w:tcBorders>
            <w:shd w:val="clear" w:color="auto" w:fill="FFFFFF"/>
            <w:vAlign w:val="center"/>
          </w:tcPr>
          <w:p w14:paraId="155B3950">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894" w:type="dxa"/>
            <w:tcBorders>
              <w:tl2br w:val="nil"/>
              <w:tr2bl w:val="nil"/>
            </w:tcBorders>
            <w:shd w:val="clear" w:color="auto" w:fill="FFFFFF"/>
            <w:vAlign w:val="center"/>
          </w:tcPr>
          <w:p w14:paraId="4A9331A7">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张志辉</w:t>
            </w:r>
          </w:p>
        </w:tc>
        <w:tc>
          <w:tcPr>
            <w:tcW w:w="5612" w:type="dxa"/>
            <w:tcBorders>
              <w:tl2br w:val="nil"/>
              <w:tr2bl w:val="nil"/>
            </w:tcBorders>
            <w:shd w:val="clear" w:color="auto" w:fill="FFFFFF"/>
            <w:vAlign w:val="center"/>
          </w:tcPr>
          <w:p w14:paraId="3E4AF7D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20211004615000001171</w:t>
            </w:r>
            <w:r>
              <w:rPr>
                <w:rFonts w:hint="eastAsia" w:ascii="宋体" w:hAnsi="宋体" w:eastAsia="宋体" w:cs="宋体"/>
                <w:sz w:val="24"/>
                <w:szCs w:val="24"/>
              </w:rPr>
              <w:t xml:space="preserve">  </w:t>
            </w:r>
          </w:p>
        </w:tc>
        <w:tc>
          <w:tcPr>
            <w:tcW w:w="2508" w:type="dxa"/>
            <w:tcBorders>
              <w:tl2br w:val="nil"/>
              <w:tr2bl w:val="nil"/>
            </w:tcBorders>
            <w:shd w:val="clear" w:color="auto" w:fill="FFFFFF"/>
            <w:vAlign w:val="center"/>
          </w:tcPr>
          <w:p w14:paraId="097E9CF2">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15220306682</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218282FC">
            <w:pPr>
              <w:jc w:val="center"/>
              <w:rPr>
                <w:rFonts w:ascii="宋体" w:hAnsi="宋体" w:cs="宋体"/>
                <w:sz w:val="24"/>
              </w:rPr>
            </w:pPr>
            <w:bookmarkStart w:id="0" w:name="_GoBack" w:colFirst="2" w:colLast="3"/>
          </w:p>
        </w:tc>
        <w:tc>
          <w:tcPr>
            <w:tcW w:w="894" w:type="dxa"/>
            <w:tcBorders>
              <w:tl2br w:val="nil"/>
              <w:tr2bl w:val="nil"/>
            </w:tcBorders>
            <w:shd w:val="clear" w:color="auto" w:fill="FFFFFF"/>
            <w:vAlign w:val="center"/>
          </w:tcPr>
          <w:p w14:paraId="07C8D395">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赵云峰</w:t>
            </w:r>
          </w:p>
        </w:tc>
        <w:tc>
          <w:tcPr>
            <w:tcW w:w="5612" w:type="dxa"/>
            <w:tcBorders>
              <w:tl2br w:val="nil"/>
              <w:tr2bl w:val="nil"/>
            </w:tcBorders>
            <w:shd w:val="clear" w:color="auto" w:fill="auto"/>
            <w:vAlign w:val="center"/>
          </w:tcPr>
          <w:p w14:paraId="1F79760F">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1600000000200809</w:t>
            </w:r>
          </w:p>
        </w:tc>
        <w:tc>
          <w:tcPr>
            <w:tcW w:w="2508" w:type="dxa"/>
            <w:tcBorders>
              <w:tl2br w:val="nil"/>
              <w:tr2bl w:val="nil"/>
            </w:tcBorders>
            <w:shd w:val="clear" w:color="auto" w:fill="auto"/>
            <w:vAlign w:val="center"/>
          </w:tcPr>
          <w:p w14:paraId="05E42F8E">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default" w:ascii="宋体" w:hAnsi="宋体" w:eastAsia="宋体" w:cs="宋体"/>
                <w:sz w:val="24"/>
                <w:szCs w:val="24"/>
                <w:lang w:val="en-US" w:eastAsia="zh-CN"/>
              </w:rPr>
              <w:t>030095</w:t>
            </w:r>
          </w:p>
        </w:tc>
      </w:tr>
      <w:bookmarkEnd w:id="0"/>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vMerge w:val="continue"/>
            <w:tcBorders>
              <w:tl2br w:val="nil"/>
              <w:tr2bl w:val="nil"/>
            </w:tcBorders>
            <w:shd w:val="clear" w:color="auto" w:fill="FFFFFF"/>
            <w:vAlign w:val="center"/>
          </w:tcPr>
          <w:p w14:paraId="78FC19D6">
            <w:pPr>
              <w:jc w:val="center"/>
              <w:rPr>
                <w:rFonts w:ascii="宋体" w:hAnsi="宋体" w:cs="宋体"/>
                <w:sz w:val="24"/>
              </w:rPr>
            </w:pPr>
          </w:p>
        </w:tc>
        <w:tc>
          <w:tcPr>
            <w:tcW w:w="894" w:type="dxa"/>
            <w:tcBorders>
              <w:tl2br w:val="nil"/>
              <w:tr2bl w:val="nil"/>
            </w:tcBorders>
            <w:shd w:val="clear" w:color="auto" w:fill="FFFFFF"/>
            <w:vAlign w:val="center"/>
          </w:tcPr>
          <w:p w14:paraId="5313DC72">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cs="宋体"/>
                <w:sz w:val="24"/>
                <w:szCs w:val="24"/>
              </w:rPr>
              <w:t>刘二平</w:t>
            </w:r>
          </w:p>
        </w:tc>
        <w:tc>
          <w:tcPr>
            <w:tcW w:w="5612" w:type="dxa"/>
            <w:tcBorders>
              <w:tl2br w:val="nil"/>
              <w:tr2bl w:val="nil"/>
            </w:tcBorders>
            <w:shd w:val="clear" w:color="auto" w:fill="FFFFFF"/>
            <w:vAlign w:val="center"/>
          </w:tcPr>
          <w:p w14:paraId="0A94E59E">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ascii="宋体" w:hAnsi="宋体" w:cs="宋体"/>
                <w:sz w:val="24"/>
                <w:szCs w:val="24"/>
              </w:rPr>
              <w:t>03320241036000000887</w:t>
            </w:r>
          </w:p>
        </w:tc>
        <w:tc>
          <w:tcPr>
            <w:tcW w:w="2508" w:type="dxa"/>
            <w:tcBorders>
              <w:tl2br w:val="nil"/>
              <w:tr2bl w:val="nil"/>
            </w:tcBorders>
            <w:shd w:val="clear" w:color="auto" w:fill="FFFFFF"/>
            <w:vAlign w:val="center"/>
          </w:tcPr>
          <w:p w14:paraId="4DD07733">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ascii="宋体" w:hAnsi="宋体" w:cs="宋体"/>
                <w:sz w:val="24"/>
                <w:szCs w:val="24"/>
              </w:rPr>
              <w:t>37250438462</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06"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9014" w:type="dxa"/>
            <w:gridSpan w:val="3"/>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606" w:type="dxa"/>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9014" w:type="dxa"/>
            <w:gridSpan w:val="3"/>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2025年12月16日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606" w:type="dxa"/>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9014" w:type="dxa"/>
            <w:gridSpan w:val="3"/>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2025年12月21日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9014" w:type="dxa"/>
            <w:gridSpan w:val="3"/>
            <w:tcBorders>
              <w:tl2br w:val="nil"/>
              <w:tr2bl w:val="nil"/>
            </w:tcBorders>
            <w:shd w:val="clear" w:color="auto" w:fill="FFFFFF"/>
          </w:tcPr>
          <w:p w14:paraId="1B1C7522">
            <w:pPr>
              <w:pStyle w:val="1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瑞金市普特气体有限公司成立于2010-11-30，法定代表人为殷圣耀，注册资本为600万元，统一社会信用代码为91360781563849278N，企业注册地址位于江西省瑞金市沙洲坝镇杉山村新屋小组竹山窝，所属行业为化学原料和化学制品制造业，经营范围包含：许可项目：乙炔生产；溶解乙炔气、氧气、氩气、氮气、二氧化碳、液氧、液氩、液氮充装与销售；氧气、氩气、二氧化碳、丙烷气、氮气、氢气、溶解乙炔气、工业用液化石油气零售、批发（凭危险化学品经营许可证经营，有效期至2023年7月16日）（依法须经批准的项目，经相关部门批准后方可开展经营活动）一般项目：无缝气瓶、焊接气瓶租赁、销售（除许可业务外，可自主依法经营法律法规非禁止或限制的项目）</w:t>
            </w:r>
            <w:r>
              <w:rPr>
                <w:rFonts w:hint="eastAsia" w:ascii="Times New Roman" w:hAnsi="Times New Roman" w:cs="Times New Roman"/>
                <w:kern w:val="2"/>
                <w:sz w:val="24"/>
                <w:szCs w:val="24"/>
                <w:lang w:val="en-US" w:eastAsia="zh-CN" w:bidi="ar-SA"/>
              </w:rPr>
              <w:t>。</w:t>
            </w:r>
          </w:p>
          <w:p w14:paraId="10620622">
            <w:pPr>
              <w:pStyle w:val="10"/>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imes New Roman" w:hAnsi="Times New Roman" w:cs="Times New Roman"/>
                <w:kern w:val="2"/>
                <w:sz w:val="24"/>
                <w:szCs w:val="24"/>
                <w:lang w:val="en-US" w:eastAsia="zh-CN" w:bidi="ar-SA"/>
              </w:rPr>
              <w:t>该企业已完成自动化提升改造工程施工，受瑞金市普特气体有限公司的委托，山东新安达工程咨询有限公司承担其改造工程的竣工验收安全评价工作，根据《瑞金市普特气体有限公司瑞金市普特气体乙炔生产、充装在役装置自动控制技术改造方案》的设计范围，确定本次验收评价的范围为乙炔生产、充装在役装置的自动控制技术改造工程，氧气、氩气、二氧化碳和氮气充装工艺及其配套设备设施未纳入设计范围，不在本次评价范围内。</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1" w:hRule="atLeast"/>
          <w:jc w:val="center"/>
        </w:trPr>
        <w:tc>
          <w:tcPr>
            <w:tcW w:w="606"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9014" w:type="dxa"/>
            <w:gridSpan w:val="3"/>
            <w:tcBorders>
              <w:tl2br w:val="nil"/>
              <w:tr2bl w:val="nil"/>
            </w:tcBorders>
            <w:shd w:val="clear" w:color="auto" w:fill="FFFFFF"/>
          </w:tcPr>
          <w:p w14:paraId="64A30033">
            <w:pPr>
              <w:pStyle w:val="10"/>
              <w:spacing w:after="0"/>
              <w:ind w:firstLine="480"/>
              <w:rPr>
                <w:sz w:val="24"/>
                <w:szCs w:val="24"/>
              </w:rPr>
            </w:pPr>
            <w:r>
              <w:rPr>
                <w:rFonts w:hint="eastAsia"/>
                <w:sz w:val="24"/>
                <w:szCs w:val="24"/>
              </w:rPr>
              <w:t>一、乙炔生产工艺流程</w:t>
            </w:r>
          </w:p>
          <w:p w14:paraId="5C4B93F2">
            <w:pPr>
              <w:pStyle w:val="10"/>
              <w:spacing w:after="0"/>
              <w:ind w:firstLine="480"/>
              <w:rPr>
                <w:sz w:val="24"/>
                <w:szCs w:val="24"/>
              </w:rPr>
            </w:pPr>
            <w:r>
              <w:rPr>
                <w:rFonts w:hint="eastAsia"/>
                <w:sz w:val="24"/>
                <w:szCs w:val="24"/>
              </w:rPr>
              <w:t>1、生产前，先利用防爆叉车将将破碎后的10-200mm电石从电石仓库转运至投料口附近，加料时先对投料斗进行氮气置换：置换合格后先打开料斗蝶阀，然后再开电石桶底阀。下料时要用橡皮锤敲击电石桶，务使下料干净，桶内不留余料。加料完毕，先关贮料斗蝶阀，然后再关电石桶底阀，并对电石桶用氮气置换后才能将电石桶起吊运回电石仓库。</w:t>
            </w:r>
          </w:p>
          <w:p w14:paraId="5A778893">
            <w:pPr>
              <w:pStyle w:val="10"/>
              <w:spacing w:after="0"/>
              <w:ind w:firstLine="480"/>
              <w:rPr>
                <w:sz w:val="24"/>
                <w:szCs w:val="24"/>
              </w:rPr>
            </w:pPr>
            <w:r>
              <w:rPr>
                <w:rFonts w:hint="eastAsia"/>
                <w:sz w:val="24"/>
                <w:szCs w:val="24"/>
              </w:rPr>
              <w:t>化学反应式：</w:t>
            </w:r>
          </w:p>
          <w:p w14:paraId="36BF4B31">
            <w:pPr>
              <w:pStyle w:val="10"/>
              <w:spacing w:after="0"/>
              <w:ind w:firstLine="480"/>
              <w:rPr>
                <w:sz w:val="24"/>
                <w:szCs w:val="24"/>
              </w:rPr>
            </w:pPr>
            <w:r>
              <w:rPr>
                <w:rFonts w:hint="eastAsia"/>
                <w:sz w:val="24"/>
                <w:szCs w:val="24"/>
              </w:rPr>
              <w:t>（1）将电石破碎后，加入乙炔发生器，与其中的水反应，产生乙炔气和电石渣：</w:t>
            </w:r>
          </w:p>
          <w:p w14:paraId="63B45DD5">
            <w:pPr>
              <w:pStyle w:val="10"/>
              <w:spacing w:after="0"/>
              <w:ind w:firstLine="480"/>
            </w:pPr>
            <w:r>
              <w:rPr>
                <w:rFonts w:hint="eastAsia"/>
              </w:rPr>
              <w:drawing>
                <wp:inline distT="0" distB="0" distL="0" distR="0">
                  <wp:extent cx="3848100" cy="419100"/>
                  <wp:effectExtent l="0" t="0" r="5715" b="1905"/>
                  <wp:docPr id="16246817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81783" name="图片 7"/>
                          <pic:cNvPicPr>
                            <a:picLocks noChangeAspect="1" noChangeArrowheads="1"/>
                          </pic:cNvPicPr>
                        </pic:nvPicPr>
                        <pic:blipFill>
                          <a:blip r:embed="rId4"/>
                          <a:srcRect/>
                          <a:stretch>
                            <a:fillRect/>
                          </a:stretch>
                        </pic:blipFill>
                        <pic:spPr>
                          <a:xfrm>
                            <a:off x="0" y="0"/>
                            <a:ext cx="3848100" cy="419100"/>
                          </a:xfrm>
                          <a:prstGeom prst="rect">
                            <a:avLst/>
                          </a:prstGeom>
                          <a:noFill/>
                          <a:ln w="9525">
                            <a:noFill/>
                            <a:miter lim="800000"/>
                            <a:headEnd/>
                            <a:tailEnd/>
                          </a:ln>
                        </pic:spPr>
                      </pic:pic>
                    </a:graphicData>
                  </a:graphic>
                </wp:inline>
              </w:drawing>
            </w:r>
          </w:p>
          <w:p w14:paraId="198095B7">
            <w:pPr>
              <w:pStyle w:val="10"/>
              <w:spacing w:after="0"/>
              <w:ind w:firstLine="480"/>
            </w:pPr>
            <w:r>
              <w:rPr>
                <w:rFonts w:hint="eastAsia"/>
                <w:sz w:val="24"/>
                <w:szCs w:val="24"/>
              </w:rPr>
              <w:t>（2）乙炔气中的杂质气体H2S、PH3分别用NaOH溶液、NaClO溶液去除：</w:t>
            </w:r>
          </w:p>
          <w:p w14:paraId="74FC3F15">
            <w:pPr>
              <w:pStyle w:val="10"/>
              <w:spacing w:after="0"/>
              <w:ind w:firstLine="480"/>
            </w:pPr>
            <w:r>
              <w:drawing>
                <wp:inline distT="0" distB="0" distL="0" distR="0">
                  <wp:extent cx="3990975" cy="666750"/>
                  <wp:effectExtent l="0" t="0" r="3175" b="2540"/>
                  <wp:docPr id="187093508" name="图片 18709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3508" name="图片 187093508"/>
                          <pic:cNvPicPr>
                            <a:picLocks noChangeAspect="1" noChangeArrowheads="1"/>
                          </pic:cNvPicPr>
                        </pic:nvPicPr>
                        <pic:blipFill>
                          <a:blip r:embed="rId5"/>
                          <a:srcRect/>
                          <a:stretch>
                            <a:fillRect/>
                          </a:stretch>
                        </pic:blipFill>
                        <pic:spPr>
                          <a:xfrm>
                            <a:off x="0" y="0"/>
                            <a:ext cx="3990975" cy="666750"/>
                          </a:xfrm>
                          <a:prstGeom prst="rect">
                            <a:avLst/>
                          </a:prstGeom>
                          <a:noFill/>
                          <a:ln w="9525">
                            <a:noFill/>
                            <a:miter lim="800000"/>
                            <a:headEnd/>
                            <a:tailEnd/>
                          </a:ln>
                        </pic:spPr>
                      </pic:pic>
                    </a:graphicData>
                  </a:graphic>
                </wp:inline>
              </w:drawing>
            </w:r>
          </w:p>
          <w:p w14:paraId="0C0CEBEA">
            <w:pPr>
              <w:pStyle w:val="10"/>
              <w:spacing w:after="0"/>
              <w:ind w:firstLine="480"/>
              <w:rPr>
                <w:sz w:val="24"/>
                <w:szCs w:val="24"/>
              </w:rPr>
            </w:pPr>
            <w:r>
              <w:rPr>
                <w:rFonts w:hint="eastAsia"/>
                <w:sz w:val="24"/>
                <w:szCs w:val="24"/>
              </w:rPr>
              <w:t>加水生产前先检查水封水位、洗涤塔水位、气柜水位，检查完成后打开自动加水阀门，发生器内电石与水发生化学反应生成乙炔气（反应压力4—6KPa，温度60℃），经水封冷却后进入气柜（进气温度不超过30℃），再通过一级液碱喷淋塔（T107A）和二级次氯酸钠喷淋塔（T107B/C）清除磷化氢、硫化氢等杂质，再经安全水封（V108）和低压干燥器（X111）除去水分，除去了一定水份的乙炔气进入乙炔压缩机压缩（C110A/B）经三级加压（一级0.25MPa，二级0.8MPa，三级2.4MPa）加压后，通过管道输送至高压油水分离器和高压干燥器（X112），进一步清除乙炔气的油污和水分以确保乙炔气纯度≥98%，进入充装工序。</w:t>
            </w:r>
          </w:p>
          <w:p w14:paraId="66C3170B">
            <w:pPr>
              <w:pStyle w:val="10"/>
              <w:spacing w:after="0"/>
              <w:ind w:firstLine="480"/>
              <w:rPr>
                <w:sz w:val="24"/>
                <w:szCs w:val="24"/>
              </w:rPr>
            </w:pPr>
            <w:r>
              <w:rPr>
                <w:rFonts w:hint="eastAsia"/>
                <w:sz w:val="24"/>
                <w:szCs w:val="24"/>
              </w:rPr>
              <w:t>乙炔充装时，经压缩机加压到2.4MPa乙炔气通过管道进入灌充排（5套，X112A/B/C/D/E），分装入两侧各个乙炔气瓶（当环境温度超过15℃时需打开喷淋水给气瓶降温），充装过程操作人员需不间断检查瓶温，当温度异常时（超过40℃）需立即停止充装，并开启喷淋水降温。充装完成后需经过静置后方可运输使用（乙炔瓶充气后静置时间＞8小时方可出厂，新瓶充装后静置时间＞24小时方可出）。</w:t>
            </w:r>
          </w:p>
          <w:p w14:paraId="6557F32F">
            <w:pPr>
              <w:pStyle w:val="10"/>
              <w:spacing w:after="0"/>
              <w:ind w:firstLine="480"/>
              <w:rPr>
                <w:sz w:val="24"/>
                <w:szCs w:val="24"/>
              </w:rPr>
            </w:pPr>
            <w:r>
              <w:rPr>
                <w:rFonts w:hint="eastAsia"/>
                <w:sz w:val="24"/>
                <w:szCs w:val="24"/>
              </w:rPr>
              <w:t>乙炔瓶充装乙炔，在15℃时，限定充装压力为1.52Mpa，在不同的环境温度下充装时，其静置后的限定压力，应以此为准，进行换算。在不同的环境温度下，充装压力和静置后压力不得大于下表的推荐值：</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843"/>
              <w:gridCol w:w="844"/>
              <w:gridCol w:w="844"/>
              <w:gridCol w:w="846"/>
              <w:gridCol w:w="846"/>
              <w:gridCol w:w="846"/>
              <w:gridCol w:w="846"/>
              <w:gridCol w:w="846"/>
              <w:gridCol w:w="846"/>
            </w:tblGrid>
            <w:tr w14:paraId="77F3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9"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7A194B61">
                  <w:pPr>
                    <w:pStyle w:val="51"/>
                  </w:pPr>
                  <w:r>
                    <w:rPr>
                      <w:rFonts w:hint="eastAsia"/>
                    </w:rPr>
                    <w:t>环境温度（℃）</w:t>
                  </w:r>
                </w:p>
              </w:tc>
              <w:tc>
                <w:tcPr>
                  <w:tcW w:w="469"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76DCB5D">
                  <w:pPr>
                    <w:pStyle w:val="51"/>
                  </w:pPr>
                  <w:r>
                    <w:rPr>
                      <w:rFonts w:hint="eastAsia"/>
                    </w:rPr>
                    <w:t>0</w:t>
                  </w:r>
                </w:p>
              </w:tc>
              <w:tc>
                <w:tcPr>
                  <w:tcW w:w="469"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0A1F83D5">
                  <w:pPr>
                    <w:pStyle w:val="51"/>
                  </w:pPr>
                  <w:r>
                    <w:rPr>
                      <w:rFonts w:hint="eastAsia"/>
                    </w:rPr>
                    <w:t>5</w:t>
                  </w:r>
                </w:p>
              </w:tc>
              <w:tc>
                <w:tcPr>
                  <w:tcW w:w="469"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6113C12">
                  <w:pPr>
                    <w:pStyle w:val="51"/>
                  </w:pPr>
                  <w:r>
                    <w:rPr>
                      <w:rFonts w:hint="eastAsia"/>
                    </w:rPr>
                    <w:t>10</w:t>
                  </w:r>
                </w:p>
              </w:tc>
              <w:tc>
                <w:tcPr>
                  <w:tcW w:w="47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0E3A7980">
                  <w:pPr>
                    <w:pStyle w:val="51"/>
                  </w:pPr>
                  <w:r>
                    <w:rPr>
                      <w:rFonts w:hint="eastAsia"/>
                    </w:rPr>
                    <w:t>15</w:t>
                  </w:r>
                </w:p>
              </w:tc>
              <w:tc>
                <w:tcPr>
                  <w:tcW w:w="47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453D9D2">
                  <w:pPr>
                    <w:pStyle w:val="51"/>
                  </w:pPr>
                  <w:r>
                    <w:rPr>
                      <w:rFonts w:hint="eastAsia"/>
                    </w:rPr>
                    <w:t>20</w:t>
                  </w:r>
                </w:p>
              </w:tc>
              <w:tc>
                <w:tcPr>
                  <w:tcW w:w="47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4FD84194">
                  <w:pPr>
                    <w:pStyle w:val="51"/>
                  </w:pPr>
                  <w:r>
                    <w:rPr>
                      <w:rFonts w:hint="eastAsia"/>
                    </w:rPr>
                    <w:t>25</w:t>
                  </w:r>
                </w:p>
              </w:tc>
              <w:tc>
                <w:tcPr>
                  <w:tcW w:w="47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658A102">
                  <w:pPr>
                    <w:pStyle w:val="51"/>
                  </w:pPr>
                  <w:r>
                    <w:rPr>
                      <w:rFonts w:hint="eastAsia"/>
                    </w:rPr>
                    <w:t>30</w:t>
                  </w:r>
                </w:p>
              </w:tc>
              <w:tc>
                <w:tcPr>
                  <w:tcW w:w="47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0125A631">
                  <w:pPr>
                    <w:pStyle w:val="51"/>
                  </w:pPr>
                  <w:r>
                    <w:rPr>
                      <w:rFonts w:hint="eastAsia"/>
                    </w:rPr>
                    <w:t>35</w:t>
                  </w:r>
                </w:p>
              </w:tc>
              <w:tc>
                <w:tcPr>
                  <w:tcW w:w="470"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1C655ED3">
                  <w:pPr>
                    <w:pStyle w:val="51"/>
                  </w:pPr>
                  <w:r>
                    <w:rPr>
                      <w:rFonts w:hint="eastAsia"/>
                    </w:rPr>
                    <w:t>40</w:t>
                  </w:r>
                </w:p>
              </w:tc>
            </w:tr>
            <w:tr w14:paraId="5B7B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6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3A4B808">
                  <w:pPr>
                    <w:pStyle w:val="51"/>
                  </w:pPr>
                  <w:r>
                    <w:rPr>
                      <w:rFonts w:hint="eastAsia"/>
                    </w:rPr>
                    <w:t>充装压力（Mpa）</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4DD40">
                  <w:pPr>
                    <w:pStyle w:val="51"/>
                  </w:pPr>
                  <w:r>
                    <w:rPr>
                      <w:rFonts w:hint="eastAsia"/>
                    </w:rPr>
                    <w:t>1.32</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8D1FF">
                  <w:pPr>
                    <w:pStyle w:val="51"/>
                  </w:pPr>
                  <w:r>
                    <w:rPr>
                      <w:rFonts w:hint="eastAsia"/>
                    </w:rPr>
                    <w:t>1.47</w:t>
                  </w: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3CCCED">
                  <w:pPr>
                    <w:pStyle w:val="51"/>
                  </w:pPr>
                  <w:r>
                    <w:rPr>
                      <w:rFonts w:hint="eastAsia"/>
                    </w:rPr>
                    <w:t>1.62</w:t>
                  </w:r>
                </w:p>
              </w:tc>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E56CC">
                  <w:pPr>
                    <w:pStyle w:val="51"/>
                  </w:pPr>
                  <w:r>
                    <w:rPr>
                      <w:rFonts w:hint="eastAsia"/>
                    </w:rPr>
                    <w:t>1.76</w:t>
                  </w:r>
                </w:p>
              </w:tc>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49A83">
                  <w:pPr>
                    <w:pStyle w:val="51"/>
                  </w:pPr>
                  <w:r>
                    <w:rPr>
                      <w:rFonts w:hint="eastAsia"/>
                    </w:rPr>
                    <w:t>1.96</w:t>
                  </w:r>
                </w:p>
              </w:tc>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C87B97">
                  <w:pPr>
                    <w:pStyle w:val="51"/>
                  </w:pPr>
                  <w:r>
                    <w:rPr>
                      <w:rFonts w:hint="eastAsia"/>
                    </w:rPr>
                    <w:t>2.16</w:t>
                  </w:r>
                </w:p>
              </w:tc>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A2E31">
                  <w:pPr>
                    <w:pStyle w:val="51"/>
                  </w:pPr>
                  <w:r>
                    <w:rPr>
                      <w:rFonts w:hint="eastAsia"/>
                    </w:rPr>
                    <w:t>2.35</w:t>
                  </w:r>
                </w:p>
              </w:tc>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ADB94">
                  <w:pPr>
                    <w:pStyle w:val="51"/>
                  </w:pPr>
                  <w:r>
                    <w:rPr>
                      <w:rFonts w:hint="eastAsia"/>
                    </w:rPr>
                    <w:t>2.45</w:t>
                  </w:r>
                </w:p>
              </w:tc>
              <w:tc>
                <w:tcPr>
                  <w:tcW w:w="47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A968512">
                  <w:pPr>
                    <w:pStyle w:val="51"/>
                  </w:pPr>
                  <w:r>
                    <w:rPr>
                      <w:rFonts w:hint="eastAsia"/>
                    </w:rPr>
                    <w:t>2.45</w:t>
                  </w:r>
                </w:p>
              </w:tc>
            </w:tr>
            <w:tr w14:paraId="58EE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69"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3B897129">
                  <w:pPr>
                    <w:pStyle w:val="51"/>
                  </w:pPr>
                  <w:r>
                    <w:rPr>
                      <w:rFonts w:hint="eastAsia"/>
                    </w:rPr>
                    <w:t>静置压力（Mpa）</w:t>
                  </w:r>
                </w:p>
              </w:tc>
              <w:tc>
                <w:tcPr>
                  <w:tcW w:w="469"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22C6F52F">
                  <w:pPr>
                    <w:pStyle w:val="51"/>
                  </w:pPr>
                  <w:r>
                    <w:rPr>
                      <w:rFonts w:hint="eastAsia"/>
                    </w:rPr>
                    <w:t>0.88</w:t>
                  </w:r>
                </w:p>
              </w:tc>
              <w:tc>
                <w:tcPr>
                  <w:tcW w:w="469"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5B8C3E5">
                  <w:pPr>
                    <w:pStyle w:val="51"/>
                  </w:pPr>
                  <w:r>
                    <w:rPr>
                      <w:rFonts w:hint="eastAsia"/>
                    </w:rPr>
                    <w:t>1.00</w:t>
                  </w:r>
                </w:p>
              </w:tc>
              <w:tc>
                <w:tcPr>
                  <w:tcW w:w="469"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C400E64">
                  <w:pPr>
                    <w:pStyle w:val="51"/>
                  </w:pPr>
                  <w:r>
                    <w:rPr>
                      <w:rFonts w:hint="eastAsia"/>
                    </w:rPr>
                    <w:t>1.18</w:t>
                  </w:r>
                </w:p>
              </w:tc>
              <w:tc>
                <w:tcPr>
                  <w:tcW w:w="47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2075093E">
                  <w:pPr>
                    <w:pStyle w:val="51"/>
                  </w:pPr>
                  <w:r>
                    <w:rPr>
                      <w:rFonts w:hint="eastAsia"/>
                    </w:rPr>
                    <w:t>1.52</w:t>
                  </w:r>
                </w:p>
              </w:tc>
              <w:tc>
                <w:tcPr>
                  <w:tcW w:w="47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4F04D1D">
                  <w:pPr>
                    <w:pStyle w:val="51"/>
                  </w:pPr>
                  <w:r>
                    <w:rPr>
                      <w:rFonts w:hint="eastAsia"/>
                    </w:rPr>
                    <w:t>1.57</w:t>
                  </w:r>
                </w:p>
              </w:tc>
              <w:tc>
                <w:tcPr>
                  <w:tcW w:w="47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1CB3736">
                  <w:pPr>
                    <w:pStyle w:val="51"/>
                  </w:pPr>
                  <w:r>
                    <w:rPr>
                      <w:rFonts w:hint="eastAsia"/>
                    </w:rPr>
                    <w:t>1.76</w:t>
                  </w:r>
                </w:p>
              </w:tc>
              <w:tc>
                <w:tcPr>
                  <w:tcW w:w="47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C11FF1C">
                  <w:pPr>
                    <w:pStyle w:val="51"/>
                  </w:pPr>
                  <w:r>
                    <w:rPr>
                      <w:rFonts w:hint="eastAsia"/>
                    </w:rPr>
                    <w:t>1.96</w:t>
                  </w:r>
                </w:p>
              </w:tc>
              <w:tc>
                <w:tcPr>
                  <w:tcW w:w="47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974D5F9">
                  <w:pPr>
                    <w:pStyle w:val="51"/>
                  </w:pPr>
                  <w:r>
                    <w:rPr>
                      <w:rFonts w:hint="eastAsia"/>
                    </w:rPr>
                    <w:t>2.20</w:t>
                  </w:r>
                </w:p>
              </w:tc>
              <w:tc>
                <w:tcPr>
                  <w:tcW w:w="470"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72419496">
                  <w:pPr>
                    <w:pStyle w:val="51"/>
                  </w:pPr>
                  <w:r>
                    <w:rPr>
                      <w:rFonts w:hint="eastAsia"/>
                    </w:rPr>
                    <w:t>2.45</w:t>
                  </w:r>
                </w:p>
              </w:tc>
            </w:tr>
          </w:tbl>
          <w:p w14:paraId="42F15223">
            <w:pPr>
              <w:pStyle w:val="10"/>
              <w:spacing w:after="0"/>
              <w:ind w:firstLine="480"/>
              <w:rPr>
                <w:sz w:val="24"/>
                <w:szCs w:val="24"/>
              </w:rPr>
            </w:pPr>
            <w:r>
              <w:rPr>
                <w:rFonts w:hint="eastAsia"/>
                <w:sz w:val="24"/>
                <w:szCs w:val="24"/>
              </w:rPr>
              <w:t>二、丙酮补加工艺</w:t>
            </w:r>
          </w:p>
          <w:p w14:paraId="3EE8ECF8">
            <w:pPr>
              <w:pStyle w:val="10"/>
              <w:spacing w:after="0"/>
              <w:ind w:firstLine="480"/>
              <w:rPr>
                <w:sz w:val="24"/>
                <w:szCs w:val="24"/>
              </w:rPr>
            </w:pPr>
            <w:r>
              <w:rPr>
                <w:rFonts w:hint="eastAsia"/>
                <w:sz w:val="24"/>
                <w:szCs w:val="24"/>
              </w:rPr>
              <w:t>本项目采用丙酮溶解乙炔气，采用的丙酮补加装置由氮气瓶（压力源）、减压器、丙酮缓冲罐组成。</w:t>
            </w:r>
          </w:p>
          <w:p w14:paraId="08D7C149">
            <w:pPr>
              <w:pStyle w:val="10"/>
              <w:spacing w:after="0"/>
              <w:ind w:firstLine="480"/>
              <w:rPr>
                <w:sz w:val="24"/>
                <w:szCs w:val="24"/>
              </w:rPr>
            </w:pPr>
            <w:r>
              <w:rPr>
                <w:rFonts w:hint="eastAsia"/>
                <w:sz w:val="24"/>
                <w:szCs w:val="24"/>
              </w:rPr>
              <w:t>丙酮充装前先检查瓶体，并对瓶体进行称重，并对照瓶体标注的丙酮最大充装量确定本次重装量。</w:t>
            </w:r>
          </w:p>
          <w:p w14:paraId="581EC32B">
            <w:pPr>
              <w:pStyle w:val="10"/>
              <w:spacing w:after="0"/>
              <w:ind w:firstLine="480"/>
              <w:rPr>
                <w:sz w:val="24"/>
                <w:szCs w:val="24"/>
              </w:rPr>
            </w:pPr>
            <w:r>
              <w:rPr>
                <w:rFonts w:hint="eastAsia"/>
                <w:sz w:val="24"/>
                <w:szCs w:val="24"/>
              </w:rPr>
              <w:t>充装时先将经检验的乙炔瓶或新瓶（新瓶需按《溶解乙炔气瓶充装规定》5.2.3条各款规定进行氮气和乙炔置换。测定瓶内含氧量≤3%才能充装丙酮）与丙酮缓冲罐连接的软管连接，逐步打开氮气减压阀（氮气压力不超过0.5Mpa），同时打开丙酮输出阀，将丙酮贮槽内的丙酮缓缓压进乙炔瓶，注意观察槽内液位高度，同时注意乙炔瓶接头处是否渗漏丙酮，注意磅秤砝码起落，够量时立即关闭丙酮输出阀、关闭乙炔瓶头阀、关闭氮气阀完成充装。</w:t>
            </w:r>
          </w:p>
          <w:p w14:paraId="2F32248F">
            <w:pPr>
              <w:pStyle w:val="10"/>
              <w:spacing w:after="0"/>
              <w:ind w:firstLine="480"/>
              <w:rPr>
                <w:sz w:val="24"/>
                <w:szCs w:val="24"/>
              </w:rPr>
            </w:pPr>
            <w:r>
              <w:rPr>
                <w:rFonts w:hint="eastAsia"/>
                <w:sz w:val="24"/>
                <w:szCs w:val="24"/>
              </w:rPr>
              <w:t>三、工艺方框流程图：</w:t>
            </w:r>
          </w:p>
          <w:p w14:paraId="4BC51820">
            <w:pPr>
              <w:pStyle w:val="11"/>
              <w:ind w:left="0" w:leftChars="0" w:firstLine="0" w:firstLineChars="0"/>
            </w:pPr>
            <w:r>
              <w:drawing>
                <wp:inline distT="0" distB="0" distL="114300" distR="114300">
                  <wp:extent cx="5113655" cy="3321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120318" cy="3325351"/>
                          </a:xfrm>
                          <a:prstGeom prst="rect">
                            <a:avLst/>
                          </a:prstGeom>
                          <a:noFill/>
                          <a:ln>
                            <a:noFill/>
                          </a:ln>
                        </pic:spPr>
                      </pic:pic>
                    </a:graphicData>
                  </a:graphic>
                </wp:inline>
              </w:drawing>
            </w: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06"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9014" w:type="dxa"/>
            <w:gridSpan w:val="3"/>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5D345BA6">
      <w:pPr>
        <w:rPr>
          <w:rFonts w:hint="eastAsia" w:eastAsia="宋体"/>
          <w:lang w:eastAsia="zh-CN"/>
        </w:rPr>
      </w:pPr>
      <w:r>
        <w:br w:type="page"/>
      </w:r>
    </w:p>
    <w:p w14:paraId="58D3CBC5">
      <w:pPr>
        <w:rPr>
          <w:rFonts w:hint="eastAsia"/>
          <w:lang w:eastAsia="zh-CN"/>
        </w:rPr>
      </w:pPr>
    </w:p>
    <w:p w14:paraId="0A2220E2">
      <w:pPr>
        <w:rPr>
          <w:rFonts w:hint="eastAsia" w:eastAsia="宋体"/>
          <w:lang w:eastAsia="zh-CN"/>
        </w:rPr>
        <w:sectPr>
          <w:pgSz w:w="11906" w:h="16838"/>
          <w:pgMar w:top="1440" w:right="1800" w:bottom="1440" w:left="1800" w:header="851" w:footer="992" w:gutter="0"/>
          <w:cols w:space="720" w:num="1"/>
          <w:docGrid w:type="lines" w:linePitch="312" w:charSpace="0"/>
        </w:sectPr>
      </w:pPr>
      <w:r>
        <w:rPr>
          <w:rFonts w:hint="eastAsia" w:eastAsia="宋体"/>
          <w:lang w:eastAsia="zh-CN"/>
        </w:rPr>
        <w:drawing>
          <wp:inline distT="0" distB="0" distL="114300" distR="114300">
            <wp:extent cx="5233670" cy="3924935"/>
            <wp:effectExtent l="0" t="0" r="5080" b="18415"/>
            <wp:docPr id="2" name="图片 2" descr="13、现场勘察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现场勘察照片"/>
                    <pic:cNvPicPr>
                      <a:picLocks noChangeAspect="1"/>
                    </pic:cNvPicPr>
                  </pic:nvPicPr>
                  <pic:blipFill>
                    <a:blip r:embed="rId7"/>
                    <a:stretch>
                      <a:fillRect/>
                    </a:stretch>
                  </pic:blipFill>
                  <pic:spPr>
                    <a:xfrm>
                      <a:off x="0" y="0"/>
                      <a:ext cx="5233670" cy="3924935"/>
                    </a:xfrm>
                    <a:prstGeom prst="rect">
                      <a:avLst/>
                    </a:prstGeom>
                  </pic:spPr>
                </pic:pic>
              </a:graphicData>
            </a:graphic>
          </wp:inline>
        </w:drawing>
      </w:r>
      <w:r>
        <w:rPr>
          <w:rFonts w:hint="eastAsia" w:eastAsia="宋体"/>
          <w:lang w:eastAsia="zh-CN"/>
        </w:rPr>
        <w:drawing>
          <wp:inline distT="0" distB="0" distL="114300" distR="114300">
            <wp:extent cx="5233670" cy="3924935"/>
            <wp:effectExtent l="0" t="0" r="5080" b="18415"/>
            <wp:docPr id="3" name="图片 3" descr="14、现场勘察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现场勘察照片"/>
                    <pic:cNvPicPr>
                      <a:picLocks noChangeAspect="1"/>
                    </pic:cNvPicPr>
                  </pic:nvPicPr>
                  <pic:blipFill>
                    <a:blip r:embed="rId8"/>
                    <a:stretch>
                      <a:fillRect/>
                    </a:stretch>
                  </pic:blipFill>
                  <pic:spPr>
                    <a:xfrm>
                      <a:off x="0" y="0"/>
                      <a:ext cx="5233670" cy="3924935"/>
                    </a:xfrm>
                    <a:prstGeom prst="rect">
                      <a:avLst/>
                    </a:prstGeom>
                  </pic:spPr>
                </pic:pic>
              </a:graphicData>
            </a:graphic>
          </wp:inline>
        </w:drawing>
      </w:r>
    </w:p>
    <w:p w14:paraId="6D90DC4E">
      <w:r>
        <w:drawing>
          <wp:anchor distT="0" distB="0" distL="114300" distR="114300" simplePos="0" relativeHeight="251660288" behindDoc="0" locked="0" layoutInCell="1" allowOverlap="1">
            <wp:simplePos x="0" y="0"/>
            <wp:positionH relativeFrom="column">
              <wp:posOffset>-284480</wp:posOffset>
            </wp:positionH>
            <wp:positionV relativeFrom="paragraph">
              <wp:posOffset>187960</wp:posOffset>
            </wp:positionV>
            <wp:extent cx="5798185" cy="8212455"/>
            <wp:effectExtent l="0" t="0" r="12065" b="1714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798185" cy="8212455"/>
                    </a:xfrm>
                    <a:prstGeom prst="rect">
                      <a:avLst/>
                    </a:prstGeom>
                    <a:noFill/>
                    <a:ln>
                      <a:noFill/>
                    </a:ln>
                  </pic:spPr>
                </pic:pic>
              </a:graphicData>
            </a:graphic>
          </wp:anchor>
        </w:drawing>
      </w:r>
    </w:p>
    <w:p w14:paraId="33221B3D">
      <w:r>
        <w:br w:type="page"/>
      </w:r>
    </w:p>
    <w:p w14:paraId="6600AF64">
      <w:pPr>
        <w:bidi w:val="0"/>
        <w:rPr>
          <w:rFonts w:hint="eastAsia" w:ascii="Calibri" w:hAnsi="Calibri" w:eastAsia="宋体" w:cs="Times New Roman"/>
          <w:kern w:val="2"/>
          <w:sz w:val="21"/>
          <w:szCs w:val="24"/>
          <w:lang w:val="en-US" w:eastAsia="zh-CN" w:bidi="ar-SA"/>
        </w:rPr>
      </w:pPr>
      <w:r>
        <w:drawing>
          <wp:anchor distT="0" distB="0" distL="114300" distR="114300" simplePos="0" relativeHeight="251661312" behindDoc="1" locked="0" layoutInCell="1" allowOverlap="1">
            <wp:simplePos x="0" y="0"/>
            <wp:positionH relativeFrom="column">
              <wp:posOffset>-241935</wp:posOffset>
            </wp:positionH>
            <wp:positionV relativeFrom="paragraph">
              <wp:posOffset>149860</wp:posOffset>
            </wp:positionV>
            <wp:extent cx="5818505" cy="8241030"/>
            <wp:effectExtent l="0" t="0" r="10795" b="762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818505" cy="8241030"/>
                    </a:xfrm>
                    <a:prstGeom prst="rect">
                      <a:avLst/>
                    </a:prstGeom>
                    <a:noFill/>
                    <a:ln>
                      <a:noFill/>
                    </a:ln>
                  </pic:spPr>
                </pic:pic>
              </a:graphicData>
            </a:graphic>
          </wp:anchor>
        </w:drawing>
      </w:r>
    </w:p>
    <w:p w14:paraId="09B9134A">
      <w:pPr>
        <w:bidi w:val="0"/>
        <w:rPr>
          <w:rFonts w:hint="eastAsia"/>
          <w:lang w:val="en-US" w:eastAsia="zh-CN"/>
        </w:rPr>
      </w:pPr>
    </w:p>
    <w:p w14:paraId="0EEED2ED">
      <w:pPr>
        <w:bidi w:val="0"/>
        <w:rPr>
          <w:rFonts w:hint="eastAsia"/>
          <w:lang w:val="en-US" w:eastAsia="zh-CN"/>
        </w:rPr>
      </w:pPr>
    </w:p>
    <w:p w14:paraId="4E583D47">
      <w:pPr>
        <w:bidi w:val="0"/>
        <w:rPr>
          <w:rFonts w:hint="eastAsia"/>
          <w:lang w:val="en-US" w:eastAsia="zh-CN"/>
        </w:rPr>
      </w:pPr>
    </w:p>
    <w:p w14:paraId="25AC7DC9">
      <w:pPr>
        <w:bidi w:val="0"/>
        <w:rPr>
          <w:rFonts w:hint="eastAsia"/>
          <w:lang w:val="en-US" w:eastAsia="zh-CN"/>
        </w:rPr>
      </w:pPr>
    </w:p>
    <w:p w14:paraId="4A1BC186">
      <w:pPr>
        <w:bidi w:val="0"/>
        <w:rPr>
          <w:rFonts w:hint="eastAsia"/>
          <w:lang w:val="en-US" w:eastAsia="zh-CN"/>
        </w:rPr>
      </w:pPr>
    </w:p>
    <w:p w14:paraId="69704C02">
      <w:pPr>
        <w:bidi w:val="0"/>
        <w:rPr>
          <w:rFonts w:hint="eastAsia"/>
          <w:lang w:val="en-US" w:eastAsia="zh-CN"/>
        </w:rPr>
      </w:pPr>
    </w:p>
    <w:p w14:paraId="0CC65A41">
      <w:pPr>
        <w:bidi w:val="0"/>
        <w:rPr>
          <w:rFonts w:hint="eastAsia"/>
          <w:lang w:val="en-US" w:eastAsia="zh-CN"/>
        </w:rPr>
      </w:pPr>
    </w:p>
    <w:p w14:paraId="31AC7DA2">
      <w:pPr>
        <w:bidi w:val="0"/>
        <w:rPr>
          <w:rFonts w:hint="eastAsia"/>
          <w:lang w:val="en-US" w:eastAsia="zh-CN"/>
        </w:rPr>
      </w:pPr>
    </w:p>
    <w:p w14:paraId="13D8F14E">
      <w:pPr>
        <w:bidi w:val="0"/>
        <w:rPr>
          <w:rFonts w:hint="eastAsia"/>
          <w:lang w:val="en-US" w:eastAsia="zh-CN"/>
        </w:rPr>
      </w:pPr>
    </w:p>
    <w:p w14:paraId="040755C3">
      <w:pPr>
        <w:bidi w:val="0"/>
        <w:rPr>
          <w:rFonts w:hint="eastAsia"/>
          <w:lang w:val="en-US" w:eastAsia="zh-CN"/>
        </w:rPr>
      </w:pPr>
    </w:p>
    <w:p w14:paraId="01822338">
      <w:pPr>
        <w:bidi w:val="0"/>
        <w:rPr>
          <w:rFonts w:hint="eastAsia"/>
          <w:lang w:val="en-US" w:eastAsia="zh-CN"/>
        </w:rPr>
      </w:pPr>
    </w:p>
    <w:p w14:paraId="5F946E16">
      <w:pPr>
        <w:bidi w:val="0"/>
        <w:rPr>
          <w:rFonts w:hint="eastAsia"/>
          <w:lang w:val="en-US" w:eastAsia="zh-CN"/>
        </w:rPr>
      </w:pPr>
    </w:p>
    <w:p w14:paraId="5B169083">
      <w:pPr>
        <w:bidi w:val="0"/>
        <w:rPr>
          <w:rFonts w:hint="eastAsia"/>
          <w:lang w:val="en-US" w:eastAsia="zh-CN"/>
        </w:rPr>
      </w:pPr>
    </w:p>
    <w:p w14:paraId="3E196A7E">
      <w:pPr>
        <w:bidi w:val="0"/>
        <w:rPr>
          <w:rFonts w:hint="eastAsia"/>
          <w:lang w:val="en-US" w:eastAsia="zh-CN"/>
        </w:rPr>
      </w:pPr>
    </w:p>
    <w:p w14:paraId="40392E43">
      <w:pPr>
        <w:bidi w:val="0"/>
        <w:rPr>
          <w:rFonts w:hint="eastAsia"/>
          <w:lang w:val="en-US" w:eastAsia="zh-CN"/>
        </w:rPr>
      </w:pPr>
    </w:p>
    <w:p w14:paraId="4B7C20FE">
      <w:pPr>
        <w:bidi w:val="0"/>
        <w:rPr>
          <w:rFonts w:hint="eastAsia"/>
          <w:lang w:val="en-US" w:eastAsia="zh-CN"/>
        </w:rPr>
      </w:pPr>
    </w:p>
    <w:p w14:paraId="31E5D551">
      <w:pPr>
        <w:bidi w:val="0"/>
        <w:rPr>
          <w:rFonts w:hint="eastAsia"/>
          <w:lang w:val="en-US" w:eastAsia="zh-CN"/>
        </w:rPr>
      </w:pPr>
    </w:p>
    <w:p w14:paraId="6825093C">
      <w:pPr>
        <w:bidi w:val="0"/>
        <w:rPr>
          <w:rFonts w:hint="eastAsia"/>
          <w:lang w:val="en-US" w:eastAsia="zh-CN"/>
        </w:rPr>
      </w:pPr>
    </w:p>
    <w:p w14:paraId="4CC5CA79">
      <w:pPr>
        <w:bidi w:val="0"/>
        <w:rPr>
          <w:rFonts w:hint="eastAsia"/>
          <w:lang w:val="en-US" w:eastAsia="zh-CN"/>
        </w:rPr>
      </w:pPr>
    </w:p>
    <w:p w14:paraId="5C07367F">
      <w:pPr>
        <w:bidi w:val="0"/>
        <w:rPr>
          <w:rFonts w:hint="eastAsia"/>
          <w:lang w:val="en-US" w:eastAsia="zh-CN"/>
        </w:rPr>
      </w:pPr>
    </w:p>
    <w:p w14:paraId="396593D8">
      <w:pPr>
        <w:bidi w:val="0"/>
        <w:rPr>
          <w:rFonts w:hint="eastAsia"/>
          <w:lang w:val="en-US" w:eastAsia="zh-CN"/>
        </w:rPr>
      </w:pPr>
    </w:p>
    <w:p w14:paraId="5F9A031C">
      <w:pPr>
        <w:bidi w:val="0"/>
        <w:rPr>
          <w:rFonts w:hint="eastAsia"/>
          <w:lang w:val="en-US" w:eastAsia="zh-CN"/>
        </w:rPr>
      </w:pPr>
    </w:p>
    <w:p w14:paraId="73BA30D3">
      <w:pPr>
        <w:bidi w:val="0"/>
        <w:rPr>
          <w:rFonts w:hint="eastAsia"/>
          <w:lang w:val="en-US" w:eastAsia="zh-CN"/>
        </w:rPr>
      </w:pPr>
    </w:p>
    <w:p w14:paraId="4C7DDCD8">
      <w:pPr>
        <w:bidi w:val="0"/>
        <w:rPr>
          <w:rFonts w:hint="eastAsia"/>
          <w:lang w:val="en-US" w:eastAsia="zh-CN"/>
        </w:rPr>
      </w:pPr>
    </w:p>
    <w:p w14:paraId="55D79217">
      <w:pPr>
        <w:bidi w:val="0"/>
        <w:rPr>
          <w:rFonts w:hint="eastAsia"/>
          <w:lang w:val="en-US" w:eastAsia="zh-CN"/>
        </w:rPr>
      </w:pPr>
    </w:p>
    <w:p w14:paraId="01B4CCA7">
      <w:pPr>
        <w:bidi w:val="0"/>
        <w:rPr>
          <w:rFonts w:hint="eastAsia"/>
          <w:lang w:val="en-US" w:eastAsia="zh-CN"/>
        </w:rPr>
      </w:pPr>
    </w:p>
    <w:p w14:paraId="19DA38EE">
      <w:pPr>
        <w:bidi w:val="0"/>
        <w:rPr>
          <w:rFonts w:hint="eastAsia"/>
          <w:lang w:val="en-US" w:eastAsia="zh-CN"/>
        </w:rPr>
      </w:pPr>
    </w:p>
    <w:p w14:paraId="0C4DE79C">
      <w:pPr>
        <w:bidi w:val="0"/>
        <w:rPr>
          <w:rFonts w:hint="eastAsia"/>
          <w:lang w:val="en-US" w:eastAsia="zh-CN"/>
        </w:rPr>
      </w:pPr>
    </w:p>
    <w:p w14:paraId="1D824D74">
      <w:pPr>
        <w:bidi w:val="0"/>
        <w:rPr>
          <w:rFonts w:hint="eastAsia"/>
          <w:lang w:val="en-US" w:eastAsia="zh-CN"/>
        </w:rPr>
      </w:pPr>
    </w:p>
    <w:p w14:paraId="70950666">
      <w:pPr>
        <w:bidi w:val="0"/>
        <w:rPr>
          <w:rFonts w:hint="eastAsia"/>
          <w:lang w:val="en-US" w:eastAsia="zh-CN"/>
        </w:rPr>
      </w:pPr>
    </w:p>
    <w:p w14:paraId="64078525">
      <w:pPr>
        <w:bidi w:val="0"/>
        <w:rPr>
          <w:rFonts w:hint="eastAsia"/>
          <w:lang w:val="en-US" w:eastAsia="zh-CN"/>
        </w:rPr>
      </w:pPr>
    </w:p>
    <w:p w14:paraId="08DC5A55">
      <w:pPr>
        <w:bidi w:val="0"/>
        <w:rPr>
          <w:rFonts w:hint="eastAsia"/>
          <w:lang w:val="en-US" w:eastAsia="zh-CN"/>
        </w:rPr>
      </w:pPr>
    </w:p>
    <w:p w14:paraId="00AA1357">
      <w:pPr>
        <w:bidi w:val="0"/>
        <w:rPr>
          <w:rFonts w:hint="eastAsia"/>
          <w:lang w:val="en-US" w:eastAsia="zh-CN"/>
        </w:rPr>
      </w:pPr>
    </w:p>
    <w:p w14:paraId="416A241C">
      <w:pPr>
        <w:bidi w:val="0"/>
        <w:rPr>
          <w:rFonts w:hint="eastAsia"/>
          <w:lang w:val="en-US" w:eastAsia="zh-CN"/>
        </w:rPr>
      </w:pPr>
    </w:p>
    <w:p w14:paraId="2D7B09EB">
      <w:pPr>
        <w:bidi w:val="0"/>
        <w:rPr>
          <w:rFonts w:hint="eastAsia"/>
          <w:lang w:val="en-US" w:eastAsia="zh-CN"/>
        </w:rPr>
      </w:pPr>
    </w:p>
    <w:p w14:paraId="1C5CC387">
      <w:pPr>
        <w:bidi w:val="0"/>
        <w:rPr>
          <w:rFonts w:hint="eastAsia"/>
          <w:lang w:val="en-US" w:eastAsia="zh-CN"/>
        </w:rPr>
      </w:pPr>
    </w:p>
    <w:p w14:paraId="5FA20C3B">
      <w:pPr>
        <w:bidi w:val="0"/>
        <w:rPr>
          <w:rFonts w:hint="eastAsia"/>
          <w:lang w:val="en-US" w:eastAsia="zh-CN"/>
        </w:rPr>
      </w:pPr>
    </w:p>
    <w:p w14:paraId="5BFD71E0">
      <w:pPr>
        <w:bidi w:val="0"/>
        <w:rPr>
          <w:rFonts w:hint="eastAsia"/>
          <w:lang w:val="en-US" w:eastAsia="zh-CN"/>
        </w:rPr>
      </w:pPr>
    </w:p>
    <w:p w14:paraId="6BCC38BB">
      <w:pPr>
        <w:bidi w:val="0"/>
        <w:rPr>
          <w:rFonts w:hint="eastAsia"/>
          <w:lang w:val="en-US" w:eastAsia="zh-CN"/>
        </w:rPr>
      </w:pPr>
    </w:p>
    <w:p w14:paraId="0517CFC7">
      <w:pPr>
        <w:bidi w:val="0"/>
        <w:rPr>
          <w:rFonts w:hint="eastAsia"/>
          <w:lang w:val="en-US" w:eastAsia="zh-CN"/>
        </w:rPr>
      </w:pPr>
    </w:p>
    <w:p w14:paraId="2951D712">
      <w:pPr>
        <w:bidi w:val="0"/>
        <w:rPr>
          <w:rFonts w:hint="eastAsia"/>
          <w:lang w:val="en-US" w:eastAsia="zh-CN"/>
        </w:rPr>
      </w:pPr>
    </w:p>
    <w:p w14:paraId="5D1A081B">
      <w:pPr>
        <w:bidi w:val="0"/>
        <w:rPr>
          <w:rFonts w:hint="eastAsia"/>
          <w:lang w:val="en-US" w:eastAsia="zh-CN"/>
        </w:rPr>
      </w:pPr>
    </w:p>
    <w:p w14:paraId="2378B6F3">
      <w:pPr>
        <w:rPr>
          <w:rFonts w:hint="eastAsia"/>
          <w:lang w:val="en-US" w:eastAsia="zh-CN"/>
        </w:rPr>
      </w:pPr>
      <w:r>
        <w:rPr>
          <w:rFonts w:hint="eastAsia"/>
          <w:lang w:val="en-US" w:eastAsia="zh-CN"/>
        </w:rPr>
        <w:br w:type="page"/>
      </w:r>
    </w:p>
    <w:p w14:paraId="6B960FC9">
      <w:pPr>
        <w:pStyle w:val="10"/>
        <w:rPr>
          <w:rFonts w:hint="eastAsia"/>
          <w:lang w:val="en-US" w:eastAsia="zh-CN"/>
        </w:rPr>
      </w:pPr>
      <w:r>
        <w:drawing>
          <wp:anchor distT="0" distB="0" distL="114300" distR="114300" simplePos="0" relativeHeight="251659264" behindDoc="0" locked="0" layoutInCell="1" allowOverlap="1">
            <wp:simplePos x="0" y="0"/>
            <wp:positionH relativeFrom="column">
              <wp:posOffset>-389890</wp:posOffset>
            </wp:positionH>
            <wp:positionV relativeFrom="paragraph">
              <wp:posOffset>124460</wp:posOffset>
            </wp:positionV>
            <wp:extent cx="6004560" cy="8488045"/>
            <wp:effectExtent l="0" t="0" r="15240" b="825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6004560" cy="8488045"/>
                    </a:xfrm>
                    <a:prstGeom prst="rect">
                      <a:avLst/>
                    </a:prstGeom>
                    <a:noFill/>
                    <a:ln>
                      <a:noFill/>
                    </a:ln>
                  </pic:spPr>
                </pic:pic>
              </a:graphicData>
            </a:graphic>
          </wp:anchor>
        </w:drawing>
      </w:r>
    </w:p>
    <w:p w14:paraId="012FAA69">
      <w:r>
        <w:br w:type="page"/>
      </w:r>
    </w:p>
    <w:p w14:paraId="6236FC4C"/>
    <w:p w14:paraId="74E6BE4A">
      <w:pPr>
        <w:rPr>
          <w:rFonts w:hint="eastAsia"/>
          <w:lang w:eastAsia="zh-CN"/>
        </w:rPr>
      </w:pPr>
      <w:r>
        <w:drawing>
          <wp:anchor distT="0" distB="0" distL="114300" distR="114300" simplePos="0" relativeHeight="251661312" behindDoc="0" locked="0" layoutInCell="1" allowOverlap="1">
            <wp:simplePos x="0" y="0"/>
            <wp:positionH relativeFrom="column">
              <wp:posOffset>-156845</wp:posOffset>
            </wp:positionH>
            <wp:positionV relativeFrom="paragraph">
              <wp:posOffset>88265</wp:posOffset>
            </wp:positionV>
            <wp:extent cx="5638800" cy="7989570"/>
            <wp:effectExtent l="0" t="0" r="0" b="1143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638800" cy="7989570"/>
                    </a:xfrm>
                    <a:prstGeom prst="rect">
                      <a:avLst/>
                    </a:prstGeom>
                    <a:noFill/>
                    <a:ln>
                      <a:noFill/>
                    </a:ln>
                  </pic:spPr>
                </pic:pic>
              </a:graphicData>
            </a:graphic>
          </wp:anchor>
        </w:drawing>
      </w:r>
      <w:r>
        <w:rPr>
          <w:rFonts w:hint="eastAsia"/>
          <w:lang w:eastAsia="zh-CN"/>
        </w:rPr>
        <w:br w:type="page"/>
      </w:r>
    </w:p>
    <w:p w14:paraId="3063B77D">
      <w:pPr>
        <w:rPr>
          <w:rFonts w:hint="eastAsia"/>
          <w:lang w:eastAsia="zh-CN"/>
        </w:rPr>
      </w:pPr>
      <w:r>
        <w:drawing>
          <wp:anchor distT="0" distB="0" distL="114300" distR="114300" simplePos="0" relativeHeight="251662336" behindDoc="0" locked="0" layoutInCell="1" allowOverlap="1">
            <wp:simplePos x="0" y="0"/>
            <wp:positionH relativeFrom="column">
              <wp:posOffset>-426085</wp:posOffset>
            </wp:positionH>
            <wp:positionV relativeFrom="paragraph">
              <wp:posOffset>120015</wp:posOffset>
            </wp:positionV>
            <wp:extent cx="6022975" cy="8532495"/>
            <wp:effectExtent l="0" t="0" r="15875" b="1905"/>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6022975" cy="8532495"/>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00000287" w:usb1="00000000" w:usb2="00000000" w:usb3="00000000" w:csb0="4000009F" w:csb1="DFD7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0287" w:usb1="00000000" w:usb2="00000000" w:usb3="00000000" w:csb0="4000009F" w:csb1="DFD7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0287" w:usb1="00000000" w:usb2="00000000" w:usb3="00000000" w:csb0="4000009F" w:csb1="DFD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6"/>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7E7A8F"/>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1055C5A"/>
    <w:rsid w:val="3256187C"/>
    <w:rsid w:val="3259568C"/>
    <w:rsid w:val="32A66941"/>
    <w:rsid w:val="334B2415"/>
    <w:rsid w:val="339918AA"/>
    <w:rsid w:val="33BD2F62"/>
    <w:rsid w:val="341F407D"/>
    <w:rsid w:val="34A214B2"/>
    <w:rsid w:val="34BD4A82"/>
    <w:rsid w:val="351530F3"/>
    <w:rsid w:val="35211925"/>
    <w:rsid w:val="35524794"/>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1DD560D"/>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4BA1C16"/>
    <w:rsid w:val="563D2137"/>
    <w:rsid w:val="56836AB2"/>
    <w:rsid w:val="56BC2DE3"/>
    <w:rsid w:val="56D42C4D"/>
    <w:rsid w:val="57301D47"/>
    <w:rsid w:val="57487036"/>
    <w:rsid w:val="575D6537"/>
    <w:rsid w:val="577B3C9E"/>
    <w:rsid w:val="57800B40"/>
    <w:rsid w:val="57CD2DFE"/>
    <w:rsid w:val="58244FE5"/>
    <w:rsid w:val="584B13F6"/>
    <w:rsid w:val="59217B49"/>
    <w:rsid w:val="59656964"/>
    <w:rsid w:val="59D926D2"/>
    <w:rsid w:val="5A034680"/>
    <w:rsid w:val="5AA52A54"/>
    <w:rsid w:val="5BC05975"/>
    <w:rsid w:val="5BD743DE"/>
    <w:rsid w:val="5C063400"/>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B96559"/>
    <w:rsid w:val="7C210095"/>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autoRedefine/>
    <w:unhideWhenUsed/>
    <w:qFormat/>
    <w:uiPriority w:val="0"/>
    <w:pPr>
      <w:keepNext/>
      <w:keepLines/>
      <w:outlineLvl w:val="3"/>
    </w:pPr>
    <w:rPr>
      <w:b/>
    </w:rPr>
  </w:style>
  <w:style w:type="character" w:default="1" w:styleId="26">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1"/>
    <w:basedOn w:val="3"/>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3">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styleId="8">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annotation text"/>
    <w:basedOn w:val="1"/>
    <w:qFormat/>
    <w:uiPriority w:val="0"/>
    <w:pPr>
      <w:jc w:val="left"/>
    </w:pPr>
  </w:style>
  <w:style w:type="paragraph" w:styleId="10">
    <w:name w:val="Body Text"/>
    <w:basedOn w:val="1"/>
    <w:next w:val="1"/>
    <w:autoRedefine/>
    <w:qFormat/>
    <w:uiPriority w:val="99"/>
    <w:rPr>
      <w:sz w:val="28"/>
      <w:szCs w:val="28"/>
    </w:rPr>
  </w:style>
  <w:style w:type="paragraph" w:styleId="11">
    <w:name w:val="Body Text Indent"/>
    <w:basedOn w:val="1"/>
    <w:next w:val="10"/>
    <w:autoRedefine/>
    <w:unhideWhenUsed/>
    <w:qFormat/>
    <w:uiPriority w:val="99"/>
    <w:pPr>
      <w:spacing w:after="120"/>
      <w:ind w:left="420" w:leftChars="200"/>
    </w:pPr>
  </w:style>
  <w:style w:type="paragraph" w:styleId="12">
    <w:name w:val="toc 5"/>
    <w:basedOn w:val="1"/>
    <w:next w:val="1"/>
    <w:autoRedefine/>
    <w:semiHidden/>
    <w:qFormat/>
    <w:uiPriority w:val="0"/>
    <w:pPr>
      <w:ind w:left="1120"/>
      <w:jc w:val="left"/>
    </w:pPr>
    <w:rPr>
      <w:sz w:val="18"/>
      <w:szCs w:val="18"/>
    </w:rPr>
  </w:style>
  <w:style w:type="paragraph" w:styleId="13">
    <w:name w:val="Plain Text"/>
    <w:basedOn w:val="1"/>
    <w:autoRedefine/>
    <w:qFormat/>
    <w:uiPriority w:val="0"/>
    <w:rPr>
      <w:rFonts w:ascii="宋体" w:hAnsi="Courier New" w:cs="Courier New"/>
      <w:szCs w:val="21"/>
    </w:rPr>
  </w:style>
  <w:style w:type="paragraph" w:styleId="14">
    <w:name w:val="Date"/>
    <w:basedOn w:val="1"/>
    <w:next w:val="1"/>
    <w:link w:val="50"/>
    <w:autoRedefine/>
    <w:qFormat/>
    <w:uiPriority w:val="0"/>
    <w:pPr>
      <w:ind w:left="100" w:leftChars="2500"/>
    </w:pPr>
    <w:rPr>
      <w:rFonts w:ascii="Times New Roman" w:hAnsi="Times New Roman"/>
      <w:b/>
      <w:bCs/>
      <w:sz w:val="28"/>
    </w:rPr>
  </w:style>
  <w:style w:type="paragraph" w:styleId="15">
    <w:name w:val="Body Text Indent 2"/>
    <w:basedOn w:val="1"/>
    <w:autoRedefine/>
    <w:qFormat/>
    <w:uiPriority w:val="0"/>
    <w:pPr>
      <w:ind w:firstLine="538" w:firstLineChars="192"/>
    </w:pPr>
    <w:rPr>
      <w:rFonts w:ascii="宋体" w:hAnsi="宋体"/>
      <w:sz w:val="28"/>
    </w:rPr>
  </w:style>
  <w:style w:type="paragraph" w:styleId="16">
    <w:name w:val="Balloon Text"/>
    <w:basedOn w:val="1"/>
    <w:link w:val="36"/>
    <w:autoRedefine/>
    <w:qFormat/>
    <w:uiPriority w:val="0"/>
    <w:rPr>
      <w:sz w:val="18"/>
      <w:szCs w:val="18"/>
    </w:rPr>
  </w:style>
  <w:style w:type="paragraph" w:styleId="17">
    <w:name w:val="footer"/>
    <w:basedOn w:val="1"/>
    <w:autoRedefine/>
    <w:qFormat/>
    <w:uiPriority w:val="99"/>
    <w:pPr>
      <w:tabs>
        <w:tab w:val="center" w:pos="4153"/>
        <w:tab w:val="right" w:pos="8306"/>
      </w:tabs>
      <w:snapToGrid w:val="0"/>
    </w:pPr>
    <w:rPr>
      <w:sz w:val="18"/>
      <w:szCs w:val="18"/>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Normal (Web)"/>
    <w:basedOn w:val="1"/>
    <w:next w:val="22"/>
    <w:autoRedefine/>
    <w:qFormat/>
    <w:uiPriority w:val="0"/>
    <w:pPr>
      <w:spacing w:before="100" w:beforeAutospacing="1" w:after="100" w:afterAutospacing="1"/>
      <w:jc w:val="left"/>
    </w:pPr>
    <w:rPr>
      <w:kern w:val="0"/>
      <w:sz w:val="24"/>
    </w:rPr>
  </w:style>
  <w:style w:type="paragraph" w:customStyle="1" w:styleId="22">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23">
    <w:name w:val="Body Text First Indent"/>
    <w:basedOn w:val="10"/>
    <w:next w:val="1"/>
    <w:autoRedefine/>
    <w:qFormat/>
    <w:uiPriority w:val="0"/>
    <w:pPr>
      <w:spacing w:after="120"/>
      <w:ind w:firstLine="420" w:firstLineChars="100"/>
    </w:pPr>
  </w:style>
  <w:style w:type="paragraph" w:styleId="24">
    <w:name w:val="Body Text First Indent 2"/>
    <w:basedOn w:val="10"/>
    <w:next w:val="1"/>
    <w:autoRedefine/>
    <w:unhideWhenUsed/>
    <w:qFormat/>
    <w:uiPriority w:val="99"/>
    <w:pPr>
      <w:ind w:firstLine="420" w:firstLineChars="200"/>
    </w:pPr>
  </w:style>
  <w:style w:type="character" w:styleId="27">
    <w:name w:val="annotation reference"/>
    <w:qFormat/>
    <w:uiPriority w:val="0"/>
    <w:rPr>
      <w:sz w:val="21"/>
      <w:szCs w:val="21"/>
    </w:rPr>
  </w:style>
  <w:style w:type="paragraph" w:customStyle="1" w:styleId="28">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Default"/>
    <w:basedOn w:val="30"/>
    <w:next w:val="24"/>
    <w:autoRedefine/>
    <w:qFormat/>
    <w:uiPriority w:val="0"/>
    <w:pPr>
      <w:autoSpaceDE w:val="0"/>
      <w:autoSpaceDN w:val="0"/>
    </w:pPr>
    <w:rPr>
      <w:rFonts w:hint="eastAsia" w:ascii="宋体"/>
      <w:sz w:val="24"/>
    </w:rPr>
  </w:style>
  <w:style w:type="paragraph" w:customStyle="1" w:styleId="30">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1">
    <w:name w:val="正文2"/>
    <w:basedOn w:val="1"/>
    <w:autoRedefine/>
    <w:qFormat/>
    <w:uiPriority w:val="0"/>
    <w:pPr>
      <w:spacing w:line="440" w:lineRule="atLeast"/>
      <w:ind w:firstLine="567"/>
    </w:pPr>
    <w:rPr>
      <w:sz w:val="24"/>
      <w:szCs w:val="20"/>
    </w:rPr>
  </w:style>
  <w:style w:type="paragraph" w:customStyle="1" w:styleId="32">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3">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4">
    <w:name w:val="样式 标题 2"/>
    <w:basedOn w:val="5"/>
    <w:autoRedefine/>
    <w:qFormat/>
    <w:uiPriority w:val="0"/>
    <w:pPr>
      <w:spacing w:beforeLines="0" w:afterLines="0"/>
    </w:pPr>
    <w:rPr>
      <w:rFonts w:ascii="Arial" w:hAnsi="Arial" w:eastAsia="宋体" w:cs="宋体"/>
      <w:snapToGrid/>
      <w:kern w:val="2"/>
      <w:szCs w:val="32"/>
      <w:lang w:val="zh-CN"/>
    </w:rPr>
  </w:style>
  <w:style w:type="paragraph" w:customStyle="1" w:styleId="35">
    <w:name w:val="p0"/>
    <w:basedOn w:val="1"/>
    <w:autoRedefine/>
    <w:qFormat/>
    <w:uiPriority w:val="0"/>
    <w:pPr>
      <w:widowControl/>
    </w:pPr>
    <w:rPr>
      <w:kern w:val="0"/>
      <w:szCs w:val="21"/>
    </w:rPr>
  </w:style>
  <w:style w:type="character" w:customStyle="1" w:styleId="36">
    <w:name w:val="批注框文本 字符"/>
    <w:basedOn w:val="26"/>
    <w:link w:val="16"/>
    <w:autoRedefine/>
    <w:qFormat/>
    <w:uiPriority w:val="0"/>
    <w:rPr>
      <w:rFonts w:ascii="Calibri" w:hAnsi="Calibri"/>
      <w:kern w:val="2"/>
      <w:sz w:val="18"/>
      <w:szCs w:val="18"/>
    </w:rPr>
  </w:style>
  <w:style w:type="paragraph" w:customStyle="1" w:styleId="37">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8">
    <w:name w:val="表头 Char Char Char"/>
    <w:basedOn w:val="26"/>
    <w:autoRedefine/>
    <w:qFormat/>
    <w:uiPriority w:val="0"/>
    <w:rPr>
      <w:rFonts w:ascii="宋体" w:hAnsi="Tahoma" w:eastAsia="宋体"/>
      <w:snapToGrid w:val="0"/>
      <w:spacing w:val="6"/>
      <w:kern w:val="10"/>
      <w:sz w:val="24"/>
    </w:rPr>
  </w:style>
  <w:style w:type="paragraph" w:customStyle="1" w:styleId="39">
    <w:name w:val="表格居中"/>
    <w:basedOn w:val="40"/>
    <w:autoRedefine/>
    <w:qFormat/>
    <w:uiPriority w:val="0"/>
    <w:pPr>
      <w:jc w:val="center"/>
    </w:pPr>
  </w:style>
  <w:style w:type="paragraph" w:customStyle="1" w:styleId="40">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1">
    <w:name w:val="伟灿工贸-表格文字"/>
    <w:basedOn w:val="1"/>
    <w:autoRedefine/>
    <w:qFormat/>
    <w:uiPriority w:val="0"/>
    <w:pPr>
      <w:jc w:val="center"/>
    </w:pPr>
    <w:rPr>
      <w:rFonts w:hint="eastAsia" w:ascii="宋体" w:hAnsi="宋体" w:cs="宋体"/>
      <w:szCs w:val="21"/>
    </w:rPr>
  </w:style>
  <w:style w:type="paragraph" w:customStyle="1" w:styleId="42">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3">
    <w:name w:val="表名、图名"/>
    <w:basedOn w:val="1"/>
    <w:next w:val="1"/>
    <w:autoRedefine/>
    <w:qFormat/>
    <w:uiPriority w:val="0"/>
    <w:pPr>
      <w:jc w:val="center"/>
    </w:pPr>
    <w:rPr>
      <w:b/>
      <w:bCs/>
    </w:rPr>
  </w:style>
  <w:style w:type="paragraph" w:customStyle="1" w:styleId="44">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5">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6">
    <w:name w:val="工艺序号"/>
    <w:basedOn w:val="1"/>
    <w:autoRedefine/>
    <w:qFormat/>
    <w:uiPriority w:val="0"/>
    <w:pPr>
      <w:numPr>
        <w:ilvl w:val="0"/>
        <w:numId w:val="1"/>
      </w:numPr>
    </w:pPr>
    <w:rPr>
      <w:b/>
      <w:bCs/>
    </w:rPr>
  </w:style>
  <w:style w:type="paragraph" w:customStyle="1" w:styleId="47">
    <w:name w:val="伟灿-表格文字"/>
    <w:basedOn w:val="1"/>
    <w:autoRedefine/>
    <w:qFormat/>
    <w:uiPriority w:val="0"/>
    <w:pPr>
      <w:jc w:val="center"/>
    </w:pPr>
    <w:rPr>
      <w:rFonts w:hint="eastAsia" w:ascii="宋体" w:hAnsi="宋体" w:cs="宋体"/>
      <w:szCs w:val="21"/>
    </w:rPr>
  </w:style>
  <w:style w:type="paragraph" w:styleId="48">
    <w:name w:val="List Paragraph"/>
    <w:basedOn w:val="1"/>
    <w:autoRedefine/>
    <w:qFormat/>
    <w:uiPriority w:val="99"/>
    <w:pPr>
      <w:ind w:firstLine="420" w:firstLineChars="200"/>
    </w:pPr>
  </w:style>
  <w:style w:type="paragraph" w:customStyle="1" w:styleId="49">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0">
    <w:name w:val="日期 字符"/>
    <w:basedOn w:val="26"/>
    <w:link w:val="14"/>
    <w:autoRedefine/>
    <w:qFormat/>
    <w:uiPriority w:val="0"/>
    <w:rPr>
      <w:b/>
      <w:bCs/>
      <w:kern w:val="2"/>
      <w:sz w:val="28"/>
      <w:szCs w:val="24"/>
    </w:rPr>
  </w:style>
  <w:style w:type="paragraph" w:customStyle="1" w:styleId="51">
    <w:name w:val="表格字体"/>
    <w:qFormat/>
    <w:uiPriority w:val="0"/>
    <w:pPr>
      <w:widowControl w:val="0"/>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9</Pages>
  <Words>1762</Words>
  <Characters>2100</Characters>
  <Lines>8</Lines>
  <Paragraphs>2</Paragraphs>
  <TotalTime>0</TotalTime>
  <ScaleCrop>false</ScaleCrop>
  <LinksUpToDate>false</LinksUpToDate>
  <CharactersWithSpaces>2104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IP</cp:lastModifiedBy>
  <dcterms:modified xsi:type="dcterms:W3CDTF">2025-12-31T03:57:31Z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6DB254749C5C46A4A94058050D7F8BC6_13</vt:lpwstr>
  </property>
  <property fmtid="{D5CDD505-2E9C-101B-9397-08002B2CF9AE}" pid="4" name="KSOTemplateDocerSaveRecord">
    <vt:lpwstr>eyJoZGlkIjoiYzJmYThmZTViOGE1ZWVkN2ZmYjcyMzk1NTlmNjQ2YjIiLCJ1c2VySWQiOiI0OTA1OTA4NjAifQ==</vt:lpwstr>
  </property>
</Properties>
</file>