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7"/>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94"/>
        <w:gridCol w:w="5612"/>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江西省永铸机械制造有限公司永铸机械制造上饶市广信区茶亭经开区汽车配件铸件矿山设备配件铸件项目安全预评价报告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94"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12"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94"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cs="Times New Roman"/>
                <w:sz w:val="24"/>
                <w:szCs w:val="24"/>
                <w:lang w:val="en-US" w:eastAsia="zh-CN"/>
              </w:rPr>
              <w:t>谢雨飞</w:t>
            </w:r>
          </w:p>
        </w:tc>
        <w:tc>
          <w:tcPr>
            <w:tcW w:w="5612" w:type="dxa"/>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CAWS350000230200227</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043378</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94"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5612"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94"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张志辉</w:t>
            </w:r>
          </w:p>
        </w:tc>
        <w:tc>
          <w:tcPr>
            <w:tcW w:w="5612"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94" w:type="dxa"/>
            <w:tcBorders>
              <w:tl2br w:val="nil"/>
              <w:tr2bl w:val="nil"/>
            </w:tcBorders>
            <w:shd w:val="clear" w:color="auto" w:fill="auto"/>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赵云峰</w:t>
            </w:r>
          </w:p>
        </w:tc>
        <w:tc>
          <w:tcPr>
            <w:tcW w:w="5612" w:type="dxa"/>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1600000000200809</w:t>
            </w:r>
          </w:p>
        </w:tc>
        <w:tc>
          <w:tcPr>
            <w:tcW w:w="2508"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030095</w:t>
            </w:r>
          </w:p>
        </w:tc>
      </w:tr>
      <w:tr w14:paraId="1528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508A8B0">
            <w:pPr>
              <w:jc w:val="center"/>
              <w:rPr>
                <w:rFonts w:ascii="宋体" w:hAnsi="宋体" w:cs="宋体"/>
                <w:sz w:val="24"/>
              </w:rPr>
            </w:pPr>
          </w:p>
        </w:tc>
        <w:tc>
          <w:tcPr>
            <w:tcW w:w="894" w:type="dxa"/>
            <w:tcBorders>
              <w:tl2br w:val="nil"/>
              <w:tr2bl w:val="nil"/>
            </w:tcBorders>
            <w:shd w:val="clear" w:color="auto" w:fill="auto"/>
            <w:vAlign w:val="center"/>
          </w:tcPr>
          <w:p w14:paraId="3A5D6A30">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12" w:type="dxa"/>
            <w:tcBorders>
              <w:tl2br w:val="nil"/>
              <w:tr2bl w:val="nil"/>
            </w:tcBorders>
            <w:shd w:val="clear" w:color="auto" w:fill="auto"/>
            <w:vAlign w:val="center"/>
          </w:tcPr>
          <w:p w14:paraId="197FC94C">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auto"/>
            <w:vAlign w:val="center"/>
          </w:tcPr>
          <w:p w14:paraId="0832441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405ED5AD">
            <w:pPr>
              <w:jc w:val="center"/>
              <w:rPr>
                <w:rFonts w:ascii="宋体" w:hAnsi="宋体" w:cs="宋体"/>
                <w:sz w:val="24"/>
              </w:rPr>
            </w:pPr>
          </w:p>
        </w:tc>
        <w:tc>
          <w:tcPr>
            <w:tcW w:w="894" w:type="dxa"/>
            <w:tcBorders>
              <w:tl2br w:val="nil"/>
              <w:tr2bl w:val="nil"/>
            </w:tcBorders>
            <w:shd w:val="clear" w:color="auto" w:fill="auto"/>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王静</w:t>
            </w:r>
          </w:p>
        </w:tc>
        <w:tc>
          <w:tcPr>
            <w:tcW w:w="5612" w:type="dxa"/>
            <w:tcBorders>
              <w:tl2br w:val="nil"/>
              <w:tr2bl w:val="nil"/>
            </w:tcBorders>
            <w:shd w:val="clear" w:color="auto" w:fill="auto"/>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1800000000300838</w:t>
            </w:r>
          </w:p>
        </w:tc>
        <w:tc>
          <w:tcPr>
            <w:tcW w:w="2508" w:type="dxa"/>
            <w:tcBorders>
              <w:tl2br w:val="nil"/>
              <w:tr2bl w:val="nil"/>
            </w:tcBorders>
            <w:shd w:val="clear" w:color="auto" w:fill="auto"/>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034276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cs="Times New Roman"/>
                <w:sz w:val="24"/>
                <w:szCs w:val="24"/>
                <w:lang w:val="en-US" w:eastAsia="zh-CN"/>
              </w:rPr>
              <w:t>谢雨飞</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2025年11月5日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宋体" w:hAnsi="宋体" w:cs="宋体"/>
                <w:sz w:val="24"/>
              </w:rPr>
              <w:t>/</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1B1C7522">
            <w:pPr>
              <w:pStyle w:val="1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江西省永铸机械制造有限公司是一家从事铸造机械制造，电力设施器材制造，输配电等业务的公司，成立于2025年8月20日。公司详细地址为：江西省上饶市广信区茶亭经开区广投标准厂房一期5号厂房一楼。公司的信用代码/税号为91361121MAEU0kAF0G，法定代表人是余锋，注册资本为200万元人民币。企业的经营范围为：一般项目：铸造机械制造，电力设施器材制造，输配电及控制设备制造，摩托车零配件制造，五金产品制造，通用设备制造（不含特种设备制造），配电开关控制设备制造（除依法须经批准的项目外，凭营业执照依法自主开展经营活动）</w:t>
            </w:r>
            <w:r>
              <w:rPr>
                <w:rFonts w:hint="eastAsia" w:ascii="Times New Roman" w:hAnsi="Times New Roman" w:cs="Times New Roman"/>
                <w:kern w:val="2"/>
                <w:sz w:val="24"/>
                <w:szCs w:val="24"/>
                <w:lang w:val="en-US" w:eastAsia="zh-CN" w:bidi="ar-SA"/>
              </w:rPr>
              <w:t>。</w:t>
            </w:r>
          </w:p>
          <w:p w14:paraId="10620622">
            <w:pPr>
              <w:pStyle w:val="1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imes New Roman" w:hAnsi="Times New Roman" w:cs="Times New Roman"/>
                <w:kern w:val="2"/>
                <w:sz w:val="24"/>
                <w:szCs w:val="24"/>
                <w:lang w:val="en-US" w:eastAsia="zh-CN" w:bidi="ar-SA"/>
              </w:rPr>
              <w:t>江西省永铸机械制造有限公司委托山东新安达工程咨询有限公司对拟建项目进行安全预评价。</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17C4D9F6">
            <w:pPr>
              <w:spacing w:line="360" w:lineRule="auto"/>
              <w:ind w:firstLine="480" w:firstLineChars="200"/>
              <w:jc w:val="both"/>
              <w:rPr>
                <w:rFonts w:ascii="Times New Roman" w:hAnsi="Times New Roman" w:cs="Times New Roman"/>
                <w:color w:val="000000" w:themeColor="text1"/>
                <w:kern w:val="2"/>
                <w:sz w:val="24"/>
                <w:szCs w:val="22"/>
                <w:lang w:val="en-US" w:bidi="ar-SA"/>
                <w14:textFill>
                  <w14:solidFill>
                    <w14:schemeClr w14:val="tx1"/>
                  </w14:solidFill>
                </w14:textFill>
              </w:rPr>
            </w:pPr>
            <w:r>
              <w:rPr>
                <w:rFonts w:hint="eastAsia" w:ascii="Times New Roman" w:hAnsi="Times New Roman" w:cs="Times New Roman"/>
                <w:color w:val="000000" w:themeColor="text1"/>
                <w:kern w:val="2"/>
                <w:sz w:val="24"/>
                <w:szCs w:val="22"/>
                <w:lang w:val="en-US" w:bidi="ar-SA"/>
                <w14:textFill>
                  <w14:solidFill>
                    <w14:schemeClr w14:val="tx1"/>
                  </w14:solidFill>
                </w14:textFill>
              </w:rPr>
              <w:t>拟建项目生产系统主要为铸件生产。工艺流程简述如下；</w:t>
            </w:r>
          </w:p>
          <w:p w14:paraId="00FDAD2A">
            <w:pPr>
              <w:spacing w:line="360" w:lineRule="auto"/>
              <w:ind w:firstLine="480" w:firstLineChars="200"/>
              <w:jc w:val="both"/>
              <w:rPr>
                <w:rFonts w:ascii="Times New Roman" w:hAnsi="Times New Roman" w:cs="Times New Roman"/>
                <w:color w:val="000000" w:themeColor="text1"/>
                <w:kern w:val="2"/>
                <w:sz w:val="24"/>
                <w:szCs w:val="22"/>
                <w:lang w:val="en-US" w:bidi="ar-SA"/>
                <w14:textFill>
                  <w14:solidFill>
                    <w14:schemeClr w14:val="tx1"/>
                  </w14:solidFill>
                </w14:textFill>
              </w:rPr>
            </w:pPr>
            <w:r>
              <w:rPr>
                <w:rFonts w:hint="eastAsia" w:ascii="Times New Roman" w:hAnsi="Times New Roman" w:cs="Times New Roman"/>
                <w:color w:val="000000" w:themeColor="text1"/>
                <w:kern w:val="2"/>
                <w:sz w:val="24"/>
                <w:szCs w:val="22"/>
                <w:lang w:val="en-US" w:bidi="ar-SA"/>
                <w14:textFill>
                  <w14:solidFill>
                    <w14:schemeClr w14:val="tx1"/>
                  </w14:solidFill>
                </w14:textFill>
              </w:rPr>
              <w:t>1.碳钢铸件生产工艺</w:t>
            </w:r>
          </w:p>
          <w:p w14:paraId="70859A61">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①蜡料准备：熔模制造以低温蜡为模料。生产时将块状型蜡和脱蜡回收的蜡料一起熔化成液体的模料（熔化时用电加热熔化，温度为70℃左右）。</w:t>
            </w:r>
          </w:p>
          <w:p w14:paraId="72543730">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②修模：将模料搅拌均匀后静置沉淀降温一段时间，制备出蜡膏后，便可以将糊状的模料注入压型设备中，经冷却后得到熔模，低温蜡采用注蜡机自动造型。压制好的熔模必须经过清理和修整，以去除熔模上的飞边、毛刺和表面油脂及脏物。</w:t>
            </w:r>
          </w:p>
          <w:p w14:paraId="1565CDC6">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③蜡模组合：按设计好的工艺，将修整后的蜡膜与浇冒口蜡模组合为模组，使用电加热熔融组合拼接。</w:t>
            </w:r>
          </w:p>
          <w:p w14:paraId="7ABEBC46">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④型壳制造：蜡膜型壳采用锆英砂、锆英粉、石英砂、石英粉作为制壳耐火材料，耐火泥作为制壳粘结剂。</w:t>
            </w:r>
          </w:p>
          <w:p w14:paraId="2317B748">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面层涂料：锆英粉+耐火泥+水（及其他添加剂，如消泡剂、润湿剂等）混合搅拌成均匀的浆料。</w:t>
            </w:r>
          </w:p>
          <w:p w14:paraId="7BDC41AA">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背层涂料：石英粉+耐火泥+水混合搅拌成均匀的浆料。</w:t>
            </w:r>
          </w:p>
          <w:p w14:paraId="44B32F9C">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将蜡模组浸入面层涂料中，使其表面均匀覆盖一层锆英粉涂料。立即将沾有涂料的模组浸入锆英砂中。静置后，让耐火泥通过水化反应和水分蒸发获得初步强度。面层完成后，依次使用背层涂料（石英粉浆料） 和石英砂进行第二层、第三层等的涂挂和撒砂，直到达到所需的型壳厚度（通常5-9层）。最后一层有时不撒砂，以得到一个光滑的外表面。</w:t>
            </w:r>
          </w:p>
          <w:p w14:paraId="0E624AA2">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⑤干燥：型壳制造完成后需自然晾干硬化，形成蜡膜型壳。</w:t>
            </w:r>
          </w:p>
          <w:p w14:paraId="125F678C">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⑥脱蜡：将待脱蜡的型壳置于推车放入脱蜡釜中低温脱蜡60℃（蒸发器加热），脱蜡时长为10～15分钟。此过脱下的蜡回用于蜡料准备。</w:t>
            </w:r>
          </w:p>
          <w:p w14:paraId="2E5A3E40">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 xml:space="preserve">⑦焙烧：脱蜡后的型壳存放一定时间后放入焙烧炉中高温焙烧，以增加硬度和强度，除去型壳中残留水分及低温蜡等。加热方式为天然气供热，温度为800℃左右，焙烧后自然冷却。 </w:t>
            </w:r>
          </w:p>
          <w:p w14:paraId="2F7AA0B9">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⑧中频炉熔化：根据产品要求将原料区中的碳钢加入中频炉感应电炉熔化，温度为1500-1600℃。向熔化炉内添加除渣剂，除去液体表面杂质（中频炉冷却使用冷却循环水）。</w:t>
            </w:r>
          </w:p>
          <w:p w14:paraId="5F30375C">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⑨浇注：将熔化的碳钢（铁）液倒入型壳中自然冷却成型进行浇注。</w:t>
            </w:r>
          </w:p>
          <w:p w14:paraId="7DC0A499">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⑩振砂脱壳：铸件冷却到适当的温度后，将表面的型砂壳脱去，此过程产生粉尘及废砂壳。脱壳产生的型砂壳为完整砂壳，回用浇注工序。</w:t>
            </w:r>
          </w:p>
          <w:p w14:paraId="1F4BD5AD">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微软雅黑" w:hAnsi="微软雅黑" w:eastAsia="微软雅黑" w:cs="微软雅黑"/>
                <w:color w:val="000000" w:themeColor="text1"/>
                <w:sz w:val="24"/>
                <w:szCs w:val="21"/>
                <w14:textFill>
                  <w14:solidFill>
                    <w14:schemeClr w14:val="tx1"/>
                  </w14:solidFill>
                </w14:textFill>
              </w:rPr>
              <w:t>⑪</w:t>
            </w:r>
            <w:r>
              <w:rPr>
                <w:rFonts w:hint="eastAsia" w:ascii="Times New Roman" w:hAnsi="Times New Roman" w:cs="Times New Roman"/>
                <w:color w:val="000000" w:themeColor="text1"/>
                <w:sz w:val="24"/>
                <w:szCs w:val="21"/>
                <w14:textFill>
                  <w14:solidFill>
                    <w14:schemeClr w14:val="tx1"/>
                  </w14:solidFill>
                </w14:textFill>
              </w:rPr>
              <w:t>切割：脱壳得出完整铸件后，便可以进行切割处理。切割即是将铸件利用切割机，添加乙炔、氧气辅助加热切割，切出所需形状。</w:t>
            </w:r>
          </w:p>
          <w:p w14:paraId="1B6C88ED">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微软雅黑" w:hAnsi="微软雅黑" w:eastAsia="微软雅黑" w:cs="微软雅黑"/>
                <w:color w:val="000000" w:themeColor="text1"/>
                <w:sz w:val="24"/>
                <w:szCs w:val="21"/>
                <w14:textFill>
                  <w14:solidFill>
                    <w14:schemeClr w14:val="tx1"/>
                  </w14:solidFill>
                </w14:textFill>
              </w:rPr>
              <w:t>⑫</w:t>
            </w:r>
            <w:r>
              <w:rPr>
                <w:rFonts w:hint="eastAsia" w:ascii="Times New Roman" w:hAnsi="Times New Roman" w:cs="Times New Roman"/>
                <w:color w:val="000000" w:themeColor="text1"/>
                <w:sz w:val="24"/>
                <w:szCs w:val="21"/>
                <w14:textFill>
                  <w14:solidFill>
                    <w14:schemeClr w14:val="tx1"/>
                  </w14:solidFill>
                </w14:textFill>
              </w:rPr>
              <w:t>抛丸清理：抛丸是指将铸件放入机器内，使高速金属弹丸撞击铸件进行表面杂物清理，用抛丸机将残留在零件表面的余砂抛干净，精整，提高铸件的质量。</w:t>
            </w:r>
          </w:p>
          <w:p w14:paraId="452105BB">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微软雅黑" w:hAnsi="微软雅黑" w:eastAsia="微软雅黑" w:cs="微软雅黑"/>
                <w:color w:val="000000" w:themeColor="text1"/>
                <w:sz w:val="24"/>
                <w:szCs w:val="21"/>
                <w14:textFill>
                  <w14:solidFill>
                    <w14:schemeClr w14:val="tx1"/>
                  </w14:solidFill>
                </w14:textFill>
              </w:rPr>
              <w:t>⑬</w:t>
            </w:r>
            <w:r>
              <w:rPr>
                <w:rFonts w:hint="eastAsia" w:ascii="Times New Roman" w:hAnsi="Times New Roman" w:cs="Times New Roman"/>
                <w:color w:val="000000" w:themeColor="text1"/>
                <w:sz w:val="24"/>
                <w:szCs w:val="21"/>
                <w14:textFill>
                  <w14:solidFill>
                    <w14:schemeClr w14:val="tx1"/>
                  </w14:solidFill>
                </w14:textFill>
              </w:rPr>
              <w:t>打磨：利用打磨机需要对铸件进行精细打磨。精磨的目的是得到表面光洁成品铸件。</w:t>
            </w:r>
          </w:p>
          <w:p w14:paraId="43C25A72">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微软雅黑" w:hAnsi="微软雅黑" w:eastAsia="微软雅黑" w:cs="微软雅黑"/>
                <w:color w:val="000000" w:themeColor="text1"/>
                <w:sz w:val="24"/>
                <w:szCs w:val="21"/>
                <w14:textFill>
                  <w14:solidFill>
                    <w14:schemeClr w14:val="tx1"/>
                  </w14:solidFill>
                </w14:textFill>
              </w:rPr>
              <w:t>⑭</w:t>
            </w:r>
            <w:r>
              <w:rPr>
                <w:rFonts w:hint="eastAsia" w:ascii="Times New Roman" w:hAnsi="Times New Roman" w:cs="Times New Roman"/>
                <w:color w:val="000000" w:themeColor="text1"/>
                <w:sz w:val="24"/>
                <w:szCs w:val="21"/>
                <w14:textFill>
                  <w14:solidFill>
                    <w14:schemeClr w14:val="tx1"/>
                  </w14:solidFill>
                </w14:textFill>
              </w:rPr>
              <w:t>机加工：打磨好后的产品需根据要求进行数控加工。</w:t>
            </w:r>
          </w:p>
          <w:p w14:paraId="37CF1AE3">
            <w:pPr>
              <w:pStyle w:val="54"/>
              <w:ind w:firstLine="560"/>
              <w:rPr>
                <w:rFonts w:ascii="宋体" w:hAnsi="宋体" w:cs="Times New Roman"/>
                <w:color w:val="000000" w:themeColor="text1"/>
                <w:sz w:val="28"/>
                <w:szCs w:val="32"/>
                <w14:textFill>
                  <w14:solidFill>
                    <w14:schemeClr w14:val="tx1"/>
                  </w14:solidFill>
                </w14:textFill>
              </w:rPr>
            </w:pPr>
            <w:r>
              <w:rPr>
                <w:rFonts w:hint="eastAsia" w:ascii="微软雅黑" w:hAnsi="微软雅黑" w:eastAsia="微软雅黑" w:cs="微软雅黑"/>
                <w:color w:val="000000" w:themeColor="text1"/>
                <w:sz w:val="24"/>
                <w:szCs w:val="21"/>
                <w14:textFill>
                  <w14:solidFill>
                    <w14:schemeClr w14:val="tx1"/>
                  </w14:solidFill>
                </w14:textFill>
              </w:rPr>
              <w:t>⑮</w:t>
            </w:r>
            <w:r>
              <w:rPr>
                <w:rFonts w:hint="eastAsia" w:ascii="Times New Roman" w:hAnsi="Times New Roman" w:cs="Times New Roman"/>
                <w:color w:val="000000" w:themeColor="text1"/>
                <w:sz w:val="24"/>
                <w:szCs w:val="21"/>
                <w14:textFill>
                  <w14:solidFill>
                    <w14:schemeClr w14:val="tx1"/>
                  </w14:solidFill>
                </w14:textFill>
              </w:rPr>
              <w:t>检验、入库：检查铸件尺寸和最终壁厚是否符合要求，符合要求产品入库</w:t>
            </w:r>
            <w:r>
              <w:rPr>
                <w:rFonts w:hint="eastAsia" w:ascii="Times New Roman" w:hAnsi="Times New Roman" w:cs="Times New Roman"/>
                <w:color w:val="000000" w:themeColor="text1"/>
                <w:sz w:val="28"/>
                <w:szCs w:val="22"/>
                <w14:textFill>
                  <w14:solidFill>
                    <w14:schemeClr w14:val="tx1"/>
                  </w14:solidFill>
                </w14:textFill>
              </w:rPr>
              <w:t>。</w:t>
            </w:r>
          </w:p>
          <w:p w14:paraId="1D8DF07B">
            <w:pPr>
              <w:pStyle w:val="26"/>
              <w:numPr>
                <w:ilvl w:val="0"/>
                <w:numId w:val="2"/>
              </w:numPr>
              <w:ind w:firstLine="560"/>
              <w:jc w:val="left"/>
              <w:rPr>
                <w:rFonts w:hint="eastAsia" w:ascii="Times New Roman" w:hAnsi="Times New Roman" w:cs="Times New Roman"/>
                <w:color w:val="000000" w:themeColor="text1"/>
                <w:kern w:val="2"/>
                <w:sz w:val="24"/>
                <w:szCs w:val="22"/>
                <w:lang w:val="en-US" w:bidi="ar-SA"/>
                <w14:textFill>
                  <w14:solidFill>
                    <w14:schemeClr w14:val="tx1"/>
                  </w14:solidFill>
                </w14:textFill>
              </w:rPr>
            </w:pPr>
            <w:r>
              <w:rPr>
                <w:rFonts w:hint="eastAsia" w:ascii="Times New Roman" w:hAnsi="Times New Roman" w:cs="Times New Roman"/>
                <w:color w:val="000000" w:themeColor="text1"/>
                <w:kern w:val="2"/>
                <w:sz w:val="24"/>
                <w:szCs w:val="22"/>
                <w:lang w:val="en-US" w:bidi="ar-SA"/>
                <w14:textFill>
                  <w14:solidFill>
                    <w14:schemeClr w14:val="tx1"/>
                  </w14:solidFill>
                </w14:textFill>
              </w:rPr>
              <w:t>碳钢铸件工艺流程见下图。</w:t>
            </w:r>
          </w:p>
          <w:p w14:paraId="1D78151C">
            <w:pPr>
              <w:pStyle w:val="26"/>
              <w:numPr>
                <w:ilvl w:val="0"/>
                <w:numId w:val="0"/>
              </w:numPr>
              <w:ind w:leftChars="400"/>
              <w:jc w:val="both"/>
              <w:rPr>
                <w:color w:val="000000" w:themeColor="text1"/>
                <w:lang w:val="en-US"/>
                <w14:textFill>
                  <w14:solidFill>
                    <w14:schemeClr w14:val="tx1"/>
                  </w14:solidFill>
                </w14:textFill>
              </w:rPr>
            </w:pPr>
            <w:r>
              <w:rPr>
                <w:rFonts w:hint="eastAsia"/>
                <w:color w:val="000000" w:themeColor="text1"/>
                <w:lang w:val="en-US" w:bidi="ar-SA"/>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10795</wp:posOffset>
                  </wp:positionV>
                  <wp:extent cx="1362710" cy="4184015"/>
                  <wp:effectExtent l="0" t="0" r="8890" b="6985"/>
                  <wp:wrapNone/>
                  <wp:docPr id="9" name="图片 9" descr="7e45adab2a09533a8d0edad288ec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e45adab2a09533a8d0edad288ec9324"/>
                          <pic:cNvPicPr>
                            <a:picLocks noChangeAspect="1"/>
                          </pic:cNvPicPr>
                        </pic:nvPicPr>
                        <pic:blipFill>
                          <a:blip r:embed="rId4"/>
                          <a:stretch>
                            <a:fillRect/>
                          </a:stretch>
                        </pic:blipFill>
                        <pic:spPr>
                          <a:xfrm>
                            <a:off x="0" y="0"/>
                            <a:ext cx="1362710" cy="4184015"/>
                          </a:xfrm>
                          <a:prstGeom prst="rect">
                            <a:avLst/>
                          </a:prstGeom>
                        </pic:spPr>
                      </pic:pic>
                    </a:graphicData>
                  </a:graphic>
                </wp:anchor>
              </w:drawing>
            </w:r>
          </w:p>
          <w:p w14:paraId="65F63CC3">
            <w:pPr>
              <w:spacing w:line="240" w:lineRule="auto"/>
              <w:jc w:val="center"/>
              <w:rPr>
                <w:rFonts w:ascii="Times New Roman" w:hAnsi="Times New Roman" w:cs="Times New Roman"/>
                <w:bCs/>
                <w:color w:val="000000" w:themeColor="text1"/>
                <w:kern w:val="2"/>
                <w:sz w:val="24"/>
                <w:szCs w:val="24"/>
                <w:lang w:bidi="ar-SA"/>
                <w14:textFill>
                  <w14:solidFill>
                    <w14:schemeClr w14:val="tx1"/>
                  </w14:solidFill>
                </w14:textFill>
              </w:rPr>
            </w:pPr>
          </w:p>
          <w:p w14:paraId="67390A4C">
            <w:pPr>
              <w:pStyle w:val="55"/>
              <w:rPr>
                <w:rFonts w:hint="eastAsia" w:ascii="宋体" w:hAnsi="宋体" w:cs="宋体"/>
                <w:color w:val="000000" w:themeColor="text1"/>
                <w:sz w:val="24"/>
                <w:szCs w:val="24"/>
                <w14:textFill>
                  <w14:solidFill>
                    <w14:schemeClr w14:val="tx1"/>
                  </w14:solidFill>
                </w14:textFill>
              </w:rPr>
            </w:pPr>
          </w:p>
          <w:p w14:paraId="4E9F99C6">
            <w:pPr>
              <w:pStyle w:val="55"/>
              <w:rPr>
                <w:rFonts w:hint="eastAsia" w:ascii="宋体" w:hAnsi="宋体" w:cs="宋体"/>
                <w:color w:val="000000" w:themeColor="text1"/>
                <w:sz w:val="24"/>
                <w:szCs w:val="24"/>
                <w14:textFill>
                  <w14:solidFill>
                    <w14:schemeClr w14:val="tx1"/>
                  </w14:solidFill>
                </w14:textFill>
              </w:rPr>
            </w:pPr>
          </w:p>
          <w:p w14:paraId="35A43F7D">
            <w:pPr>
              <w:pStyle w:val="55"/>
              <w:rPr>
                <w:rFonts w:hint="eastAsia" w:ascii="宋体" w:hAnsi="宋体" w:cs="宋体"/>
                <w:color w:val="000000" w:themeColor="text1"/>
                <w:sz w:val="24"/>
                <w:szCs w:val="24"/>
                <w14:textFill>
                  <w14:solidFill>
                    <w14:schemeClr w14:val="tx1"/>
                  </w14:solidFill>
                </w14:textFill>
              </w:rPr>
            </w:pPr>
          </w:p>
          <w:p w14:paraId="5F7D3725">
            <w:pPr>
              <w:pStyle w:val="55"/>
              <w:rPr>
                <w:rFonts w:hint="eastAsia" w:ascii="宋体" w:hAnsi="宋体" w:cs="宋体"/>
                <w:color w:val="000000" w:themeColor="text1"/>
                <w:sz w:val="24"/>
                <w:szCs w:val="24"/>
                <w14:textFill>
                  <w14:solidFill>
                    <w14:schemeClr w14:val="tx1"/>
                  </w14:solidFill>
                </w14:textFill>
              </w:rPr>
            </w:pPr>
          </w:p>
          <w:p w14:paraId="2ADE11DD">
            <w:pPr>
              <w:pStyle w:val="55"/>
              <w:rPr>
                <w:rFonts w:hint="eastAsia" w:ascii="宋体" w:hAnsi="宋体" w:cs="宋体"/>
                <w:color w:val="000000" w:themeColor="text1"/>
                <w:sz w:val="24"/>
                <w:szCs w:val="24"/>
                <w14:textFill>
                  <w14:solidFill>
                    <w14:schemeClr w14:val="tx1"/>
                  </w14:solidFill>
                </w14:textFill>
              </w:rPr>
            </w:pPr>
          </w:p>
          <w:p w14:paraId="6FFAAF23">
            <w:pPr>
              <w:pStyle w:val="55"/>
              <w:rPr>
                <w:rFonts w:hint="eastAsia" w:ascii="宋体" w:hAnsi="宋体" w:cs="宋体"/>
                <w:color w:val="000000" w:themeColor="text1"/>
                <w:sz w:val="24"/>
                <w:szCs w:val="24"/>
                <w14:textFill>
                  <w14:solidFill>
                    <w14:schemeClr w14:val="tx1"/>
                  </w14:solidFill>
                </w14:textFill>
              </w:rPr>
            </w:pPr>
          </w:p>
          <w:p w14:paraId="2E68E00D">
            <w:pPr>
              <w:pStyle w:val="55"/>
              <w:rPr>
                <w:rFonts w:hint="eastAsia" w:ascii="宋体" w:hAnsi="宋体" w:cs="宋体"/>
                <w:color w:val="000000" w:themeColor="text1"/>
                <w:sz w:val="24"/>
                <w:szCs w:val="24"/>
                <w14:textFill>
                  <w14:solidFill>
                    <w14:schemeClr w14:val="tx1"/>
                  </w14:solidFill>
                </w14:textFill>
              </w:rPr>
            </w:pPr>
          </w:p>
          <w:p w14:paraId="35615BDA">
            <w:pPr>
              <w:pStyle w:val="55"/>
              <w:rPr>
                <w:rFonts w:hint="eastAsia" w:ascii="宋体" w:hAnsi="宋体" w:cs="宋体"/>
                <w:color w:val="000000" w:themeColor="text1"/>
                <w:sz w:val="24"/>
                <w:szCs w:val="24"/>
                <w14:textFill>
                  <w14:solidFill>
                    <w14:schemeClr w14:val="tx1"/>
                  </w14:solidFill>
                </w14:textFill>
              </w:rPr>
            </w:pPr>
          </w:p>
          <w:p w14:paraId="316A258B">
            <w:pPr>
              <w:pStyle w:val="55"/>
              <w:rPr>
                <w:rFonts w:hint="eastAsia" w:ascii="宋体" w:hAnsi="宋体" w:cs="宋体"/>
                <w:color w:val="000000" w:themeColor="text1"/>
                <w:sz w:val="24"/>
                <w:szCs w:val="24"/>
                <w14:textFill>
                  <w14:solidFill>
                    <w14:schemeClr w14:val="tx1"/>
                  </w14:solidFill>
                </w14:textFill>
              </w:rPr>
            </w:pPr>
          </w:p>
          <w:p w14:paraId="66005E14">
            <w:pPr>
              <w:pStyle w:val="55"/>
              <w:rPr>
                <w:rFonts w:hint="eastAsia" w:ascii="宋体" w:hAnsi="宋体" w:cs="宋体"/>
                <w:color w:val="000000" w:themeColor="text1"/>
                <w:sz w:val="24"/>
                <w:szCs w:val="24"/>
                <w14:textFill>
                  <w14:solidFill>
                    <w14:schemeClr w14:val="tx1"/>
                  </w14:solidFill>
                </w14:textFill>
              </w:rPr>
            </w:pPr>
          </w:p>
          <w:p w14:paraId="0633DE59">
            <w:pPr>
              <w:pStyle w:val="55"/>
              <w:rPr>
                <w:rFonts w:hint="eastAsia" w:ascii="宋体" w:hAnsi="宋体" w:cs="宋体"/>
                <w:color w:val="000000" w:themeColor="text1"/>
                <w:sz w:val="24"/>
                <w:szCs w:val="24"/>
                <w14:textFill>
                  <w14:solidFill>
                    <w14:schemeClr w14:val="tx1"/>
                  </w14:solidFill>
                </w14:textFill>
              </w:rPr>
            </w:pPr>
          </w:p>
          <w:p w14:paraId="6E6771C5">
            <w:pPr>
              <w:pStyle w:val="55"/>
              <w:rPr>
                <w:rFonts w:hint="eastAsia" w:ascii="宋体" w:hAnsi="宋体" w:cs="宋体"/>
                <w:color w:val="000000" w:themeColor="text1"/>
                <w:sz w:val="24"/>
                <w:szCs w:val="24"/>
                <w14:textFill>
                  <w14:solidFill>
                    <w14:schemeClr w14:val="tx1"/>
                  </w14:solidFill>
                </w14:textFill>
              </w:rPr>
            </w:pPr>
          </w:p>
          <w:p w14:paraId="0350FA66">
            <w:pPr>
              <w:pStyle w:val="55"/>
              <w:rPr>
                <w:rFonts w:hint="eastAsia" w:ascii="宋体" w:hAnsi="宋体" w:cs="宋体"/>
                <w:color w:val="000000" w:themeColor="text1"/>
                <w:sz w:val="24"/>
                <w:szCs w:val="24"/>
                <w14:textFill>
                  <w14:solidFill>
                    <w14:schemeClr w14:val="tx1"/>
                  </w14:solidFill>
                </w14:textFill>
              </w:rPr>
            </w:pPr>
          </w:p>
          <w:p w14:paraId="585C5705">
            <w:pPr>
              <w:pStyle w:val="55"/>
              <w:rPr>
                <w:rFonts w:hint="eastAsia" w:ascii="宋体" w:hAnsi="宋体" w:cs="宋体"/>
                <w:color w:val="000000" w:themeColor="text1"/>
                <w:sz w:val="24"/>
                <w:szCs w:val="24"/>
                <w14:textFill>
                  <w14:solidFill>
                    <w14:schemeClr w14:val="tx1"/>
                  </w14:solidFill>
                </w14:textFill>
              </w:rPr>
            </w:pPr>
          </w:p>
          <w:p w14:paraId="794843E8">
            <w:pPr>
              <w:pStyle w:val="55"/>
              <w:rPr>
                <w:rFonts w:hint="eastAsia" w:ascii="宋体" w:hAnsi="宋体" w:cs="宋体"/>
                <w:color w:val="000000" w:themeColor="text1"/>
                <w:sz w:val="24"/>
                <w:szCs w:val="24"/>
                <w14:textFill>
                  <w14:solidFill>
                    <w14:schemeClr w14:val="tx1"/>
                  </w14:solidFill>
                </w14:textFill>
              </w:rPr>
            </w:pPr>
          </w:p>
          <w:p w14:paraId="688EBB0A">
            <w:pPr>
              <w:pStyle w:val="55"/>
              <w:rPr>
                <w:rFonts w:hint="eastAsia" w:ascii="宋体" w:hAnsi="宋体" w:cs="宋体"/>
                <w:color w:val="000000" w:themeColor="text1"/>
                <w:sz w:val="24"/>
                <w:szCs w:val="24"/>
                <w14:textFill>
                  <w14:solidFill>
                    <w14:schemeClr w14:val="tx1"/>
                  </w14:solidFill>
                </w14:textFill>
              </w:rPr>
            </w:pPr>
          </w:p>
          <w:p w14:paraId="1F154D1C">
            <w:pPr>
              <w:pStyle w:val="55"/>
              <w:rPr>
                <w:rFonts w:hint="eastAsia" w:ascii="宋体" w:hAnsi="宋体" w:cs="宋体"/>
                <w:color w:val="000000" w:themeColor="text1"/>
                <w:sz w:val="24"/>
                <w:szCs w:val="24"/>
                <w14:textFill>
                  <w14:solidFill>
                    <w14:schemeClr w14:val="tx1"/>
                  </w14:solidFill>
                </w14:textFill>
              </w:rPr>
            </w:pPr>
          </w:p>
          <w:p w14:paraId="62035476">
            <w:pPr>
              <w:pStyle w:val="55"/>
              <w:rPr>
                <w:rFonts w:hint="eastAsia" w:ascii="宋体" w:hAnsi="宋体" w:cs="宋体"/>
                <w:color w:val="000000" w:themeColor="text1"/>
                <w:sz w:val="24"/>
                <w:szCs w:val="24"/>
                <w14:textFill>
                  <w14:solidFill>
                    <w14:schemeClr w14:val="tx1"/>
                  </w14:solidFill>
                </w14:textFill>
              </w:rPr>
            </w:pPr>
          </w:p>
          <w:p w14:paraId="2C4F3324">
            <w:pPr>
              <w:pStyle w:val="55"/>
              <w:rPr>
                <w:rFonts w:hint="eastAsia" w:ascii="宋体" w:hAnsi="宋体" w:cs="宋体"/>
                <w:color w:val="000000" w:themeColor="text1"/>
                <w:sz w:val="24"/>
                <w:szCs w:val="24"/>
                <w14:textFill>
                  <w14:solidFill>
                    <w14:schemeClr w14:val="tx1"/>
                  </w14:solidFill>
                </w14:textFill>
              </w:rPr>
            </w:pPr>
          </w:p>
          <w:p w14:paraId="2A4BC2F6">
            <w:pPr>
              <w:pStyle w:val="55"/>
              <w:rPr>
                <w:rFonts w:hint="eastAsia" w:ascii="宋体" w:hAnsi="宋体" w:cs="宋体"/>
                <w:color w:val="000000" w:themeColor="text1"/>
                <w:sz w:val="24"/>
                <w:szCs w:val="24"/>
                <w14:textFill>
                  <w14:solidFill>
                    <w14:schemeClr w14:val="tx1"/>
                  </w14:solidFill>
                </w14:textFill>
              </w:rPr>
            </w:pPr>
          </w:p>
          <w:p w14:paraId="250DFC93">
            <w:pPr>
              <w:pStyle w:val="55"/>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图2.4-2  碳钢铸件工艺流程图</w:t>
            </w:r>
          </w:p>
          <w:p w14:paraId="08F59FD9">
            <w:pPr>
              <w:rPr>
                <w:lang w:val="en-US"/>
              </w:rPr>
            </w:pPr>
          </w:p>
          <w:p w14:paraId="55F98768">
            <w:pPr>
              <w:spacing w:line="360" w:lineRule="auto"/>
              <w:ind w:firstLine="420" w:firstLineChars="200"/>
              <w:jc w:val="both"/>
              <w:rPr>
                <w:rFonts w:ascii="Times New Roman" w:hAnsi="Times New Roman" w:cs="Times New Roman"/>
                <w:color w:val="000000" w:themeColor="text1"/>
                <w:kern w:val="2"/>
                <w:sz w:val="24"/>
                <w:szCs w:val="22"/>
                <w:lang w:val="en-US" w:bidi="ar-SA"/>
                <w14:textFill>
                  <w14:solidFill>
                    <w14:schemeClr w14:val="tx1"/>
                  </w14:solidFill>
                </w14:textFill>
              </w:rPr>
            </w:pPr>
            <w:r>
              <w:rPr>
                <w:rFonts w:hint="eastAsia"/>
                <w:lang w:val="en-US"/>
              </w:rPr>
              <w:tab/>
            </w:r>
            <w:r>
              <w:rPr>
                <w:rFonts w:hint="eastAsia" w:asciiTheme="minorEastAsia" w:hAnsiTheme="minorEastAsia" w:eastAsiaTheme="minorEastAsia" w:cstheme="minorEastAsia"/>
                <w:color w:val="000000" w:themeColor="text1"/>
                <w:kern w:val="2"/>
                <w:sz w:val="24"/>
                <w:szCs w:val="22"/>
                <w:lang w:val="en-US" w:bidi="ar-SA"/>
                <w14:textFill>
                  <w14:solidFill>
                    <w14:schemeClr w14:val="tx1"/>
                  </w14:solidFill>
                </w14:textFill>
              </w:rPr>
              <w:t>3.</w:t>
            </w:r>
            <w:r>
              <w:rPr>
                <w:rFonts w:hint="eastAsia" w:ascii="Times New Roman" w:hAnsi="Times New Roman" w:cs="Times New Roman"/>
                <w:color w:val="000000" w:themeColor="text1"/>
                <w:kern w:val="2"/>
                <w:sz w:val="24"/>
                <w:szCs w:val="22"/>
                <w:lang w:val="en-US" w:bidi="ar-SA"/>
                <w14:textFill>
                  <w14:solidFill>
                    <w14:schemeClr w14:val="tx1"/>
                  </w14:solidFill>
                </w14:textFill>
              </w:rPr>
              <w:t>铁铸件生产工艺</w:t>
            </w:r>
          </w:p>
          <w:p w14:paraId="5C7C833D">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①覆膜砂制芯、制壳：将覆膜砂吹入自动射芯机中，当模具合上后，覆膜砂在加热的芯盒中保持一定的结壳时间，待形成薄壳后，而形成中空的薄壳砂芯，所用的芯砂叫做覆膜砂，因此，把这种制芯方法叫做覆膜砂制芯。砂芯制作温度，260~280℃。</w:t>
            </w:r>
          </w:p>
          <w:p w14:paraId="07D27E94">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②下芯、装箱：铸型经硬化后，送至合箱浇注区。</w:t>
            </w:r>
          </w:p>
          <w:p w14:paraId="3FBCBC88">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③中频炉熔化：根据产品要求将原料区中的废铁和增碳剂加入中频炉感应电炉熔化，熔化温度1400℃左右。</w:t>
            </w:r>
          </w:p>
          <w:p w14:paraId="56C523E0">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④埋箱浇注：将熔化的铁水倒铸型中即埋箱浇注。</w:t>
            </w:r>
          </w:p>
          <w:p w14:paraId="74718210">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⑤落砂：经自然冷却后的铸件从铸型中取出来的过程称为落砂。</w:t>
            </w:r>
          </w:p>
          <w:p w14:paraId="5408442C">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⑥切割：切割即是将铸件利用切割机，切出所需形状。</w:t>
            </w:r>
          </w:p>
          <w:p w14:paraId="5CC3BE7F">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⑦抛丸清理：抛丸是指将铸件放入机器内，使高速金属弹丸撞击铸件进行表面杂物清理，用抛丸机将残留在零件表面的余砂抛干净，精整，提高铸件的质量。</w:t>
            </w:r>
          </w:p>
          <w:p w14:paraId="59004341">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⑧打磨：需要对铸件进行精细打磨。精磨的目的是得到表面光洁成品铸件。</w:t>
            </w:r>
          </w:p>
          <w:p w14:paraId="6150898E">
            <w:pPr>
              <w:pStyle w:val="54"/>
              <w:ind w:firstLine="560"/>
              <w:rPr>
                <w:rFonts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⑨机加工：打磨好后的产品需根据要求进行数控加工。</w:t>
            </w:r>
          </w:p>
          <w:p w14:paraId="6775F530">
            <w:pPr>
              <w:pStyle w:val="54"/>
              <w:ind w:firstLine="560"/>
              <w:rPr>
                <w:rFonts w:ascii="宋体" w:hAnsi="宋体" w:cs="Times New Roman"/>
                <w:color w:val="000000" w:themeColor="text1"/>
                <w:sz w:val="24"/>
                <w:szCs w:val="28"/>
                <w14:textFill>
                  <w14:solidFill>
                    <w14:schemeClr w14:val="tx1"/>
                  </w14:solidFill>
                </w14:textFill>
              </w:rPr>
            </w:pPr>
            <w:r>
              <w:rPr>
                <w:rFonts w:hint="eastAsia" w:ascii="Times New Roman" w:hAnsi="Times New Roman" w:cs="Times New Roman"/>
                <w:color w:val="000000" w:themeColor="text1"/>
                <w:sz w:val="24"/>
                <w:szCs w:val="21"/>
                <w14:textFill>
                  <w14:solidFill>
                    <w14:schemeClr w14:val="tx1"/>
                  </w14:solidFill>
                </w14:textFill>
              </w:rPr>
              <w:t>⑩检验、入库：检查铸件尺寸和最终壁厚是否符合要求，符合要求产品入库。</w:t>
            </w:r>
          </w:p>
          <w:p w14:paraId="2C8D2183">
            <w:pPr>
              <w:spacing w:line="360" w:lineRule="auto"/>
              <w:ind w:firstLine="420" w:firstLineChars="200"/>
              <w:jc w:val="both"/>
              <w:rPr>
                <w:rFonts w:ascii="Times New Roman" w:hAnsi="Times New Roman" w:cs="Times New Roman"/>
                <w:color w:val="000000" w:themeColor="text1"/>
                <w:kern w:val="2"/>
                <w:sz w:val="28"/>
                <w:lang w:val="en-US" w:bidi="ar-SA"/>
                <w14:textFill>
                  <w14:solidFill>
                    <w14:schemeClr w14:val="tx1"/>
                  </w14:solidFill>
                </w14:textFill>
              </w:rPr>
            </w:pPr>
            <w:r>
              <w:rPr>
                <w:rFonts w:hint="eastAsia" w:eastAsiaTheme="minorEastAsia"/>
                <w:lang w:val="en-US" w:bidi="ar-SA"/>
              </w:rPr>
              <w:drawing>
                <wp:anchor distT="0" distB="0" distL="114300" distR="114300" simplePos="0" relativeHeight="251660288" behindDoc="0" locked="0" layoutInCell="1" allowOverlap="1">
                  <wp:simplePos x="0" y="0"/>
                  <wp:positionH relativeFrom="column">
                    <wp:posOffset>2155825</wp:posOffset>
                  </wp:positionH>
                  <wp:positionV relativeFrom="paragraph">
                    <wp:posOffset>366395</wp:posOffset>
                  </wp:positionV>
                  <wp:extent cx="1504315" cy="3140075"/>
                  <wp:effectExtent l="0" t="0" r="635" b="3175"/>
                  <wp:wrapNone/>
                  <wp:docPr id="10" name="图片 10" descr="9e68e15eee19895fc939bc1ff243e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e68e15eee19895fc939bc1ff243ee9b"/>
                          <pic:cNvPicPr>
                            <a:picLocks noChangeAspect="1"/>
                          </pic:cNvPicPr>
                        </pic:nvPicPr>
                        <pic:blipFill>
                          <a:blip r:embed="rId5"/>
                          <a:stretch>
                            <a:fillRect/>
                          </a:stretch>
                        </pic:blipFill>
                        <pic:spPr>
                          <a:xfrm>
                            <a:off x="0" y="0"/>
                            <a:ext cx="1504315" cy="3140075"/>
                          </a:xfrm>
                          <a:prstGeom prst="rect">
                            <a:avLst/>
                          </a:prstGeom>
                        </pic:spPr>
                      </pic:pic>
                    </a:graphicData>
                  </a:graphic>
                </wp:anchor>
              </w:drawing>
            </w:r>
            <w:r>
              <w:rPr>
                <w:rFonts w:hint="eastAsia" w:ascii="Times New Roman" w:hAnsi="Times New Roman" w:cs="Times New Roman"/>
                <w:color w:val="000000" w:themeColor="text1"/>
                <w:kern w:val="2"/>
                <w:sz w:val="24"/>
                <w:szCs w:val="22"/>
                <w:lang w:val="en-US" w:bidi="ar-SA"/>
                <w14:textFill>
                  <w14:solidFill>
                    <w14:schemeClr w14:val="tx1"/>
                  </w14:solidFill>
                </w14:textFill>
              </w:rPr>
              <w:t>4.铁铸件工艺流程见下图</w:t>
            </w:r>
            <w:r>
              <w:rPr>
                <w:rFonts w:hint="eastAsia" w:ascii="Times New Roman" w:hAnsi="Times New Roman" w:cs="Times New Roman"/>
                <w:color w:val="000000" w:themeColor="text1"/>
                <w:kern w:val="2"/>
                <w:sz w:val="28"/>
                <w:lang w:val="en-US" w:bidi="ar-SA"/>
                <w14:textFill>
                  <w14:solidFill>
                    <w14:schemeClr w14:val="tx1"/>
                  </w14:solidFill>
                </w14:textFill>
              </w:rPr>
              <w:t>。</w:t>
            </w:r>
          </w:p>
          <w:p w14:paraId="01100691">
            <w:pPr>
              <w:spacing w:line="360" w:lineRule="auto"/>
              <w:ind w:firstLine="560" w:firstLineChars="200"/>
              <w:jc w:val="both"/>
              <w:rPr>
                <w:rFonts w:ascii="Times New Roman" w:hAnsi="Times New Roman" w:cs="Times New Roman"/>
                <w:color w:val="000000" w:themeColor="text1"/>
                <w:kern w:val="2"/>
                <w:sz w:val="28"/>
                <w:lang w:val="en-US" w:bidi="ar-SA"/>
                <w14:textFill>
                  <w14:solidFill>
                    <w14:schemeClr w14:val="tx1"/>
                  </w14:solidFill>
                </w14:textFill>
              </w:rPr>
            </w:pPr>
          </w:p>
          <w:p w14:paraId="0B02C9BD">
            <w:pPr>
              <w:tabs>
                <w:tab w:val="center" w:pos="4623"/>
              </w:tabs>
              <w:spacing w:line="240" w:lineRule="auto"/>
              <w:rPr>
                <w:lang w:val="en-US"/>
              </w:rPr>
            </w:pPr>
            <w:r>
              <w:rPr>
                <w:rFonts w:hint="eastAsia"/>
                <w:lang w:val="en-US"/>
              </w:rPr>
              <w:tab/>
            </w:r>
          </w:p>
          <w:p w14:paraId="2DA291AB">
            <w:pPr>
              <w:tabs>
                <w:tab w:val="center" w:pos="4623"/>
              </w:tabs>
              <w:spacing w:line="240" w:lineRule="auto"/>
              <w:rPr>
                <w:lang w:val="en-US"/>
              </w:rPr>
            </w:pPr>
          </w:p>
          <w:p w14:paraId="7E03DE21">
            <w:pPr>
              <w:pStyle w:val="55"/>
              <w:rPr>
                <w:rFonts w:hint="eastAsia" w:cs="宋体"/>
                <w:sz w:val="22"/>
                <w:szCs w:val="22"/>
                <w:lang w:bidi="zh-CN"/>
              </w:rPr>
            </w:pPr>
            <w:r>
              <w:rPr>
                <w:rFonts w:hint="eastAsia" w:cs="宋体"/>
                <w:sz w:val="22"/>
                <w:szCs w:val="22"/>
                <w:lang w:bidi="zh-CN"/>
              </w:rPr>
              <w:tab/>
            </w:r>
          </w:p>
          <w:p w14:paraId="23E8BCE1">
            <w:pPr>
              <w:pStyle w:val="55"/>
              <w:rPr>
                <w:rFonts w:hint="eastAsia" w:cs="宋体"/>
                <w:sz w:val="22"/>
                <w:szCs w:val="22"/>
                <w:lang w:bidi="zh-CN"/>
              </w:rPr>
            </w:pPr>
          </w:p>
          <w:p w14:paraId="1A8BC421">
            <w:pPr>
              <w:pStyle w:val="55"/>
              <w:rPr>
                <w:rFonts w:hint="eastAsia" w:cs="宋体"/>
                <w:sz w:val="22"/>
                <w:szCs w:val="22"/>
                <w:lang w:bidi="zh-CN"/>
              </w:rPr>
            </w:pPr>
          </w:p>
          <w:p w14:paraId="678EB030">
            <w:pPr>
              <w:pStyle w:val="55"/>
              <w:rPr>
                <w:rFonts w:hint="eastAsia" w:cs="宋体"/>
                <w:sz w:val="22"/>
                <w:szCs w:val="22"/>
                <w:lang w:bidi="zh-CN"/>
              </w:rPr>
            </w:pPr>
          </w:p>
          <w:p w14:paraId="3A36996D">
            <w:pPr>
              <w:pStyle w:val="55"/>
              <w:rPr>
                <w:rFonts w:hint="eastAsia" w:cs="宋体"/>
                <w:sz w:val="22"/>
                <w:szCs w:val="22"/>
                <w:lang w:bidi="zh-CN"/>
              </w:rPr>
            </w:pPr>
          </w:p>
          <w:p w14:paraId="20A259B3">
            <w:pPr>
              <w:pStyle w:val="55"/>
              <w:rPr>
                <w:rFonts w:hint="eastAsia" w:ascii="宋体" w:hAnsi="宋体" w:cs="宋体"/>
                <w:color w:val="000000" w:themeColor="text1"/>
                <w:sz w:val="24"/>
                <w:szCs w:val="24"/>
                <w14:textFill>
                  <w14:solidFill>
                    <w14:schemeClr w14:val="tx1"/>
                  </w14:solidFill>
                </w14:textFill>
              </w:rPr>
            </w:pPr>
          </w:p>
          <w:p w14:paraId="4BFC1D00">
            <w:pPr>
              <w:pStyle w:val="55"/>
              <w:rPr>
                <w:rFonts w:hint="eastAsia" w:ascii="宋体" w:hAnsi="宋体" w:cs="宋体"/>
                <w:color w:val="000000" w:themeColor="text1"/>
                <w:sz w:val="24"/>
                <w:szCs w:val="24"/>
                <w14:textFill>
                  <w14:solidFill>
                    <w14:schemeClr w14:val="tx1"/>
                  </w14:solidFill>
                </w14:textFill>
              </w:rPr>
            </w:pPr>
          </w:p>
          <w:p w14:paraId="41091939">
            <w:pPr>
              <w:pStyle w:val="55"/>
              <w:rPr>
                <w:rFonts w:hint="eastAsia" w:ascii="宋体" w:hAnsi="宋体" w:cs="宋体"/>
                <w:color w:val="000000" w:themeColor="text1"/>
                <w:sz w:val="24"/>
                <w:szCs w:val="24"/>
                <w14:textFill>
                  <w14:solidFill>
                    <w14:schemeClr w14:val="tx1"/>
                  </w14:solidFill>
                </w14:textFill>
              </w:rPr>
            </w:pPr>
          </w:p>
          <w:p w14:paraId="3DFD9130">
            <w:pPr>
              <w:pStyle w:val="55"/>
              <w:rPr>
                <w:rFonts w:hint="eastAsia" w:ascii="宋体" w:hAnsi="宋体" w:cs="宋体"/>
                <w:color w:val="000000" w:themeColor="text1"/>
                <w:sz w:val="24"/>
                <w:szCs w:val="24"/>
                <w14:textFill>
                  <w14:solidFill>
                    <w14:schemeClr w14:val="tx1"/>
                  </w14:solidFill>
                </w14:textFill>
              </w:rPr>
            </w:pPr>
          </w:p>
          <w:p w14:paraId="6C4D37EA">
            <w:pPr>
              <w:pStyle w:val="55"/>
              <w:rPr>
                <w:rFonts w:hint="eastAsia" w:ascii="宋体" w:hAnsi="宋体" w:cs="宋体"/>
                <w:color w:val="000000" w:themeColor="text1"/>
                <w:sz w:val="24"/>
                <w:szCs w:val="24"/>
                <w14:textFill>
                  <w14:solidFill>
                    <w14:schemeClr w14:val="tx1"/>
                  </w14:solidFill>
                </w14:textFill>
              </w:rPr>
            </w:pPr>
          </w:p>
          <w:p w14:paraId="7BC32916">
            <w:pPr>
              <w:pStyle w:val="55"/>
              <w:rPr>
                <w:rFonts w:hint="eastAsia" w:ascii="宋体" w:hAnsi="宋体" w:cs="宋体"/>
                <w:color w:val="000000" w:themeColor="text1"/>
                <w:sz w:val="24"/>
                <w:szCs w:val="24"/>
                <w14:textFill>
                  <w14:solidFill>
                    <w14:schemeClr w14:val="tx1"/>
                  </w14:solidFill>
                </w14:textFill>
              </w:rPr>
            </w:pPr>
          </w:p>
          <w:p w14:paraId="70DF545D">
            <w:pPr>
              <w:pStyle w:val="55"/>
              <w:rPr>
                <w:rFonts w:hint="eastAsia" w:ascii="宋体" w:hAnsi="宋体" w:cs="宋体"/>
                <w:color w:val="000000" w:themeColor="text1"/>
                <w:sz w:val="24"/>
                <w:szCs w:val="24"/>
                <w14:textFill>
                  <w14:solidFill>
                    <w14:schemeClr w14:val="tx1"/>
                  </w14:solidFill>
                </w14:textFill>
              </w:rPr>
            </w:pPr>
          </w:p>
          <w:p w14:paraId="75D08B00">
            <w:pPr>
              <w:pStyle w:val="55"/>
              <w:rPr>
                <w:rFonts w:hint="eastAsia" w:ascii="宋体" w:hAnsi="宋体" w:cs="宋体"/>
                <w:color w:val="000000" w:themeColor="text1"/>
                <w:sz w:val="24"/>
                <w:szCs w:val="24"/>
                <w14:textFill>
                  <w14:solidFill>
                    <w14:schemeClr w14:val="tx1"/>
                  </w14:solidFill>
                </w14:textFill>
              </w:rPr>
            </w:pPr>
          </w:p>
          <w:p w14:paraId="01126FDE">
            <w:pPr>
              <w:pStyle w:val="55"/>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图2.4-3  铁铸件工艺流程图</w:t>
            </w:r>
          </w:p>
          <w:p w14:paraId="1FE94261">
            <w:pPr>
              <w:pStyle w:val="13"/>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sz w:val="28"/>
          <w:szCs w:val="28"/>
          <w:lang w:val="en-US" w:eastAsia="zh-CN"/>
        </w:rPr>
        <w:drawing>
          <wp:inline distT="0" distB="0" distL="114300" distR="114300">
            <wp:extent cx="5267960" cy="2962910"/>
            <wp:effectExtent l="0" t="0" r="8890" b="8890"/>
            <wp:docPr id="11" name="图片 6" descr="6ac72e04856adf85c98a58d58f91a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6ac72e04856adf85c98a58d58f91a1a7"/>
                    <pic:cNvPicPr>
                      <a:picLocks noChangeAspect="1"/>
                    </pic:cNvPicPr>
                  </pic:nvPicPr>
                  <pic:blipFill>
                    <a:blip r:embed="rId6"/>
                    <a:stretch>
                      <a:fillRect/>
                    </a:stretch>
                  </pic:blipFill>
                  <pic:spPr>
                    <a:xfrm>
                      <a:off x="0" y="0"/>
                      <a:ext cx="5267960" cy="2962910"/>
                    </a:xfrm>
                    <a:prstGeom prst="rect">
                      <a:avLst/>
                    </a:prstGeom>
                    <a:noFill/>
                    <a:ln>
                      <a:noFill/>
                    </a:ln>
                  </pic:spPr>
                </pic:pic>
              </a:graphicData>
            </a:graphic>
          </wp:inline>
        </w:drawing>
      </w:r>
      <w:r>
        <w:rPr>
          <w:rFonts w:hint="eastAsia"/>
          <w:sz w:val="28"/>
          <w:szCs w:val="28"/>
          <w:lang w:val="en-US" w:eastAsia="zh-CN"/>
        </w:rPr>
        <w:drawing>
          <wp:inline distT="0" distB="0" distL="114300" distR="114300">
            <wp:extent cx="5268595" cy="3950335"/>
            <wp:effectExtent l="0" t="0" r="8255" b="12065"/>
            <wp:docPr id="12" name="图片 7" descr="15f04efb281a1de2d8f622ae24061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5f04efb281a1de2d8f622ae240618b5"/>
                    <pic:cNvPicPr>
                      <a:picLocks noChangeAspect="1"/>
                    </pic:cNvPicPr>
                  </pic:nvPicPr>
                  <pic:blipFill>
                    <a:blip r:embed="rId7"/>
                    <a:stretch>
                      <a:fillRect/>
                    </a:stretch>
                  </pic:blipFill>
                  <pic:spPr>
                    <a:xfrm>
                      <a:off x="0" y="0"/>
                      <a:ext cx="5268595" cy="3950335"/>
                    </a:xfrm>
                    <a:prstGeom prst="rect">
                      <a:avLst/>
                    </a:prstGeom>
                    <a:noFill/>
                    <a:ln>
                      <a:noFill/>
                    </a:ln>
                  </pic:spPr>
                </pic:pic>
              </a:graphicData>
            </a:graphic>
          </wp:inline>
        </w:drawing>
      </w:r>
    </w:p>
    <w:p w14:paraId="6D90DC4E">
      <w:r>
        <w:drawing>
          <wp:inline distT="0" distB="0" distL="114300" distR="114300">
            <wp:extent cx="5266690" cy="8219440"/>
            <wp:effectExtent l="0" t="0" r="10160" b="1016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8"/>
                    <a:stretch>
                      <a:fillRect/>
                    </a:stretch>
                  </pic:blipFill>
                  <pic:spPr>
                    <a:xfrm>
                      <a:off x="0" y="0"/>
                      <a:ext cx="5266690" cy="8219440"/>
                    </a:xfrm>
                    <a:prstGeom prst="rect">
                      <a:avLst/>
                    </a:prstGeom>
                    <a:noFill/>
                    <a:ln>
                      <a:noFill/>
                    </a:ln>
                  </pic:spPr>
                </pic:pic>
              </a:graphicData>
            </a:graphic>
          </wp:inline>
        </w:drawing>
      </w:r>
    </w:p>
    <w:p w14:paraId="33221B3D">
      <w:r>
        <w:br w:type="page"/>
      </w:r>
    </w:p>
    <w:p w14:paraId="6600AF64">
      <w:pPr>
        <w:bidi w:val="0"/>
        <w:rPr>
          <w:rFonts w:hint="eastAsia" w:ascii="Calibri" w:hAnsi="Calibri" w:eastAsia="宋体" w:cs="Times New Roman"/>
          <w:kern w:val="2"/>
          <w:sz w:val="21"/>
          <w:szCs w:val="24"/>
          <w:lang w:val="en-US" w:eastAsia="zh-CN" w:bidi="ar-SA"/>
        </w:rPr>
      </w:pPr>
      <w:r>
        <w:drawing>
          <wp:inline distT="0" distB="0" distL="114300" distR="114300">
            <wp:extent cx="5262245" cy="8011795"/>
            <wp:effectExtent l="0" t="0" r="14605" b="825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9"/>
                    <a:stretch>
                      <a:fillRect/>
                    </a:stretch>
                  </pic:blipFill>
                  <pic:spPr>
                    <a:xfrm>
                      <a:off x="0" y="0"/>
                      <a:ext cx="5262245" cy="8011795"/>
                    </a:xfrm>
                    <a:prstGeom prst="rect">
                      <a:avLst/>
                    </a:prstGeom>
                    <a:noFill/>
                    <a:ln>
                      <a:noFill/>
                    </a:ln>
                  </pic:spPr>
                </pic:pic>
              </a:graphicData>
            </a:graphic>
          </wp:inline>
        </w:drawing>
      </w:r>
    </w:p>
    <w:p w14:paraId="09B9134A">
      <w:pPr>
        <w:bidi w:val="0"/>
        <w:rPr>
          <w:rFonts w:hint="eastAsia"/>
          <w:lang w:val="en-US" w:eastAsia="zh-CN"/>
        </w:rPr>
      </w:pPr>
    </w:p>
    <w:p w14:paraId="0EEED2ED">
      <w:pPr>
        <w:bidi w:val="0"/>
        <w:rPr>
          <w:rFonts w:hint="eastAsia"/>
          <w:lang w:val="en-US" w:eastAsia="zh-CN"/>
        </w:rPr>
      </w:pPr>
    </w:p>
    <w:p w14:paraId="040755C3">
      <w:pPr>
        <w:bidi w:val="0"/>
        <w:rPr>
          <w:rFonts w:hint="eastAsia"/>
          <w:lang w:val="en-US" w:eastAsia="zh-CN"/>
        </w:rPr>
      </w:pPr>
    </w:p>
    <w:p w14:paraId="2378B6F3">
      <w:pPr>
        <w:rPr>
          <w:rFonts w:hint="eastAsia"/>
          <w:lang w:val="en-US" w:eastAsia="zh-CN"/>
        </w:rPr>
      </w:pPr>
      <w:bookmarkStart w:id="0" w:name="_GoBack"/>
      <w:bookmarkEnd w:id="0"/>
    </w:p>
    <w:p w14:paraId="6B960FC9">
      <w:pPr>
        <w:pStyle w:val="11"/>
        <w:rPr>
          <w:rFonts w:hint="eastAsia"/>
          <w:lang w:val="en-US" w:eastAsia="zh-CN"/>
        </w:rPr>
      </w:pPr>
      <w:r>
        <w:drawing>
          <wp:inline distT="0" distB="0" distL="114300" distR="114300">
            <wp:extent cx="5659120" cy="8019415"/>
            <wp:effectExtent l="0" t="0" r="17780" b="6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tretch>
                      <a:fillRect/>
                    </a:stretch>
                  </pic:blipFill>
                  <pic:spPr>
                    <a:xfrm>
                      <a:off x="0" y="0"/>
                      <a:ext cx="5659120" cy="8019415"/>
                    </a:xfrm>
                    <a:prstGeom prst="rect">
                      <a:avLst/>
                    </a:prstGeom>
                    <a:noFill/>
                    <a:ln>
                      <a:noFill/>
                    </a:ln>
                  </pic:spPr>
                </pic:pic>
              </a:graphicData>
            </a:graphic>
          </wp:inline>
        </w:drawing>
      </w:r>
    </w:p>
    <w:p w14:paraId="012FAA69">
      <w:r>
        <w:br w:type="page"/>
      </w:r>
    </w:p>
    <w:p w14:paraId="6236FC4C"/>
    <w:p w14:paraId="74E6BE4A">
      <w:pPr>
        <w:rPr>
          <w:rFonts w:hint="eastAsia"/>
          <w:lang w:eastAsia="zh-CN"/>
        </w:rPr>
      </w:pPr>
      <w:r>
        <w:drawing>
          <wp:anchor distT="0" distB="0" distL="114300" distR="114300" simplePos="0" relativeHeight="251661312" behindDoc="0" locked="0" layoutInCell="1" allowOverlap="1">
            <wp:simplePos x="0" y="0"/>
            <wp:positionH relativeFrom="column">
              <wp:posOffset>-200660</wp:posOffset>
            </wp:positionH>
            <wp:positionV relativeFrom="paragraph">
              <wp:posOffset>0</wp:posOffset>
            </wp:positionV>
            <wp:extent cx="5494020" cy="7783830"/>
            <wp:effectExtent l="0" t="0" r="11430" b="7620"/>
            <wp:wrapNone/>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1"/>
                    <a:stretch>
                      <a:fillRect/>
                    </a:stretch>
                  </pic:blipFill>
                  <pic:spPr>
                    <a:xfrm>
                      <a:off x="0" y="0"/>
                      <a:ext cx="5494020" cy="7783830"/>
                    </a:xfrm>
                    <a:prstGeom prst="rect">
                      <a:avLst/>
                    </a:prstGeom>
                    <a:noFill/>
                    <a:ln>
                      <a:noFill/>
                    </a:ln>
                  </pic:spPr>
                </pic:pic>
              </a:graphicData>
            </a:graphic>
          </wp:anchor>
        </w:drawing>
      </w:r>
      <w:r>
        <w:rPr>
          <w:rFonts w:hint="eastAsia"/>
          <w:lang w:eastAsia="zh-CN"/>
        </w:rPr>
        <w:br w:type="page"/>
      </w:r>
    </w:p>
    <w:p w14:paraId="3063B77D">
      <w:pPr>
        <w:rPr>
          <w:rFonts w:hint="eastAsia"/>
          <w:lang w:eastAsia="zh-CN"/>
        </w:rPr>
      </w:pPr>
      <w:r>
        <w:drawing>
          <wp:anchor distT="0" distB="0" distL="114300" distR="114300" simplePos="0" relativeHeight="251662336" behindDoc="0" locked="0" layoutInCell="1" allowOverlap="1">
            <wp:simplePos x="0" y="0"/>
            <wp:positionH relativeFrom="column">
              <wp:posOffset>-267335</wp:posOffset>
            </wp:positionH>
            <wp:positionV relativeFrom="paragraph">
              <wp:posOffset>151130</wp:posOffset>
            </wp:positionV>
            <wp:extent cx="5659755" cy="8018780"/>
            <wp:effectExtent l="0" t="0" r="17145" b="1270"/>
            <wp:wrapNone/>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5659755" cy="801878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F76AF"/>
    <w:multiLevelType w:val="singleLevel"/>
    <w:tmpl w:val="127F76AF"/>
    <w:lvl w:ilvl="0" w:tentative="0">
      <w:start w:val="2"/>
      <w:numFmt w:val="decimal"/>
      <w:lvlText w:val="%1."/>
      <w:lvlJc w:val="left"/>
      <w:pPr>
        <w:tabs>
          <w:tab w:val="left" w:pos="312"/>
        </w:tabs>
      </w:pPr>
    </w:lvl>
  </w:abstractNum>
  <w:abstractNum w:abstractNumId="1">
    <w:nsid w:val="5183855F"/>
    <w:multiLevelType w:val="singleLevel"/>
    <w:tmpl w:val="5183855F"/>
    <w:lvl w:ilvl="0" w:tentative="0">
      <w:start w:val="1"/>
      <w:numFmt w:val="chineseCounting"/>
      <w:pStyle w:val="48"/>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63F01CE"/>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DD53AF"/>
    <w:rsid w:val="3EEC7F81"/>
    <w:rsid w:val="3FA71C20"/>
    <w:rsid w:val="3FDA2F9E"/>
    <w:rsid w:val="40606FB3"/>
    <w:rsid w:val="408A0869"/>
    <w:rsid w:val="40995D81"/>
    <w:rsid w:val="40DC28F6"/>
    <w:rsid w:val="416C231C"/>
    <w:rsid w:val="41B906C9"/>
    <w:rsid w:val="41C84509"/>
    <w:rsid w:val="41DD560D"/>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8A114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autoRedefine/>
    <w:unhideWhenUsed/>
    <w:qFormat/>
    <w:uiPriority w:val="0"/>
    <w:pPr>
      <w:keepNext/>
      <w:keepLines/>
      <w:outlineLvl w:val="3"/>
    </w:pPr>
    <w:rPr>
      <w:b/>
    </w:rPr>
  </w:style>
  <w:style w:type="character" w:default="1" w:styleId="28">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1"/>
    <w:basedOn w:val="3"/>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3">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styleId="8">
    <w:name w:val="table of authorities"/>
    <w:basedOn w:val="1"/>
    <w:next w:val="1"/>
    <w:qFormat/>
    <w:uiPriority w:val="0"/>
    <w:pPr>
      <w:ind w:left="420" w:leftChars="200"/>
    </w:pPr>
  </w:style>
  <w:style w:type="paragraph" w:styleId="9">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10">
    <w:name w:val="annotation text"/>
    <w:basedOn w:val="1"/>
    <w:qFormat/>
    <w:uiPriority w:val="0"/>
    <w:pPr>
      <w:jc w:val="left"/>
    </w:pPr>
  </w:style>
  <w:style w:type="paragraph" w:styleId="11">
    <w:name w:val="Body Text"/>
    <w:basedOn w:val="1"/>
    <w:next w:val="12"/>
    <w:autoRedefine/>
    <w:qFormat/>
    <w:uiPriority w:val="99"/>
    <w:rPr>
      <w:sz w:val="28"/>
      <w:szCs w:val="28"/>
    </w:rPr>
  </w:style>
  <w:style w:type="paragraph" w:customStyle="1" w:styleId="12">
    <w:name w:val="xl27"/>
    <w:basedOn w:val="8"/>
    <w:autoRedefine/>
    <w:qFormat/>
    <w:uiPriority w:val="0"/>
    <w:pPr>
      <w:widowControl/>
      <w:pBdr>
        <w:bottom w:val="single" w:color="auto" w:sz="12" w:space="0"/>
      </w:pBdr>
      <w:adjustRightInd w:val="0"/>
      <w:spacing w:before="100" w:after="100" w:line="360" w:lineRule="auto"/>
      <w:ind w:firstLine="576" w:firstLineChars="200"/>
      <w:jc w:val="center"/>
    </w:pPr>
    <w:rPr>
      <w:rFonts w:eastAsia="仿宋_GB2312"/>
      <w:spacing w:val="4"/>
      <w:sz w:val="24"/>
    </w:rPr>
  </w:style>
  <w:style w:type="paragraph" w:styleId="13">
    <w:name w:val="Body Text Indent"/>
    <w:basedOn w:val="1"/>
    <w:next w:val="1"/>
    <w:autoRedefine/>
    <w:unhideWhenUsed/>
    <w:qFormat/>
    <w:uiPriority w:val="99"/>
    <w:pPr>
      <w:spacing w:after="120"/>
      <w:ind w:left="420" w:leftChars="200"/>
    </w:pPr>
  </w:style>
  <w:style w:type="paragraph" w:styleId="14">
    <w:name w:val="toc 5"/>
    <w:basedOn w:val="1"/>
    <w:next w:val="1"/>
    <w:autoRedefine/>
    <w:semiHidden/>
    <w:qFormat/>
    <w:uiPriority w:val="0"/>
    <w:pPr>
      <w:ind w:left="1120"/>
      <w:jc w:val="left"/>
    </w:pPr>
    <w:rPr>
      <w:sz w:val="18"/>
      <w:szCs w:val="18"/>
    </w:rPr>
  </w:style>
  <w:style w:type="paragraph" w:styleId="15">
    <w:name w:val="Plain Text"/>
    <w:basedOn w:val="1"/>
    <w:autoRedefine/>
    <w:qFormat/>
    <w:uiPriority w:val="0"/>
    <w:rPr>
      <w:rFonts w:ascii="宋体" w:hAnsi="Courier New" w:cs="Courier New"/>
      <w:szCs w:val="21"/>
    </w:rPr>
  </w:style>
  <w:style w:type="paragraph" w:styleId="16">
    <w:name w:val="Date"/>
    <w:basedOn w:val="1"/>
    <w:next w:val="1"/>
    <w:link w:val="52"/>
    <w:autoRedefine/>
    <w:qFormat/>
    <w:uiPriority w:val="0"/>
    <w:pPr>
      <w:ind w:left="100" w:leftChars="2500"/>
    </w:pPr>
    <w:rPr>
      <w:rFonts w:ascii="Times New Roman" w:hAnsi="Times New Roman"/>
      <w:b/>
      <w:bCs/>
      <w:sz w:val="28"/>
    </w:rPr>
  </w:style>
  <w:style w:type="paragraph" w:styleId="17">
    <w:name w:val="Body Text Indent 2"/>
    <w:basedOn w:val="1"/>
    <w:autoRedefine/>
    <w:qFormat/>
    <w:uiPriority w:val="0"/>
    <w:pPr>
      <w:ind w:firstLine="538" w:firstLineChars="192"/>
    </w:pPr>
    <w:rPr>
      <w:rFonts w:ascii="宋体" w:hAnsi="宋体"/>
      <w:sz w:val="28"/>
    </w:rPr>
  </w:style>
  <w:style w:type="paragraph" w:styleId="18">
    <w:name w:val="Balloon Text"/>
    <w:basedOn w:val="1"/>
    <w:link w:val="38"/>
    <w:autoRedefine/>
    <w:qFormat/>
    <w:uiPriority w:val="0"/>
    <w:rPr>
      <w:sz w:val="18"/>
      <w:szCs w:val="18"/>
    </w:rPr>
  </w:style>
  <w:style w:type="paragraph" w:styleId="19">
    <w:name w:val="footer"/>
    <w:basedOn w:val="1"/>
    <w:autoRedefine/>
    <w:qFormat/>
    <w:uiPriority w:val="99"/>
    <w:pPr>
      <w:tabs>
        <w:tab w:val="center" w:pos="4153"/>
        <w:tab w:val="right" w:pos="8306"/>
      </w:tabs>
      <w:snapToGrid w:val="0"/>
    </w:pPr>
    <w:rPr>
      <w:sz w:val="18"/>
      <w:szCs w:val="18"/>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pPr>
      <w:jc w:val="left"/>
    </w:pPr>
    <w:rPr>
      <w:rFonts w:ascii="宋体"/>
      <w:b/>
      <w:bCs/>
      <w:caps/>
      <w:sz w:val="20"/>
      <w:szCs w:val="20"/>
    </w:rPr>
  </w:style>
  <w:style w:type="paragraph" w:styleId="22">
    <w:name w:val="Body Text Indent 3"/>
    <w:basedOn w:val="1"/>
    <w:autoRedefine/>
    <w:qFormat/>
    <w:uiPriority w:val="0"/>
    <w:pPr>
      <w:ind w:firstLine="630"/>
    </w:pPr>
    <w:rPr>
      <w:rFonts w:ascii="Times New Roman" w:hAnsi="Times New Roman" w:eastAsia="仿宋_GB2312"/>
      <w:sz w:val="28"/>
    </w:rPr>
  </w:style>
  <w:style w:type="paragraph" w:styleId="23">
    <w:name w:val="Normal (Web)"/>
    <w:basedOn w:val="1"/>
    <w:next w:val="24"/>
    <w:autoRedefine/>
    <w:qFormat/>
    <w:uiPriority w:val="0"/>
    <w:pPr>
      <w:spacing w:before="100" w:beforeAutospacing="1" w:after="100" w:afterAutospacing="1"/>
      <w:jc w:val="left"/>
    </w:pPr>
    <w:rPr>
      <w:kern w:val="0"/>
      <w:sz w:val="24"/>
    </w:rPr>
  </w:style>
  <w:style w:type="paragraph" w:customStyle="1" w:styleId="24">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5">
    <w:name w:val="Body Text First Indent"/>
    <w:basedOn w:val="11"/>
    <w:autoRedefine/>
    <w:qFormat/>
    <w:uiPriority w:val="0"/>
    <w:pPr>
      <w:spacing w:after="120"/>
      <w:ind w:firstLine="420" w:firstLineChars="100"/>
    </w:pPr>
  </w:style>
  <w:style w:type="paragraph" w:styleId="26">
    <w:name w:val="Body Text First Indent 2"/>
    <w:basedOn w:val="13"/>
    <w:next w:val="25"/>
    <w:autoRedefine/>
    <w:unhideWhenUsed/>
    <w:qFormat/>
    <w:uiPriority w:val="99"/>
    <w:pPr>
      <w:ind w:firstLine="420" w:firstLineChars="200"/>
    </w:pPr>
  </w:style>
  <w:style w:type="character" w:styleId="29">
    <w:name w:val="annotation reference"/>
    <w:qFormat/>
    <w:uiPriority w:val="0"/>
    <w:rPr>
      <w:sz w:val="21"/>
      <w:szCs w:val="21"/>
    </w:rPr>
  </w:style>
  <w:style w:type="paragraph" w:customStyle="1" w:styleId="3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Default"/>
    <w:basedOn w:val="32"/>
    <w:next w:val="26"/>
    <w:autoRedefine/>
    <w:qFormat/>
    <w:uiPriority w:val="0"/>
    <w:pPr>
      <w:autoSpaceDE w:val="0"/>
      <w:autoSpaceDN w:val="0"/>
    </w:pPr>
    <w:rPr>
      <w:rFonts w:hint="eastAsia" w:ascii="宋体"/>
      <w:sz w:val="24"/>
    </w:rPr>
  </w:style>
  <w:style w:type="paragraph" w:customStyle="1" w:styleId="32">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3">
    <w:name w:val="正文2"/>
    <w:basedOn w:val="1"/>
    <w:autoRedefine/>
    <w:qFormat/>
    <w:uiPriority w:val="0"/>
    <w:pPr>
      <w:spacing w:line="440" w:lineRule="atLeast"/>
      <w:ind w:firstLine="567"/>
    </w:pPr>
    <w:rPr>
      <w:sz w:val="24"/>
      <w:szCs w:val="20"/>
    </w:rPr>
  </w:style>
  <w:style w:type="paragraph" w:customStyle="1" w:styleId="34">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5">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6">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37">
    <w:name w:val="p0"/>
    <w:basedOn w:val="1"/>
    <w:autoRedefine/>
    <w:qFormat/>
    <w:uiPriority w:val="0"/>
    <w:pPr>
      <w:widowControl/>
    </w:pPr>
    <w:rPr>
      <w:kern w:val="0"/>
      <w:szCs w:val="21"/>
    </w:rPr>
  </w:style>
  <w:style w:type="character" w:customStyle="1" w:styleId="38">
    <w:name w:val="批注框文本 字符"/>
    <w:basedOn w:val="28"/>
    <w:link w:val="18"/>
    <w:autoRedefine/>
    <w:qFormat/>
    <w:uiPriority w:val="0"/>
    <w:rPr>
      <w:rFonts w:ascii="Calibri" w:hAnsi="Calibri"/>
      <w:kern w:val="2"/>
      <w:sz w:val="18"/>
      <w:szCs w:val="18"/>
    </w:rPr>
  </w:style>
  <w:style w:type="paragraph" w:customStyle="1" w:styleId="39">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40">
    <w:name w:val="表头 Char Char Char"/>
    <w:basedOn w:val="28"/>
    <w:autoRedefine/>
    <w:qFormat/>
    <w:uiPriority w:val="0"/>
    <w:rPr>
      <w:rFonts w:ascii="宋体" w:hAnsi="Tahoma" w:eastAsia="宋体"/>
      <w:snapToGrid w:val="0"/>
      <w:spacing w:val="6"/>
      <w:kern w:val="10"/>
      <w:sz w:val="24"/>
    </w:rPr>
  </w:style>
  <w:style w:type="paragraph" w:customStyle="1" w:styleId="41">
    <w:name w:val="表格居中"/>
    <w:basedOn w:val="42"/>
    <w:autoRedefine/>
    <w:qFormat/>
    <w:uiPriority w:val="0"/>
    <w:pPr>
      <w:jc w:val="center"/>
    </w:pPr>
  </w:style>
  <w:style w:type="paragraph" w:customStyle="1" w:styleId="42">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3">
    <w:name w:val="伟灿工贸-表格文字"/>
    <w:basedOn w:val="1"/>
    <w:autoRedefine/>
    <w:qFormat/>
    <w:uiPriority w:val="0"/>
    <w:pPr>
      <w:jc w:val="center"/>
    </w:pPr>
    <w:rPr>
      <w:rFonts w:hint="eastAsia" w:ascii="宋体" w:hAnsi="宋体" w:cs="宋体"/>
      <w:szCs w:val="21"/>
    </w:rPr>
  </w:style>
  <w:style w:type="paragraph" w:customStyle="1" w:styleId="44">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5">
    <w:name w:val="表名、图名"/>
    <w:basedOn w:val="1"/>
    <w:next w:val="1"/>
    <w:autoRedefine/>
    <w:qFormat/>
    <w:uiPriority w:val="0"/>
    <w:pPr>
      <w:jc w:val="center"/>
    </w:pPr>
    <w:rPr>
      <w:b/>
      <w:bCs/>
    </w:rPr>
  </w:style>
  <w:style w:type="paragraph" w:customStyle="1" w:styleId="46">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7">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8">
    <w:name w:val="工艺序号"/>
    <w:basedOn w:val="1"/>
    <w:autoRedefine/>
    <w:qFormat/>
    <w:uiPriority w:val="0"/>
    <w:pPr>
      <w:numPr>
        <w:ilvl w:val="0"/>
        <w:numId w:val="1"/>
      </w:numPr>
    </w:pPr>
    <w:rPr>
      <w:b/>
      <w:bCs/>
    </w:rPr>
  </w:style>
  <w:style w:type="paragraph" w:customStyle="1" w:styleId="49">
    <w:name w:val="伟灿-表格文字"/>
    <w:basedOn w:val="1"/>
    <w:autoRedefine/>
    <w:qFormat/>
    <w:uiPriority w:val="0"/>
    <w:pPr>
      <w:jc w:val="center"/>
    </w:pPr>
    <w:rPr>
      <w:rFonts w:hint="eastAsia" w:ascii="宋体" w:hAnsi="宋体" w:cs="宋体"/>
      <w:szCs w:val="21"/>
    </w:rPr>
  </w:style>
  <w:style w:type="paragraph" w:styleId="50">
    <w:name w:val="List Paragraph"/>
    <w:basedOn w:val="1"/>
    <w:autoRedefine/>
    <w:qFormat/>
    <w:uiPriority w:val="99"/>
    <w:pPr>
      <w:ind w:firstLine="420" w:firstLineChars="200"/>
    </w:pPr>
  </w:style>
  <w:style w:type="paragraph" w:customStyle="1" w:styleId="51">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2">
    <w:name w:val="日期 字符"/>
    <w:basedOn w:val="28"/>
    <w:link w:val="16"/>
    <w:autoRedefine/>
    <w:qFormat/>
    <w:uiPriority w:val="0"/>
    <w:rPr>
      <w:b/>
      <w:bCs/>
      <w:kern w:val="2"/>
      <w:sz w:val="28"/>
      <w:szCs w:val="24"/>
    </w:rPr>
  </w:style>
  <w:style w:type="paragraph" w:customStyle="1" w:styleId="53">
    <w:name w:val="表格字体"/>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4">
    <w:name w:val="报告表正文"/>
    <w:qFormat/>
    <w:uiPriority w:val="0"/>
    <w:pPr>
      <w:widowControl w:val="0"/>
      <w:spacing w:line="360" w:lineRule="auto"/>
      <w:ind w:firstLine="640" w:firstLineChars="200"/>
      <w:jc w:val="both"/>
    </w:pPr>
    <w:rPr>
      <w:rFonts w:ascii="Arial" w:hAnsi="Arial" w:eastAsia="宋体" w:cs="Arial"/>
      <w:color w:val="0000FF"/>
      <w:kern w:val="2"/>
      <w:sz w:val="24"/>
      <w:szCs w:val="24"/>
      <w:lang w:val="en-US" w:eastAsia="zh-CN" w:bidi="ar-SA"/>
    </w:rPr>
  </w:style>
  <w:style w:type="paragraph" w:customStyle="1" w:styleId="55">
    <w:name w:val="【郭标题】"/>
    <w:qFormat/>
    <w:uiPriority w:val="0"/>
    <w:pPr>
      <w:jc w:val="center"/>
    </w:pPr>
    <w:rPr>
      <w:rFonts w:ascii="Times New Roman" w:hAnsi="Times New Roman" w:eastAsia="宋体" w:cs="Times New Roman"/>
      <w:b/>
      <w:bCs/>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11</Pages>
  <Words>1999</Words>
  <Characters>2207</Characters>
  <Lines>8</Lines>
  <Paragraphs>2</Paragraphs>
  <TotalTime>0</TotalTime>
  <ScaleCrop>false</ScaleCrop>
  <LinksUpToDate>false</LinksUpToDate>
  <CharactersWithSpaces>2219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2026-01-04T02:29:54Z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6075F1AB855A478C9493B6BBA953A721_13</vt:lpwstr>
  </property>
  <property fmtid="{D5CDD505-2E9C-101B-9397-08002B2CF9AE}" pid="4" name="KSOTemplateDocerSaveRecord">
    <vt:lpwstr>eyJoZGlkIjoiNDgzMjdiZTZhYWEwMDUyMzMwMzdhZWM2ZmNjMGMzMDkiLCJ1c2VySWQiOiI1NzcyNjAwMzgifQ==</vt:lpwstr>
  </property>
</Properties>
</file>