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46CA59A8">
            <w:pPr>
              <w:widowControl/>
              <w:spacing w:after="150"/>
              <w:jc w:val="center"/>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eastAsia="zh-CN"/>
              </w:rPr>
              <w:t>中国石油天然气股份有限公司江西销售分公司</w:t>
            </w:r>
          </w:p>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中国石油寻乌吉潭LNG汽车加气站项目安全预评价报告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eastAsia="宋体" w:cs="Times New Roman"/>
                <w:sz w:val="24"/>
                <w:szCs w:val="24"/>
              </w:rPr>
              <w:t>蓝家财</w:t>
            </w:r>
          </w:p>
        </w:tc>
        <w:tc>
          <w:tcPr>
            <w:tcW w:w="5689" w:type="dxa"/>
            <w:tcBorders>
              <w:tl2br w:val="nil"/>
              <w:tr2bl w:val="nil"/>
            </w:tcBorders>
            <w:shd w:val="clear" w:color="auto" w:fill="FFFFFF"/>
            <w:vAlign w:val="center"/>
          </w:tcPr>
          <w:p w14:paraId="74203271">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eastAsia="宋体" w:cs="宋体"/>
                <w:sz w:val="24"/>
                <w:szCs w:val="24"/>
                <w:lang w:bidi="zh-TW"/>
              </w:rPr>
              <w:t>CAWS530000230200862</w:t>
            </w:r>
          </w:p>
        </w:tc>
        <w:tc>
          <w:tcPr>
            <w:tcW w:w="2508" w:type="dxa"/>
            <w:tcBorders>
              <w:tl2br w:val="nil"/>
              <w:tr2bl w:val="nil"/>
            </w:tcBorders>
            <w:shd w:val="clear" w:color="auto" w:fill="FFFFFF"/>
            <w:vAlign w:val="center"/>
          </w:tcPr>
          <w:p w14:paraId="3EA9A323">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eastAsia="宋体" w:cs="宋体"/>
                <w:sz w:val="24"/>
                <w:szCs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舒斌</w:t>
            </w:r>
          </w:p>
        </w:tc>
        <w:tc>
          <w:tcPr>
            <w:tcW w:w="5689"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 xml:space="preserve">0800000000205889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赵云峰</w:t>
            </w:r>
          </w:p>
        </w:tc>
        <w:tc>
          <w:tcPr>
            <w:tcW w:w="5689" w:type="dxa"/>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1600000000200809</w:t>
            </w:r>
          </w:p>
        </w:tc>
        <w:tc>
          <w:tcPr>
            <w:tcW w:w="2508"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17"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eastAsia="宋体" w:cs="宋体"/>
                <w:sz w:val="24"/>
                <w:szCs w:val="24"/>
              </w:rPr>
              <w:t>刘二平</w:t>
            </w:r>
          </w:p>
        </w:tc>
        <w:tc>
          <w:tcPr>
            <w:tcW w:w="5689"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eastAsia="宋体" w:cs="宋体"/>
                <w:sz w:val="24"/>
                <w:szCs w:val="24"/>
              </w:rPr>
              <w:t>03320241036000000887</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bookmarkStart w:id="0" w:name="_GoBack"/>
            <w:bookmarkEnd w:id="0"/>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2025年12月11日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color w:val="auto"/>
                <w:sz w:val="24"/>
                <w:lang w:val="en-US" w:eastAsia="zh-CN"/>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41DBE822">
            <w:pPr>
              <w:pStyle w:val="10"/>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中国石油天然气股份有限公司江西赣州寻乌吉潭加油站位于江西省赣州市寻乌县吉潭高速出入口（济广高速）。该加油站已取得赣州市行政审批局颁发的《危险化学品经营许可证》（证书编号：赣虔安经字[2024]0000158，许可范围：汽油、柴油零售零售；有效期：2024年11月22日至2027年11月21日）及赣州市行政审批局颁发的《成品油零售经营批准证书》（油零售证书：虔0234号，有效期：2021年12月30日至2026年12月29日）。该公司已取得建设用地规划许可证，地字第360734202000021。</w:t>
            </w:r>
          </w:p>
          <w:p w14:paraId="57509BD2">
            <w:pPr>
              <w:pStyle w:val="10"/>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该站现有3台30立方米SF双层汽油罐、2台30立方米SF双层柴油罐，油罐总容积为150立方米，柴油折半计入后总容积为120立方米，4台双枪双油品潜油泵加油机，本站设卸油油气回收、加油油气回收系统。根据《汽车加油加气加氢站技术标准》GB50156-2021规定，该站原为二级加油站。</w:t>
            </w:r>
          </w:p>
          <w:p w14:paraId="349B1C04">
            <w:pPr>
              <w:pStyle w:val="10"/>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2025年11月06日中国石油天然气股份有限公司江西赣州销售分公司取得赣州市发展和改革委员会《关于中国石油寻乌吉潭LNG汽车加气站项目符合能源发展规划的复函》，同意建设中国石油寻乌吉潭LNG汽车加气站项目。</w:t>
            </w:r>
          </w:p>
          <w:p w14:paraId="7822AA13">
            <w:pPr>
              <w:pStyle w:val="10"/>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建设规模和内容：</w:t>
            </w:r>
          </w:p>
          <w:p w14:paraId="10620622">
            <w:pPr>
              <w:pStyle w:val="10"/>
              <w:ind w:firstLine="480" w:firstLineChars="200"/>
              <w:rPr>
                <w:rFonts w:hint="default"/>
                <w:lang w:val="en-US" w:eastAsia="zh-CN"/>
              </w:rPr>
            </w:pPr>
            <w:r>
              <w:rPr>
                <w:rFonts w:hint="default" w:ascii="Times New Roman" w:hAnsi="Times New Roman" w:eastAsia="宋体" w:cs="Times New Roman"/>
                <w:kern w:val="2"/>
                <w:sz w:val="24"/>
                <w:szCs w:val="24"/>
                <w:lang w:val="en-US" w:eastAsia="zh-CN" w:bidi="ar-SA"/>
              </w:rPr>
              <w:t>箱式LNG全橇装设备一台:包含60立方米地上卧式LNG储罐1台，双泵潜液泵橇1台300Nm³/h卸车增压气化器1台，150Nm³/h低压LNG加热器1台，2台单枪LNG加气机，根据《汽车加油加气加氢站技术标准》GB50156-2021规定，120/240+60/180=0.83，该站建成后为一级加油与LNG加气合建站</w:t>
            </w:r>
            <w:r>
              <w:rPr>
                <w:rFonts w:hint="eastAsia" w:ascii="Times New Roman" w:hAnsi="Times New Roman" w:cs="Times New Roman"/>
                <w:kern w:val="2"/>
                <w:sz w:val="24"/>
                <w:szCs w:val="24"/>
                <w:lang w:val="en-US" w:eastAsia="zh-CN" w:bidi="ar-SA"/>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1"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6F393E07">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LNG天然气经营储存过程中包括加气和卸车工艺，工艺流程如下：</w:t>
            </w:r>
          </w:p>
          <w:p w14:paraId="59E5611A">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（1）加气工艺</w:t>
            </w:r>
          </w:p>
          <w:p w14:paraId="414FDB40">
            <w:pPr>
              <w:widowControl w:val="0"/>
              <w:kinsoku/>
              <w:autoSpaceDE/>
              <w:autoSpaceDN/>
              <w:adjustRightInd/>
              <w:snapToGrid/>
              <w:spacing w:line="540" w:lineRule="exact"/>
              <w:ind w:firstLine="480" w:firstLineChars="200"/>
              <w:jc w:val="both"/>
              <w:textAlignment w:val="auto"/>
              <w:rPr>
                <w:rFonts w:ascii="Arial" w:hAnsi="Arial" w:eastAsia="Arial" w:cs="Arial"/>
                <w:snapToGrid w:val="0"/>
                <w:color w:val="auto"/>
                <w:kern w:val="0"/>
                <w:sz w:val="24"/>
                <w:szCs w:val="24"/>
              </w:rPr>
            </w:pPr>
            <w:r>
              <w:rPr>
                <w:rFonts w:ascii="Times New Roman" w:hAnsi="Times New Roman" w:eastAsia="宋体" w:cs="Times New Roman"/>
                <w:snapToGrid w:val="0"/>
                <w:color w:val="auto"/>
                <w:kern w:val="21"/>
                <w:position w:val="2"/>
                <w:sz w:val="24"/>
                <w:szCs w:val="24"/>
              </w:rPr>
              <w:t>储罐内LNG经潜液泵输送至LNG加气机，在车辆停稳、发动机熄火后，接好接地线，方可将气箱口盖打开、用加气枪加气。</w:t>
            </w:r>
            <w:r>
              <w:rPr>
                <w:rFonts w:hint="eastAsia" w:ascii="Times New Roman" w:hAnsi="Times New Roman" w:eastAsia="宋体" w:cs="Times New Roman"/>
                <w:snapToGrid w:val="0"/>
                <w:color w:val="auto"/>
                <w:kern w:val="21"/>
                <w:position w:val="2"/>
                <w:sz w:val="24"/>
                <w:szCs w:val="24"/>
              </w:rPr>
              <w:t>加注前后可能涉及对车辆气瓶系统的吹扫与预冷。加气枪操作前也需吹扫，以清除冰渣。</w:t>
            </w:r>
            <w:r>
              <w:rPr>
                <w:rFonts w:ascii="Times New Roman" w:hAnsi="Times New Roman" w:eastAsia="宋体" w:cs="Times New Roman"/>
                <w:snapToGrid w:val="0"/>
                <w:color w:val="auto"/>
                <w:kern w:val="21"/>
                <w:position w:val="2"/>
                <w:sz w:val="24"/>
                <w:szCs w:val="24"/>
              </w:rPr>
              <w:t>加气完毕，应尽快将枪放回托架内。储气箱的气体经加液回气管回至储罐。加气机有IC卡接口，流量信号可远传到计算机进行集中管理。</w:t>
            </w:r>
          </w:p>
          <w:p w14:paraId="67B12B38">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（2）卸车工艺</w:t>
            </w:r>
          </w:p>
          <w:p w14:paraId="16161E54">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8"/>
                <w:szCs w:val="28"/>
              </w:rPr>
            </w:pPr>
            <w:r>
              <w:rPr>
                <w:rFonts w:ascii="Times New Roman" w:hAnsi="Times New Roman" w:eastAsia="宋体" w:cs="Times New Roman"/>
                <w:snapToGrid w:val="0"/>
                <w:color w:val="auto"/>
                <w:kern w:val="21"/>
                <w:position w:val="2"/>
                <w:sz w:val="24"/>
                <w:szCs w:val="24"/>
              </w:rPr>
              <w:t>LNG由槽车通过公路运输至加气站后，静电连接，接通相应的管道</w:t>
            </w:r>
            <w:r>
              <w:rPr>
                <w:rFonts w:ascii="Times New Roman" w:hAnsi="Times New Roman" w:eastAsia="宋体" w:cs="Times New Roman"/>
                <w:snapToGrid w:val="0"/>
                <w:color w:val="auto"/>
                <w:kern w:val="21"/>
                <w:position w:val="2"/>
                <w:sz w:val="28"/>
                <w:szCs w:val="28"/>
              </w:rPr>
              <w:t>。</w:t>
            </w:r>
          </w:p>
          <w:p w14:paraId="4E96A99E">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潜液泵卸车：</w:t>
            </w:r>
          </w:p>
          <w:p w14:paraId="23BD5B3D">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打开槽罐出液阀和卸车台进液阀，在重力作用下，LNG自槽罐流入LNG泵内预冷泵，当LNG泵预冷温度达到设定值时，按LNG潜液泵启动按钮，采用顶部进液开始卸液，在卸液过程中密切观察储罐和槽罐液位、压力变化，LNG泵出口压力与LNG储罐的压差≤0.35MPa，当罐液位达到最高允许充装量时系统自动停止卸车，卸车停止后，将进液管路中的残液压入罐中，手动关闭槽车的出液阀，将出液口切换到与槽车气相区相通，利用槽车的气相压力将进液管内的残液压入罐内后关闭进液阀。</w:t>
            </w:r>
          </w:p>
          <w:p w14:paraId="24CF2862">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4"/>
                <w:szCs w:val="24"/>
              </w:rPr>
            </w:pPr>
            <w:r>
              <w:rPr>
                <w:rFonts w:ascii="Times New Roman" w:hAnsi="Times New Roman" w:eastAsia="宋体" w:cs="Times New Roman"/>
                <w:snapToGrid w:val="0"/>
                <w:color w:val="auto"/>
                <w:kern w:val="21"/>
                <w:position w:val="2"/>
                <w:sz w:val="24"/>
                <w:szCs w:val="24"/>
              </w:rPr>
              <w:t>压差卸液：</w:t>
            </w:r>
          </w:p>
          <w:p w14:paraId="45D778A8">
            <w:pPr>
              <w:widowControl w:val="0"/>
              <w:kinsoku/>
              <w:autoSpaceDE/>
              <w:autoSpaceDN/>
              <w:adjustRightInd/>
              <w:snapToGrid/>
              <w:spacing w:line="540" w:lineRule="exact"/>
              <w:ind w:firstLine="480" w:firstLineChars="200"/>
              <w:jc w:val="both"/>
              <w:textAlignment w:val="auto"/>
              <w:rPr>
                <w:rFonts w:ascii="Times New Roman" w:hAnsi="Times New Roman" w:eastAsia="宋体" w:cs="Times New Roman"/>
                <w:snapToGrid w:val="0"/>
                <w:color w:val="auto"/>
                <w:kern w:val="21"/>
                <w:position w:val="2"/>
                <w:sz w:val="28"/>
                <w:szCs w:val="28"/>
              </w:rPr>
            </w:pPr>
            <w:r>
              <w:rPr>
                <w:rFonts w:ascii="Times New Roman" w:hAnsi="Times New Roman" w:eastAsia="宋体" w:cs="Times New Roman"/>
                <w:snapToGrid w:val="0"/>
                <w:color w:val="auto"/>
                <w:kern w:val="21"/>
                <w:position w:val="2"/>
                <w:sz w:val="24"/>
                <w:szCs w:val="24"/>
              </w:rPr>
              <w:t>利用卸车增压气化器增压槽车储罐，利用压差将LNG压至储罐。检查接地装置使其良好，消防器材准备到位，接好接地线（接地夹禁止装在槽车、卸气口附近），静默15分钟后计量，并且用压缩空气吹扫干净卸气口，确认、卸气储罐的空容量，卸气中注意观察管线、阀门等相关设备的运行情况。槽车卸车液相口连接卸车气化器的进口，卸车气化器的出口连接槽车卸车气相口，槽车出液口连接储罐的进液口，连接完毕后，开始槽车增压至0.3MPa，再打开进液管道的阀门，开始卸气，增压过程中注意系统的压力变化，卸气完毕关好阀门，拆除管线，关闭相关阀门，收回静电接地线，将消防器材放回原处，清理现场，静置5分钟</w:t>
            </w:r>
            <w:r>
              <w:rPr>
                <w:rFonts w:ascii="Times New Roman" w:hAnsi="Times New Roman" w:eastAsia="宋体" w:cs="Times New Roman"/>
                <w:snapToGrid w:val="0"/>
                <w:color w:val="auto"/>
                <w:kern w:val="21"/>
                <w:position w:val="2"/>
                <w:sz w:val="28"/>
                <w:szCs w:val="28"/>
              </w:rPr>
              <w:t>。</w:t>
            </w:r>
          </w:p>
          <w:p w14:paraId="1411CCBF">
            <w:pPr>
              <w:widowControl w:val="0"/>
              <w:kinsoku/>
              <w:autoSpaceDE/>
              <w:autoSpaceDN/>
              <w:adjustRightInd/>
              <w:snapToGrid/>
              <w:jc w:val="center"/>
              <w:textAlignment w:val="auto"/>
              <w:rPr>
                <w:rFonts w:ascii="Arial" w:hAnsi="Arial" w:eastAsia="Arial" w:cs="Arial"/>
                <w:snapToGrid w:val="0"/>
                <w:color w:val="auto"/>
                <w:kern w:val="0"/>
                <w:szCs w:val="21"/>
              </w:rPr>
            </w:pPr>
            <w:r>
              <w:rPr>
                <w:rFonts w:ascii="Arial" w:hAnsi="Arial" w:eastAsia="Arial" w:cs="Arial"/>
                <w:snapToGrid w:val="0"/>
                <w:color w:val="auto"/>
                <w:kern w:val="0"/>
                <w:szCs w:val="21"/>
              </w:rPr>
              <w:drawing>
                <wp:inline distT="0" distB="0" distL="114300" distR="114300">
                  <wp:extent cx="5934075" cy="2933065"/>
                  <wp:effectExtent l="0" t="0" r="9525" b="825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4"/>
                          <a:stretch>
                            <a:fillRect/>
                          </a:stretch>
                        </pic:blipFill>
                        <pic:spPr>
                          <a:xfrm>
                            <a:off x="0" y="0"/>
                            <a:ext cx="5934075" cy="2933065"/>
                          </a:xfrm>
                          <a:prstGeom prst="rect">
                            <a:avLst/>
                          </a:prstGeom>
                          <a:noFill/>
                          <a:ln>
                            <a:noFill/>
                          </a:ln>
                        </pic:spPr>
                      </pic:pic>
                    </a:graphicData>
                  </a:graphic>
                </wp:inline>
              </w:drawing>
            </w:r>
          </w:p>
          <w:p w14:paraId="3FEF2195">
            <w:pPr>
              <w:widowControl w:val="0"/>
              <w:kinsoku/>
              <w:autoSpaceDE/>
              <w:autoSpaceDN/>
              <w:adjustRightInd/>
              <w:snapToGrid/>
              <w:jc w:val="center"/>
              <w:textAlignment w:val="auto"/>
              <w:rPr>
                <w:rFonts w:ascii="Times New Roman" w:hAnsi="Times New Roman" w:eastAsia="宋体" w:cs="Times New Roman"/>
                <w:b/>
                <w:bCs/>
                <w:snapToGrid w:val="0"/>
                <w:color w:val="auto"/>
                <w:kern w:val="0"/>
                <w:szCs w:val="21"/>
              </w:rPr>
            </w:pPr>
            <w:r>
              <w:rPr>
                <w:rFonts w:ascii="Times New Roman" w:hAnsi="Times New Roman" w:eastAsia="宋体" w:cs="Times New Roman"/>
                <w:b/>
                <w:bCs/>
                <w:snapToGrid w:val="0"/>
                <w:color w:val="auto"/>
                <w:kern w:val="0"/>
                <w:szCs w:val="21"/>
              </w:rPr>
              <w:t xml:space="preserve">图2.6-1 </w:t>
            </w:r>
            <w:r>
              <w:rPr>
                <w:rFonts w:hint="eastAsia" w:ascii="Times New Roman" w:hAnsi="Times New Roman" w:eastAsia="宋体" w:cs="Times New Roman"/>
                <w:b/>
                <w:bCs/>
                <w:snapToGrid w:val="0"/>
                <w:color w:val="auto"/>
                <w:kern w:val="0"/>
                <w:szCs w:val="21"/>
              </w:rPr>
              <w:t xml:space="preserve"> </w:t>
            </w:r>
            <w:r>
              <w:rPr>
                <w:rFonts w:ascii="Times New Roman" w:hAnsi="Times New Roman" w:eastAsia="宋体" w:cs="Times New Roman"/>
                <w:b/>
                <w:bCs/>
                <w:snapToGrid w:val="0"/>
                <w:color w:val="auto"/>
                <w:kern w:val="0"/>
                <w:szCs w:val="21"/>
              </w:rPr>
              <w:t>LNG加气流程原理图</w:t>
            </w:r>
          </w:p>
          <w:p w14:paraId="263E53D8">
            <w:pPr>
              <w:pStyle w:val="11"/>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default"/>
          <w:lang w:val="en-US" w:eastAsia="zh-CN"/>
        </w:rPr>
        <w:drawing>
          <wp:inline distT="0" distB="0" distL="114300" distR="114300">
            <wp:extent cx="5233670" cy="3924935"/>
            <wp:effectExtent l="0" t="0" r="5080" b="18415"/>
            <wp:docPr id="3" name="图片 3" descr="ab6c2865db46d444e18005d2614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6c2865db46d444e18005d26147011"/>
                    <pic:cNvPicPr>
                      <a:picLocks noChangeAspect="1"/>
                    </pic:cNvPicPr>
                  </pic:nvPicPr>
                  <pic:blipFill>
                    <a:blip r:embed="rId5"/>
                    <a:stretch>
                      <a:fillRect/>
                    </a:stretch>
                  </pic:blipFill>
                  <pic:spPr>
                    <a:xfrm>
                      <a:off x="0" y="0"/>
                      <a:ext cx="5233670" cy="3924935"/>
                    </a:xfrm>
                    <a:prstGeom prst="rect">
                      <a:avLst/>
                    </a:prstGeom>
                  </pic:spPr>
                </pic:pic>
              </a:graphicData>
            </a:graphic>
          </wp:inline>
        </w:drawing>
      </w:r>
      <w:r>
        <w:rPr>
          <w:rFonts w:hint="default"/>
          <w:lang w:val="en-US" w:eastAsia="zh-CN"/>
        </w:rPr>
        <w:drawing>
          <wp:inline distT="0" distB="0" distL="114300" distR="114300">
            <wp:extent cx="5233670" cy="3924935"/>
            <wp:effectExtent l="0" t="0" r="5080" b="18415"/>
            <wp:docPr id="4" name="图片 4" descr="9b35b2e7143df9851f5884d0de0e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35b2e7143df9851f5884d0de0e733"/>
                    <pic:cNvPicPr>
                      <a:picLocks noChangeAspect="1"/>
                    </pic:cNvPicPr>
                  </pic:nvPicPr>
                  <pic:blipFill>
                    <a:blip r:embed="rId6"/>
                    <a:stretch>
                      <a:fillRect/>
                    </a:stretch>
                  </pic:blipFill>
                  <pic:spPr>
                    <a:xfrm>
                      <a:off x="0" y="0"/>
                      <a:ext cx="5233670" cy="3924935"/>
                    </a:xfrm>
                    <a:prstGeom prst="rect">
                      <a:avLst/>
                    </a:prstGeom>
                  </pic:spPr>
                </pic:pic>
              </a:graphicData>
            </a:graphic>
          </wp:inline>
        </w:drawing>
      </w:r>
    </w:p>
    <w:p w14:paraId="6D90DC4E"/>
    <w:p w14:paraId="33221B3D">
      <w:pPr>
        <w:rPr>
          <w:rFonts w:hint="eastAsia" w:eastAsia="宋体"/>
          <w:lang w:eastAsia="zh-CN"/>
        </w:rPr>
      </w:pPr>
      <w:r>
        <w:drawing>
          <wp:inline distT="0" distB="0" distL="114300" distR="114300">
            <wp:extent cx="5627370" cy="7969885"/>
            <wp:effectExtent l="0" t="0" r="11430"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7"/>
                    <a:stretch>
                      <a:fillRect/>
                    </a:stretch>
                  </pic:blipFill>
                  <pic:spPr>
                    <a:xfrm>
                      <a:off x="0" y="0"/>
                      <a:ext cx="5627370" cy="7969885"/>
                    </a:xfrm>
                    <a:prstGeom prst="rect">
                      <a:avLst/>
                    </a:prstGeom>
                    <a:noFill/>
                    <a:ln>
                      <a:noFill/>
                    </a:ln>
                  </pic:spPr>
                </pic:pic>
              </a:graphicData>
            </a:graphic>
          </wp:inline>
        </w:drawing>
      </w:r>
      <w:r>
        <w:br w:type="page"/>
      </w:r>
    </w:p>
    <w:p w14:paraId="012FAA69">
      <w:r>
        <w:drawing>
          <wp:anchor distT="0" distB="0" distL="114300" distR="114300" simplePos="0" relativeHeight="251659264" behindDoc="0" locked="0" layoutInCell="1" allowOverlap="1">
            <wp:simplePos x="0" y="0"/>
            <wp:positionH relativeFrom="column">
              <wp:posOffset>-210185</wp:posOffset>
            </wp:positionH>
            <wp:positionV relativeFrom="paragraph">
              <wp:posOffset>93345</wp:posOffset>
            </wp:positionV>
            <wp:extent cx="5649595" cy="8010525"/>
            <wp:effectExtent l="0" t="0" r="8255" b="952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8"/>
                    <a:stretch>
                      <a:fillRect/>
                    </a:stretch>
                  </pic:blipFill>
                  <pic:spPr>
                    <a:xfrm>
                      <a:off x="0" y="0"/>
                      <a:ext cx="5649595" cy="8010525"/>
                    </a:xfrm>
                    <a:prstGeom prst="rect">
                      <a:avLst/>
                    </a:prstGeom>
                    <a:noFill/>
                    <a:ln>
                      <a:noFill/>
                    </a:ln>
                  </pic:spPr>
                </pic:pic>
              </a:graphicData>
            </a:graphic>
          </wp:anchor>
        </w:drawing>
      </w:r>
      <w:r>
        <w:br w:type="page"/>
      </w:r>
    </w:p>
    <w:p w14:paraId="6236FC4C">
      <w:r>
        <w:drawing>
          <wp:anchor distT="0" distB="0" distL="114300" distR="114300" simplePos="0" relativeHeight="251660288" behindDoc="0" locked="0" layoutInCell="1" allowOverlap="1">
            <wp:simplePos x="0" y="0"/>
            <wp:positionH relativeFrom="column">
              <wp:posOffset>-85725</wp:posOffset>
            </wp:positionH>
            <wp:positionV relativeFrom="paragraph">
              <wp:posOffset>30480</wp:posOffset>
            </wp:positionV>
            <wp:extent cx="5906135" cy="8367395"/>
            <wp:effectExtent l="0" t="0" r="18415" b="14605"/>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9"/>
                    <a:stretch>
                      <a:fillRect/>
                    </a:stretch>
                  </pic:blipFill>
                  <pic:spPr>
                    <a:xfrm>
                      <a:off x="0" y="0"/>
                      <a:ext cx="5906135" cy="8367395"/>
                    </a:xfrm>
                    <a:prstGeom prst="rect">
                      <a:avLst/>
                    </a:prstGeom>
                    <a:noFill/>
                    <a:ln>
                      <a:noFill/>
                    </a:ln>
                  </pic:spPr>
                </pic:pic>
              </a:graphicData>
            </a:graphic>
          </wp:anchor>
        </w:drawing>
      </w:r>
    </w:p>
    <w:p w14:paraId="74E6BE4A">
      <w:pPr>
        <w:rPr>
          <w:rFonts w:hint="eastAsia"/>
          <w:lang w:eastAsia="zh-CN"/>
        </w:rPr>
      </w:pPr>
      <w:r>
        <w:rPr>
          <w:rFonts w:hint="eastAsia"/>
          <w:lang w:eastAsia="zh-CN"/>
        </w:rPr>
        <w:br w:type="page"/>
      </w:r>
    </w:p>
    <w:p w14:paraId="3063B77D">
      <w:pPr>
        <w:rPr>
          <w:rFonts w:hint="eastAsia"/>
          <w:lang w:eastAsia="zh-CN"/>
        </w:rPr>
      </w:pPr>
      <w:r>
        <w:drawing>
          <wp:anchor distT="0" distB="0" distL="114300" distR="114300" simplePos="0" relativeHeight="251661312" behindDoc="0" locked="0" layoutInCell="1" allowOverlap="1">
            <wp:simplePos x="0" y="0"/>
            <wp:positionH relativeFrom="column">
              <wp:posOffset>-330200</wp:posOffset>
            </wp:positionH>
            <wp:positionV relativeFrom="paragraph">
              <wp:posOffset>30480</wp:posOffset>
            </wp:positionV>
            <wp:extent cx="5859145" cy="8301990"/>
            <wp:effectExtent l="0" t="0" r="8255" b="3810"/>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0"/>
                    <a:stretch>
                      <a:fillRect/>
                    </a:stretch>
                  </pic:blipFill>
                  <pic:spPr>
                    <a:xfrm>
                      <a:off x="0" y="0"/>
                      <a:ext cx="5859145" cy="830199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00000287" w:usb1="00000000" w:usb2="00000000" w:usb3="00000000" w:csb0="4000009F" w:csb1="DFD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autoRedefine/>
    <w:unhideWhenUsed/>
    <w:qFormat/>
    <w:uiPriority w:val="0"/>
    <w:pPr>
      <w:keepNext/>
      <w:keepLines/>
      <w:outlineLvl w:val="3"/>
    </w:pPr>
    <w:rPr>
      <w:b/>
    </w:rPr>
  </w:style>
  <w:style w:type="character" w:default="1" w:styleId="26">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1"/>
    <w:basedOn w:val="3"/>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3">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styleId="8">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annotation text"/>
    <w:basedOn w:val="1"/>
    <w:qFormat/>
    <w:uiPriority w:val="0"/>
    <w:pPr>
      <w:jc w:val="left"/>
    </w:pPr>
  </w:style>
  <w:style w:type="paragraph" w:styleId="10">
    <w:name w:val="Body Text"/>
    <w:basedOn w:val="1"/>
    <w:next w:val="1"/>
    <w:autoRedefine/>
    <w:qFormat/>
    <w:uiPriority w:val="99"/>
    <w:rPr>
      <w:sz w:val="28"/>
      <w:szCs w:val="28"/>
    </w:rPr>
  </w:style>
  <w:style w:type="paragraph" w:styleId="11">
    <w:name w:val="Body Text Indent"/>
    <w:basedOn w:val="1"/>
    <w:next w:val="10"/>
    <w:autoRedefine/>
    <w:unhideWhenUsed/>
    <w:qFormat/>
    <w:uiPriority w:val="99"/>
    <w:pPr>
      <w:spacing w:after="120"/>
      <w:ind w:left="420" w:leftChars="200"/>
    </w:pPr>
  </w:style>
  <w:style w:type="paragraph" w:styleId="12">
    <w:name w:val="toc 5"/>
    <w:basedOn w:val="1"/>
    <w:next w:val="1"/>
    <w:autoRedefine/>
    <w:semiHidden/>
    <w:qFormat/>
    <w:uiPriority w:val="0"/>
    <w:pPr>
      <w:ind w:left="1120"/>
      <w:jc w:val="left"/>
    </w:pPr>
    <w:rPr>
      <w:sz w:val="18"/>
      <w:szCs w:val="18"/>
    </w:r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link w:val="50"/>
    <w:autoRedefine/>
    <w:qFormat/>
    <w:uiPriority w:val="0"/>
    <w:pPr>
      <w:ind w:left="100" w:leftChars="2500"/>
    </w:pPr>
    <w:rPr>
      <w:rFonts w:ascii="Times New Roman" w:hAnsi="Times New Roman"/>
      <w:b/>
      <w:bCs/>
      <w:sz w:val="28"/>
    </w:rPr>
  </w:style>
  <w:style w:type="paragraph" w:styleId="15">
    <w:name w:val="Body Text Indent 2"/>
    <w:basedOn w:val="1"/>
    <w:autoRedefine/>
    <w:qFormat/>
    <w:uiPriority w:val="0"/>
    <w:pPr>
      <w:ind w:firstLine="538" w:firstLineChars="192"/>
    </w:pPr>
    <w:rPr>
      <w:rFonts w:ascii="宋体" w:hAnsi="宋体"/>
      <w:sz w:val="28"/>
    </w:rPr>
  </w:style>
  <w:style w:type="paragraph" w:styleId="16">
    <w:name w:val="Balloon Text"/>
    <w:basedOn w:val="1"/>
    <w:link w:val="36"/>
    <w:autoRedefine/>
    <w:qFormat/>
    <w:uiPriority w:val="0"/>
    <w:rPr>
      <w:sz w:val="18"/>
      <w:szCs w:val="18"/>
    </w:rPr>
  </w:style>
  <w:style w:type="paragraph" w:styleId="17">
    <w:name w:val="footer"/>
    <w:basedOn w:val="1"/>
    <w:autoRedefine/>
    <w:qFormat/>
    <w:uiPriority w:val="99"/>
    <w:pPr>
      <w:tabs>
        <w:tab w:val="center" w:pos="4153"/>
        <w:tab w:val="right" w:pos="8306"/>
      </w:tabs>
      <w:snapToGrid w:val="0"/>
    </w:pPr>
    <w:rPr>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Normal (Web)"/>
    <w:basedOn w:val="1"/>
    <w:next w:val="22"/>
    <w:autoRedefine/>
    <w:qFormat/>
    <w:uiPriority w:val="0"/>
    <w:pPr>
      <w:spacing w:before="100" w:beforeAutospacing="1" w:after="100" w:afterAutospacing="1"/>
      <w:jc w:val="left"/>
    </w:pPr>
    <w:rPr>
      <w:kern w:val="0"/>
      <w:sz w:val="24"/>
    </w:rPr>
  </w:style>
  <w:style w:type="paragraph" w:customStyle="1" w:styleId="22">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3">
    <w:name w:val="Body Text First Indent"/>
    <w:basedOn w:val="10"/>
    <w:next w:val="1"/>
    <w:autoRedefine/>
    <w:qFormat/>
    <w:uiPriority w:val="0"/>
    <w:pPr>
      <w:spacing w:after="120"/>
      <w:ind w:firstLine="420" w:firstLineChars="100"/>
    </w:pPr>
  </w:style>
  <w:style w:type="paragraph" w:styleId="24">
    <w:name w:val="Body Text First Indent 2"/>
    <w:basedOn w:val="10"/>
    <w:next w:val="1"/>
    <w:autoRedefine/>
    <w:unhideWhenUsed/>
    <w:qFormat/>
    <w:uiPriority w:val="99"/>
    <w:pPr>
      <w:ind w:firstLine="420" w:firstLineChars="200"/>
    </w:pPr>
  </w:style>
  <w:style w:type="character" w:styleId="27">
    <w:name w:val="annotation reference"/>
    <w:qFormat/>
    <w:uiPriority w:val="0"/>
    <w:rPr>
      <w:sz w:val="21"/>
      <w:szCs w:val="21"/>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4"/>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6"/>
    <w:link w:val="16"/>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4"/>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1427</Words>
  <Characters>1729</Characters>
  <Lines>8</Lines>
  <Paragraphs>2</Paragraphs>
  <TotalTime>0</TotalTime>
  <ScaleCrop>false</ScaleCrop>
  <LinksUpToDate>false</LinksUpToDate>
  <CharactersWithSpaces>1734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2025-12-31T03:57:51Z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1816191AF28841FD803E6237BEF74558_13</vt:lpwstr>
  </property>
  <property fmtid="{D5CDD505-2E9C-101B-9397-08002B2CF9AE}" pid="4" name="KSOTemplateDocerSaveRecord">
    <vt:lpwstr>eyJoZGlkIjoiYzJmYThmZTViOGE1ZWVkN2ZmYjcyMzk1NTlmNjQ2YjIiLCJ1c2VySWQiOiI0OTA1OTA4NjAifQ==</vt:lpwstr>
  </property>
</Properties>
</file>