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b w:val="0"/>
                <w:bCs/>
                <w:color w:val="auto"/>
                <w:sz w:val="21"/>
                <w:szCs w:val="21"/>
                <w:highlight w:val="none"/>
                <w:lang w:val="en-US" w:eastAsia="zh-CN"/>
              </w:rPr>
              <w:t>江西高速石化有限责任公司泰和东服务区北加油站</w:t>
            </w:r>
            <w:r>
              <w:rPr>
                <w:rFonts w:hint="eastAsia" w:ascii="Times New Roman" w:hAnsi="Times New Roman" w:eastAsia="宋体" w:cs="Times New Roman"/>
                <w:sz w:val="21"/>
                <w:szCs w:val="21"/>
                <w:lang w:val="en-US" w:eastAsia="zh-CN"/>
              </w:rPr>
              <w:t>安全</w:t>
            </w:r>
            <w:r>
              <w:rPr>
                <w:rFonts w:hint="eastAsia" w:ascii="Times New Roman" w:hAnsi="Times New Roman" w:cs="Times New Roman"/>
                <w:sz w:val="21"/>
                <w:szCs w:val="21"/>
                <w:lang w:val="en-US" w:eastAsia="zh-CN"/>
              </w:rPr>
              <w:t>现状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2025年10月11日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谢雨飞2025年10月16日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14494B7B">
            <w:pPr>
              <w:bidi w:val="0"/>
              <w:ind w:firstLine="420" w:firstLineChars="200"/>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eastAsia="zh-CN"/>
              </w:rPr>
              <w:t>江西高速石化有限责任公司泰和东服务区北加油站</w:t>
            </w:r>
            <w:r>
              <w:rPr>
                <w:rFonts w:hint="eastAsia" w:asciiTheme="minorEastAsia" w:hAnsiTheme="minorEastAsia" w:eastAsiaTheme="minorEastAsia" w:cstheme="minorEastAsia"/>
                <w:sz w:val="21"/>
                <w:szCs w:val="21"/>
              </w:rPr>
              <w:t>成立于</w:t>
            </w:r>
            <w:r>
              <w:rPr>
                <w:rFonts w:hint="eastAsia" w:asciiTheme="minorEastAsia" w:hAnsiTheme="minorEastAsia" w:eastAsiaTheme="minorEastAsia" w:cstheme="minorEastAsia"/>
                <w:sz w:val="21"/>
                <w:szCs w:val="21"/>
                <w:lang w:val="en-US" w:eastAsia="zh-CN"/>
              </w:rPr>
              <w:t>2021</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月</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eastAsia="zh-CN"/>
              </w:rPr>
              <w:t>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企业类型：其他有限责任公司分公司，负责人</w:t>
            </w:r>
            <w:r>
              <w:rPr>
                <w:rFonts w:hint="eastAsia" w:asciiTheme="minorEastAsia" w:hAnsiTheme="minorEastAsia" w:eastAsiaTheme="minorEastAsia" w:cstheme="minorEastAsia"/>
                <w:sz w:val="21"/>
                <w:szCs w:val="21"/>
                <w:lang w:eastAsia="zh-CN"/>
              </w:rPr>
              <w:t>陈志斌</w:t>
            </w:r>
            <w:r>
              <w:rPr>
                <w:rFonts w:hint="eastAsia" w:asciiTheme="minorEastAsia" w:hAnsiTheme="minorEastAsia" w:eastAsiaTheme="minorEastAsia" w:cstheme="minorEastAsia"/>
                <w:sz w:val="21"/>
                <w:szCs w:val="21"/>
              </w:rPr>
              <w:t>。该站位于江西省吉安市泰和县石吉高速泰和服务区北区(万合镇境内)</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加油站为企业自有（建站土地为企业租赁所得）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经营范围为：一般项目:石油、石油化工、化纤及其他化工产品的销售;光伏、充电桩、日用百货便利店经营;汽车清洗服务:石油石化原辅材料、设备及零部件的销售;广告位出租;房屋租赁;加油站租赁;食品的经营(仅限分支机构，取得相关前置许可后方可经营，经营项目及有效期以许可证为准):零售报刊、杂志、图书、音像制品(仅限分支机构，取得相关前置许可后方可经营，经营项目及有效期以许可证为准);计生用品经营;零售卷烟、雪茄烟;委托代理收取水电费:票务代理服务(仅限分支机构，取得相关前置许可后方可经营，经营项目及有效期以许可证为准）；销售润滑油、燃料油、沥青、文化用品、体育用品及器材、汽车(不含九座以下乘用、摩托车及零配件:设计、制作、代理、发布广告;与经营业务有关的咨询服务:技术应用研究和计算机软件开发:汽车装饰(除许可业务外，可自主依法经营法律法规非禁止或限制的项目)。</w:t>
            </w:r>
            <w:r>
              <w:rPr>
                <w:rFonts w:hint="eastAsia" w:asciiTheme="minorEastAsia" w:hAnsiTheme="minorEastAsia" w:eastAsiaTheme="minorEastAsia" w:cstheme="minorEastAsia"/>
                <w:color w:val="auto"/>
                <w:sz w:val="21"/>
                <w:szCs w:val="21"/>
                <w:lang w:val="en-US" w:eastAsia="zh-CN"/>
              </w:rPr>
              <w:t xml:space="preserve">  </w:t>
            </w:r>
          </w:p>
          <w:p w14:paraId="70F9E073">
            <w:pPr>
              <w:ind w:firstLine="56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江西高速石化有限责任公司泰和东服务区北加油站</w:t>
            </w:r>
            <w:r>
              <w:rPr>
                <w:rFonts w:hint="eastAsia" w:asciiTheme="minorEastAsia" w:hAnsiTheme="minorEastAsia" w:eastAsiaTheme="minorEastAsia" w:cstheme="minorEastAsia"/>
                <w:color w:val="auto"/>
                <w:sz w:val="21"/>
                <w:szCs w:val="21"/>
              </w:rPr>
              <w:t>设有</w:t>
            </w:r>
            <w:r>
              <w:rPr>
                <w:rFonts w:hint="eastAsia" w:asciiTheme="minorEastAsia" w:hAnsiTheme="minorEastAsia" w:eastAsiaTheme="minorEastAsia" w:cstheme="minorEastAsia"/>
                <w:color w:val="auto"/>
                <w:sz w:val="21"/>
                <w:szCs w:val="21"/>
                <w:lang w:val="en-US" w:eastAsia="zh-CN"/>
              </w:rPr>
              <w:t>1台95#汽油/92#汽油/0#柴油/95#汽油/92#汽油/0#柴油6枪加油机</w:t>
            </w:r>
            <w:r>
              <w:rPr>
                <w:rFonts w:hint="eastAsia" w:asciiTheme="minorEastAsia" w:hAnsiTheme="minorEastAsia" w:eastAsiaTheme="minorEastAsia" w:cstheme="minorEastAsia"/>
                <w:color w:val="auto"/>
                <w:spacing w:val="-2"/>
                <w:sz w:val="21"/>
                <w:szCs w:val="21"/>
                <w:highlight w:val="none"/>
                <w:lang w:val="en-US" w:eastAsia="zh-CN"/>
              </w:rPr>
              <w:t>、</w:t>
            </w:r>
            <w:r>
              <w:rPr>
                <w:rFonts w:hint="eastAsia" w:asciiTheme="minorEastAsia" w:hAnsiTheme="minorEastAsia" w:eastAsiaTheme="minorEastAsia" w:cstheme="minorEastAsia"/>
                <w:color w:val="auto"/>
                <w:sz w:val="21"/>
                <w:szCs w:val="21"/>
                <w:lang w:val="en-US" w:eastAsia="zh-CN"/>
              </w:rPr>
              <w:t>1台95#汽油/92#汽油/92#汽油/95#汽油/92#汽油/92#汽油6枪加油机、1台92#汽油/92#汽油/95＃汽油/92#汽油/92#汽油/95＃汽油6枪加油机、</w:t>
            </w:r>
            <w:r>
              <w:rPr>
                <w:rFonts w:hint="eastAsia" w:asciiTheme="minorEastAsia" w:hAnsiTheme="minorEastAsia" w:eastAsiaTheme="minorEastAsia" w:cstheme="minorEastAsia"/>
                <w:color w:val="auto"/>
                <w:sz w:val="21"/>
                <w:szCs w:val="21"/>
                <w:highlight w:val="none"/>
                <w:lang w:val="en-US" w:eastAsia="zh-CN"/>
              </w:rPr>
              <w:t>尿素加注机（防爆，按柴油加油机确认）布置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柴油双层埋地储罐</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w:t>
            </w:r>
            <w:r>
              <w:rPr>
                <w:rFonts w:hint="eastAsia" w:asciiTheme="minorEastAsia" w:hAnsiTheme="minorEastAsia" w:eastAsiaTheme="minorEastAsia" w:cstheme="minorEastAsia"/>
                <w:color w:val="auto"/>
                <w:sz w:val="21"/>
                <w:szCs w:val="21"/>
                <w:lang w:eastAsia="zh-CN"/>
              </w:rPr>
              <w:t>油品最大储存能力为</w:t>
            </w:r>
            <w:r>
              <w:rPr>
                <w:rFonts w:hint="eastAsia" w:asciiTheme="minorEastAsia" w:hAnsiTheme="minorEastAsia" w:eastAsiaTheme="minorEastAsia" w:cstheme="minorEastAsia"/>
                <w:color w:val="auto"/>
                <w:sz w:val="21"/>
                <w:szCs w:val="21"/>
                <w:lang w:val="en-US" w:eastAsia="zh-CN"/>
              </w:rPr>
              <w:t>135</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rPr>
              <w:t>（柴油罐容积折半计入油罐总容积）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属</w:t>
            </w:r>
            <w:r>
              <w:rPr>
                <w:rFonts w:hint="eastAsia" w:asciiTheme="minorEastAsia" w:hAnsiTheme="minorEastAsia" w:eastAsiaTheme="minorEastAsia" w:cstheme="minorEastAsia"/>
                <w:color w:val="auto"/>
                <w:sz w:val="21"/>
                <w:szCs w:val="21"/>
                <w:lang w:val="en-US" w:eastAsia="zh-CN"/>
              </w:rPr>
              <w:t>二级加油站</w:t>
            </w:r>
            <w:r>
              <w:rPr>
                <w:rFonts w:hint="eastAsia" w:asciiTheme="minorEastAsia" w:hAnsiTheme="minorEastAsia" w:eastAsiaTheme="minorEastAsia" w:cstheme="minorEastAsia"/>
                <w:color w:val="auto"/>
                <w:sz w:val="21"/>
                <w:szCs w:val="21"/>
              </w:rPr>
              <w:t>，汽油卸油、加油设置了油气回收系统。</w:t>
            </w:r>
            <w:r>
              <w:rPr>
                <w:rFonts w:hint="eastAsia" w:asciiTheme="minorEastAsia" w:hAnsiTheme="minorEastAsia" w:eastAsiaTheme="minorEastAsia" w:cstheme="minorEastAsia"/>
                <w:color w:val="auto"/>
                <w:sz w:val="21"/>
                <w:szCs w:val="21"/>
                <w:lang w:val="en-US" w:eastAsia="zh-CN"/>
              </w:rPr>
              <w:t xml:space="preserve"> </w:t>
            </w:r>
          </w:p>
          <w:p w14:paraId="799AB6BE">
            <w:pPr>
              <w:ind w:firstLine="56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val="en-US" w:eastAsia="zh-CN"/>
              </w:rPr>
              <w:t>江西高速石化有限责任公司泰和东服务区北加油站</w:t>
            </w:r>
            <w:r>
              <w:rPr>
                <w:rFonts w:hint="eastAsia" w:asciiTheme="minorEastAsia" w:hAnsiTheme="minorEastAsia" w:eastAsiaTheme="minorEastAsia" w:cstheme="minorEastAsia"/>
                <w:color w:val="auto"/>
                <w:sz w:val="21"/>
                <w:szCs w:val="21"/>
              </w:rPr>
              <w:t>于</w:t>
            </w:r>
            <w:r>
              <w:rPr>
                <w:rFonts w:hint="eastAsia" w:asciiTheme="minorEastAsia" w:hAnsiTheme="minorEastAsia" w:eastAsiaTheme="minorEastAsia" w:cstheme="minorEastAsia"/>
                <w:color w:val="auto"/>
                <w:sz w:val="21"/>
                <w:szCs w:val="21"/>
                <w:lang w:val="en-US" w:eastAsia="zh-CN"/>
              </w:rPr>
              <w:t>2023</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11</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日</w:t>
            </w:r>
            <w:r>
              <w:rPr>
                <w:rFonts w:hint="eastAsia" w:asciiTheme="minorEastAsia" w:hAnsiTheme="minorEastAsia" w:eastAsiaTheme="minorEastAsia" w:cstheme="minorEastAsia"/>
                <w:color w:val="auto"/>
                <w:sz w:val="21"/>
                <w:szCs w:val="21"/>
              </w:rPr>
              <w:t>经吉安市应急管理局核准，</w:t>
            </w:r>
            <w:r>
              <w:rPr>
                <w:rFonts w:hint="eastAsia" w:asciiTheme="minorEastAsia" w:hAnsiTheme="minorEastAsia" w:eastAsiaTheme="minorEastAsia" w:cstheme="minorEastAsia"/>
                <w:color w:val="auto"/>
                <w:sz w:val="21"/>
                <w:szCs w:val="21"/>
                <w:lang w:val="en-US" w:eastAsia="zh-CN"/>
              </w:rPr>
              <w:t>变更</w:t>
            </w:r>
            <w:r>
              <w:rPr>
                <w:rFonts w:hint="eastAsia" w:asciiTheme="minorEastAsia" w:hAnsiTheme="minorEastAsia" w:eastAsiaTheme="minorEastAsia" w:cstheme="minorEastAsia"/>
                <w:color w:val="auto"/>
                <w:sz w:val="21"/>
                <w:szCs w:val="21"/>
              </w:rPr>
              <w:t>换发了新的《危险化学品经营许可证》，证书编号：赣吉危化经字[</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360800000</w:t>
            </w:r>
            <w:r>
              <w:rPr>
                <w:rFonts w:hint="eastAsia" w:asciiTheme="minorEastAsia" w:hAnsiTheme="minorEastAsia" w:eastAsiaTheme="minorEastAsia" w:cstheme="minorEastAsia"/>
                <w:color w:val="auto"/>
                <w:sz w:val="21"/>
                <w:szCs w:val="21"/>
                <w:lang w:val="en-US" w:eastAsia="zh-CN"/>
              </w:rPr>
              <w:t>167</w:t>
            </w:r>
            <w:r>
              <w:rPr>
                <w:rFonts w:hint="eastAsia" w:asciiTheme="minorEastAsia" w:hAnsiTheme="minorEastAsia" w:eastAsiaTheme="minorEastAsia" w:cstheme="minorEastAsia"/>
                <w:color w:val="auto"/>
                <w:sz w:val="21"/>
                <w:szCs w:val="21"/>
                <w:lang w:eastAsia="zh-CN"/>
              </w:rPr>
              <w:t>号</w:t>
            </w:r>
            <w:r>
              <w:rPr>
                <w:rFonts w:hint="eastAsia" w:asciiTheme="minorEastAsia" w:hAnsiTheme="minorEastAsia" w:eastAsiaTheme="minorEastAsia" w:cstheme="minorEastAsia"/>
                <w:color w:val="auto"/>
                <w:sz w:val="21"/>
                <w:szCs w:val="21"/>
              </w:rPr>
              <w:t>，许可范围：</w:t>
            </w:r>
            <w:r>
              <w:rPr>
                <w:rFonts w:hint="eastAsia" w:asciiTheme="minorEastAsia" w:hAnsiTheme="minorEastAsia" w:eastAsiaTheme="minorEastAsia" w:cstheme="minorEastAsia"/>
                <w:color w:val="auto"/>
                <w:sz w:val="21"/>
                <w:szCs w:val="21"/>
                <w:lang w:val="en-US" w:eastAsia="zh-CN"/>
              </w:rPr>
              <w:t>汽油、柴油</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有效期</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23</w:t>
            </w:r>
            <w:r>
              <w:rPr>
                <w:rFonts w:hint="eastAsia" w:asciiTheme="minorEastAsia" w:hAnsiTheme="minorEastAsia" w:eastAsiaTheme="minorEastAsia" w:cstheme="minorEastAsia"/>
                <w:color w:val="auto"/>
                <w:sz w:val="21"/>
                <w:szCs w:val="21"/>
              </w:rPr>
              <w:t>日至</w:t>
            </w:r>
            <w:r>
              <w:rPr>
                <w:rFonts w:hint="eastAsia" w:asciiTheme="minorEastAsia" w:hAnsiTheme="minorEastAsia" w:eastAsiaTheme="minorEastAsia" w:cstheme="minorEastAsia"/>
                <w:color w:val="auto"/>
                <w:sz w:val="21"/>
                <w:szCs w:val="21"/>
                <w:lang w:val="en-US" w:eastAsia="zh-CN"/>
              </w:rPr>
              <w:t>2025</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22</w:t>
            </w:r>
            <w:r>
              <w:rPr>
                <w:rFonts w:hint="eastAsia" w:asciiTheme="minorEastAsia" w:hAnsiTheme="minorEastAsia" w:eastAsiaTheme="minorEastAsia" w:cstheme="minorEastAsia"/>
                <w:color w:val="auto"/>
                <w:sz w:val="21"/>
                <w:szCs w:val="21"/>
                <w:lang w:eastAsia="zh-CN"/>
              </w:rPr>
              <w:t>日。</w:t>
            </w:r>
          </w:p>
          <w:p w14:paraId="388E27C8">
            <w:pPr>
              <w:spacing w:line="240" w:lineRule="auto"/>
              <w:ind w:firstLine="560"/>
              <w:rPr>
                <w:rFonts w:hint="eastAsia"/>
                <w:snapToGrid w:val="0"/>
              </w:rPr>
            </w:pPr>
            <w:r>
              <w:rPr>
                <w:rFonts w:hint="eastAsia" w:asciiTheme="minorEastAsia" w:hAnsiTheme="minorEastAsia" w:eastAsiaTheme="minorEastAsia" w:cstheme="minorEastAsia"/>
                <w:sz w:val="21"/>
                <w:szCs w:val="21"/>
                <w:lang w:val="en-US" w:eastAsia="zh-CN"/>
              </w:rPr>
              <w:t>江西高速石化有限责任公司泰和东服务区北加油站</w:t>
            </w:r>
            <w:r>
              <w:rPr>
                <w:rFonts w:hint="eastAsia" w:asciiTheme="minorEastAsia" w:hAnsiTheme="minorEastAsia" w:eastAsiaTheme="minorEastAsia" w:cstheme="minorEastAsia"/>
                <w:color w:val="auto"/>
                <w:sz w:val="21"/>
                <w:szCs w:val="21"/>
                <w:highlight w:val="none"/>
                <w:lang w:val="en-US" w:eastAsia="zh-CN"/>
              </w:rPr>
              <w:t>2024</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经</w:t>
            </w:r>
            <w:r>
              <w:rPr>
                <w:rFonts w:hint="eastAsia" w:asciiTheme="minorEastAsia" w:hAnsiTheme="minorEastAsia" w:eastAsiaTheme="minorEastAsia" w:cstheme="minorEastAsia"/>
                <w:color w:val="auto"/>
                <w:sz w:val="21"/>
                <w:szCs w:val="21"/>
                <w:highlight w:val="none"/>
                <w:lang w:val="en-US" w:eastAsia="zh-CN"/>
              </w:rPr>
              <w:t>吉安市商务局</w:t>
            </w:r>
            <w:r>
              <w:rPr>
                <w:rFonts w:hint="eastAsia" w:asciiTheme="minorEastAsia" w:hAnsiTheme="minorEastAsia" w:eastAsiaTheme="minorEastAsia" w:cstheme="minorEastAsia"/>
                <w:color w:val="auto"/>
                <w:sz w:val="21"/>
                <w:szCs w:val="21"/>
                <w:highlight w:val="none"/>
              </w:rPr>
              <w:t>核准，换取了新的《成品油零售经营批准证书》，证书编号：</w:t>
            </w:r>
            <w:r>
              <w:rPr>
                <w:rFonts w:hint="eastAsia" w:asciiTheme="minorEastAsia" w:hAnsiTheme="minorEastAsia" w:eastAsiaTheme="minorEastAsia" w:cstheme="minorEastAsia"/>
                <w:color w:val="auto"/>
                <w:sz w:val="21"/>
                <w:szCs w:val="21"/>
                <w:highlight w:val="none"/>
                <w:lang w:eastAsia="zh-CN"/>
              </w:rPr>
              <w:t>油零售证书第吉</w:t>
            </w:r>
            <w:r>
              <w:rPr>
                <w:rFonts w:hint="eastAsia" w:asciiTheme="minorEastAsia" w:hAnsiTheme="minorEastAsia" w:eastAsiaTheme="minorEastAsia" w:cstheme="minorEastAsia"/>
                <w:color w:val="auto"/>
                <w:sz w:val="21"/>
                <w:szCs w:val="21"/>
                <w:highlight w:val="none"/>
                <w:lang w:val="en-US" w:eastAsia="zh-CN"/>
              </w:rPr>
              <w:t>0376</w:t>
            </w:r>
            <w:r>
              <w:rPr>
                <w:rFonts w:hint="eastAsia" w:asciiTheme="minorEastAsia" w:hAnsiTheme="minorEastAsia" w:eastAsiaTheme="minorEastAsia" w:cstheme="minorEastAsia"/>
                <w:color w:val="auto"/>
                <w:sz w:val="21"/>
                <w:szCs w:val="21"/>
                <w:highlight w:val="none"/>
                <w:lang w:eastAsia="zh-CN"/>
              </w:rPr>
              <w:t>号</w:t>
            </w:r>
            <w:r>
              <w:rPr>
                <w:rFonts w:hint="eastAsia" w:asciiTheme="minorEastAsia" w:hAnsiTheme="minorEastAsia" w:eastAsiaTheme="minorEastAsia" w:cstheme="minorEastAsia"/>
                <w:color w:val="auto"/>
                <w:sz w:val="21"/>
                <w:szCs w:val="21"/>
                <w:highlight w:val="none"/>
              </w:rPr>
              <w:t>，批准从事成品油（汽油、柴油）零售业务。证书有效期至</w:t>
            </w:r>
            <w:r>
              <w:rPr>
                <w:rFonts w:hint="eastAsia" w:asciiTheme="minorEastAsia" w:hAnsiTheme="minorEastAsia" w:eastAsiaTheme="minorEastAsia" w:cstheme="minorEastAsia"/>
                <w:color w:val="auto"/>
                <w:sz w:val="21"/>
                <w:szCs w:val="21"/>
                <w:highlight w:val="none"/>
                <w:lang w:val="en-US" w:eastAsia="zh-CN"/>
              </w:rPr>
              <w:t>2024</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eastAsia="zh-CN"/>
              </w:rPr>
              <w:t>日至</w:t>
            </w:r>
            <w:r>
              <w:rPr>
                <w:rFonts w:hint="eastAsia" w:asciiTheme="minorEastAsia" w:hAnsiTheme="minorEastAsia" w:eastAsiaTheme="minorEastAsia" w:cstheme="minorEastAsia"/>
                <w:color w:val="auto"/>
                <w:sz w:val="21"/>
                <w:szCs w:val="21"/>
                <w:highlight w:val="none"/>
                <w:lang w:val="en-US" w:eastAsia="zh-CN"/>
              </w:rPr>
              <w:t>2029</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B214EE9">
            <w:pPr>
              <w:bidi w:val="0"/>
              <w:ind w:firstLine="420" w:firstLineChars="200"/>
              <w:rPr>
                <w:rFonts w:hint="eastAsia"/>
                <w:lang w:val="en-US" w:eastAsia="zh-CN"/>
              </w:rPr>
            </w:pPr>
            <w:r>
              <w:rPr>
                <w:rFonts w:hint="eastAsia"/>
                <w:lang w:val="en-US" w:eastAsia="zh-CN"/>
              </w:rPr>
              <w:t>1、尿素加注</w:t>
            </w:r>
          </w:p>
          <w:p w14:paraId="51CFE710">
            <w:pPr>
              <w:bidi w:val="0"/>
              <w:ind w:firstLine="420" w:firstLineChars="200"/>
              <w:rPr>
                <w:rFonts w:hint="eastAsia"/>
                <w:lang w:val="en-US" w:eastAsia="zh-CN"/>
              </w:rPr>
            </w:pPr>
            <w:r>
              <w:rPr>
                <w:rFonts w:hint="eastAsia"/>
                <w:lang w:val="en-US" w:eastAsia="zh-CN"/>
              </w:rPr>
              <w:t>确认车辆需要加注尿素的容量和尿素的规格，以免加注错误。</w:t>
            </w:r>
          </w:p>
          <w:p w14:paraId="1F1DCEB2">
            <w:pPr>
              <w:bidi w:val="0"/>
              <w:ind w:firstLine="420" w:firstLineChars="200"/>
              <w:rPr>
                <w:rFonts w:hint="eastAsia"/>
                <w:lang w:val="en-US" w:eastAsia="zh-CN"/>
              </w:rPr>
            </w:pPr>
            <w:r>
              <w:rPr>
                <w:rFonts w:hint="eastAsia"/>
                <w:lang w:val="en-US" w:eastAsia="zh-CN"/>
              </w:rPr>
              <w:t>打开尿素加注机的电源开关，将尿素加注机的输送管连接到车辆的尿素加注口上。</w:t>
            </w:r>
          </w:p>
          <w:p w14:paraId="5B9DD131">
            <w:pPr>
              <w:bidi w:val="0"/>
              <w:ind w:firstLine="420" w:firstLineChars="200"/>
              <w:rPr>
                <w:rFonts w:hint="eastAsia"/>
                <w:lang w:val="en-US" w:eastAsia="zh-CN"/>
              </w:rPr>
            </w:pPr>
            <w:r>
              <w:rPr>
                <w:rFonts w:hint="eastAsia"/>
                <w:lang w:val="en-US" w:eastAsia="zh-CN"/>
              </w:rPr>
              <w:t>按下机器上的加注按钮，开始加注尿素。</w:t>
            </w:r>
          </w:p>
          <w:p w14:paraId="5CEF9372">
            <w:pPr>
              <w:bidi w:val="0"/>
              <w:ind w:firstLine="420" w:firstLineChars="200"/>
              <w:rPr>
                <w:rFonts w:hint="eastAsia"/>
                <w:lang w:val="en-US" w:eastAsia="zh-CN"/>
              </w:rPr>
            </w:pPr>
            <w:r>
              <w:rPr>
                <w:rFonts w:hint="eastAsia"/>
                <w:lang w:val="en-US" w:eastAsia="zh-CN"/>
              </w:rPr>
              <w:t>加注完成后，关闭加注机的电源开关，并将输送管从车辆上拆下。</w:t>
            </w:r>
          </w:p>
          <w:p w14:paraId="352091FF">
            <w:pPr>
              <w:ind w:firstLine="420" w:firstLineChars="200"/>
              <w:rPr>
                <w:color w:val="auto"/>
              </w:rPr>
            </w:pPr>
            <w:r>
              <w:rPr>
                <w:rFonts w:hint="eastAsia"/>
                <w:lang w:val="en-US" w:eastAsia="zh-CN"/>
              </w:rPr>
              <w:t>清洗加注机的输送管和喷嘴，以免尿素残留导致堵塞。</w:t>
            </w:r>
          </w:p>
          <w:p w14:paraId="74A5D204">
            <w:pPr>
              <w:ind w:firstLine="560"/>
              <w:rPr>
                <w:color w:val="auto"/>
              </w:rPr>
            </w:pPr>
            <w:r>
              <w:rPr>
                <w:rFonts w:hint="eastAsia"/>
                <w:color w:val="auto"/>
                <w:lang w:val="en-US" w:eastAsia="zh-CN"/>
              </w:rPr>
              <w:t>2</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rFonts w:hint="eastAsia"/>
                <w:color w:val="auto"/>
                <w:lang w:val="en-US" w:eastAsia="zh-CN"/>
              </w:rPr>
              <w:t>3</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2.3-1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p>
    <w:p w14:paraId="1FF25FBA">
      <w:pPr>
        <w:rPr>
          <w:rFonts w:hint="eastAsia"/>
          <w:lang w:eastAsia="zh-CN"/>
        </w:rPr>
      </w:pPr>
      <w:r>
        <w:rPr>
          <w:rFonts w:hint="eastAsia"/>
          <w:color w:val="FF0000"/>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4469130</wp:posOffset>
            </wp:positionV>
            <wp:extent cx="5825490" cy="4367530"/>
            <wp:effectExtent l="0" t="0" r="3810" b="1270"/>
            <wp:wrapNone/>
            <wp:docPr id="6" name="图片 4" descr="d4ebfdcad9d533d43d31229af9a6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4ebfdcad9d533d43d31229af9a6538b"/>
                    <pic:cNvPicPr>
                      <a:picLocks noChangeAspect="1"/>
                    </pic:cNvPicPr>
                  </pic:nvPicPr>
                  <pic:blipFill>
                    <a:blip r:embed="rId9"/>
                    <a:stretch>
                      <a:fillRect/>
                    </a:stretch>
                  </pic:blipFill>
                  <pic:spPr>
                    <a:xfrm>
                      <a:off x="0" y="0"/>
                      <a:ext cx="5825490" cy="4367530"/>
                    </a:xfrm>
                    <a:prstGeom prst="rect">
                      <a:avLst/>
                    </a:prstGeom>
                    <a:noFill/>
                    <a:ln>
                      <a:noFill/>
                    </a:ln>
                  </pic:spPr>
                </pic:pic>
              </a:graphicData>
            </a:graphic>
          </wp:anchor>
        </w:drawing>
      </w:r>
      <w:r>
        <w:rPr>
          <w:rFonts w:hint="eastAsia"/>
          <w:color w:val="FF0000"/>
          <w:lang w:val="en-US" w:eastAsia="zh-CN"/>
        </w:rPr>
        <w:drawing>
          <wp:inline distT="0" distB="0" distL="114300" distR="114300">
            <wp:extent cx="5825490" cy="4367530"/>
            <wp:effectExtent l="0" t="0" r="3810" b="1270"/>
            <wp:docPr id="1" name="图片 3" descr="ce86aaebb02c60e0767532d364070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e86aaebb02c60e0767532d3640708ca"/>
                    <pic:cNvPicPr>
                      <a:picLocks noChangeAspect="1"/>
                    </pic:cNvPicPr>
                  </pic:nvPicPr>
                  <pic:blipFill>
                    <a:blip r:embed="rId10"/>
                    <a:stretch>
                      <a:fillRect/>
                    </a:stretch>
                  </pic:blipFill>
                  <pic:spPr>
                    <a:xfrm>
                      <a:off x="0" y="0"/>
                      <a:ext cx="5825490" cy="4367530"/>
                    </a:xfrm>
                    <a:prstGeom prst="rect">
                      <a:avLst/>
                    </a:prstGeom>
                    <a:noFill/>
                    <a:ln>
                      <a:noFill/>
                    </a:ln>
                  </pic:spPr>
                </pic:pic>
              </a:graphicData>
            </a:graphic>
          </wp:inline>
        </w:drawing>
      </w:r>
      <w:r>
        <w:rPr>
          <w:rFonts w:hint="eastAsia"/>
          <w:color w:val="FF0000"/>
          <w:lang w:val="en-US" w:eastAsia="zh-CN"/>
        </w:rPr>
        <w:drawing>
          <wp:anchor distT="0" distB="0" distL="114300" distR="114300" simplePos="0" relativeHeight="251662336" behindDoc="0" locked="0" layoutInCell="1" allowOverlap="1">
            <wp:simplePos x="0" y="0"/>
            <wp:positionH relativeFrom="column">
              <wp:posOffset>-76835</wp:posOffset>
            </wp:positionH>
            <wp:positionV relativeFrom="paragraph">
              <wp:posOffset>4550410</wp:posOffset>
            </wp:positionV>
            <wp:extent cx="5826125" cy="4369435"/>
            <wp:effectExtent l="0" t="0" r="3175" b="12065"/>
            <wp:wrapNone/>
            <wp:docPr id="10" name="图片 6" descr="87f6ce777c616b1d1bd4528fbe4e6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87f6ce777c616b1d1bd4528fbe4e66a8"/>
                    <pic:cNvPicPr>
                      <a:picLocks noChangeAspect="1"/>
                    </pic:cNvPicPr>
                  </pic:nvPicPr>
                  <pic:blipFill>
                    <a:blip r:embed="rId11"/>
                    <a:stretch>
                      <a:fillRect/>
                    </a:stretch>
                  </pic:blipFill>
                  <pic:spPr>
                    <a:xfrm>
                      <a:off x="0" y="0"/>
                      <a:ext cx="5826125" cy="4369435"/>
                    </a:xfrm>
                    <a:prstGeom prst="rect">
                      <a:avLst/>
                    </a:prstGeom>
                    <a:noFill/>
                    <a:ln>
                      <a:noFill/>
                    </a:ln>
                  </pic:spPr>
                </pic:pic>
              </a:graphicData>
            </a:graphic>
          </wp:anchor>
        </w:drawing>
      </w:r>
      <w:r>
        <w:rPr>
          <w:rFonts w:hint="eastAsia"/>
          <w:color w:val="FF0000"/>
          <w:lang w:val="en-US" w:eastAsia="zh-CN"/>
        </w:rPr>
        <w:drawing>
          <wp:inline distT="0" distB="0" distL="114300" distR="114300">
            <wp:extent cx="5826125" cy="4369435"/>
            <wp:effectExtent l="0" t="0" r="3175" b="12065"/>
            <wp:docPr id="9" name="图片 5" descr="398d661e16c3c017723c60e7ea1cb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398d661e16c3c017723c60e7ea1cb9b8"/>
                    <pic:cNvPicPr>
                      <a:picLocks noChangeAspect="1"/>
                    </pic:cNvPicPr>
                  </pic:nvPicPr>
                  <pic:blipFill>
                    <a:blip r:embed="rId12"/>
                    <a:stretch>
                      <a:fillRect/>
                    </a:stretch>
                  </pic:blipFill>
                  <pic:spPr>
                    <a:xfrm>
                      <a:off x="0" y="0"/>
                      <a:ext cx="5826125" cy="4369435"/>
                    </a:xfrm>
                    <a:prstGeom prst="rect">
                      <a:avLst/>
                    </a:prstGeom>
                    <a:noFill/>
                    <a:ln>
                      <a:noFill/>
                    </a:ln>
                  </pic:spPr>
                </pic:pic>
              </a:graphicData>
            </a:graphic>
          </wp:inline>
        </w:drawing>
      </w:r>
      <w:bookmarkStart w:id="0" w:name="_GoBack"/>
      <w:bookmarkEnd w:id="0"/>
    </w:p>
    <w:p w14:paraId="7F3E3485">
      <w:pPr>
        <w:rPr>
          <w:rFonts w:hint="eastAsia"/>
          <w:lang w:eastAsia="zh-CN"/>
        </w:rPr>
      </w:pPr>
    </w:p>
    <w:p w14:paraId="523DCE7C">
      <w:pPr>
        <w:rPr>
          <w:rFonts w:hint="eastAsia"/>
          <w:lang w:eastAsia="zh-CN"/>
        </w:rPr>
      </w:pPr>
      <w:r>
        <w:rPr>
          <w:rFonts w:hint="eastAsia"/>
          <w:lang w:eastAsia="zh-CN"/>
        </w:rPr>
        <w:br w:type="page"/>
      </w:r>
    </w:p>
    <w:p w14:paraId="2B1DFF98">
      <w:pPr>
        <w:pStyle w:val="21"/>
        <w:ind w:left="0" w:leftChars="0" w:firstLine="0" w:firstLineChars="0"/>
        <w:jc w:val="cente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361940" cy="7555865"/>
                    </a:xfrm>
                    <a:prstGeom prst="rect">
                      <a:avLst/>
                    </a:prstGeom>
                    <a:noFill/>
                    <a:ln>
                      <a:noFill/>
                    </a:ln>
                  </pic:spPr>
                </pic:pic>
              </a:graphicData>
            </a:graphic>
          </wp:inline>
        </w:drawing>
      </w:r>
    </w:p>
    <w:p w14:paraId="7D5FE342">
      <w:pPr>
        <w:pStyle w:val="22"/>
        <w:ind w:left="0" w:leftChars="0" w:firstLine="0" w:firstLineChars="0"/>
      </w:pPr>
    </w:p>
    <w:p w14:paraId="2CD78483">
      <w:pPr>
        <w:pStyle w:val="22"/>
        <w:ind w:left="0" w:leftChars="0" w:firstLine="0" w:firstLineChars="0"/>
        <w:rPr>
          <w:rFonts w:hint="eastAsia"/>
          <w:lang w:eastAsia="zh-CN"/>
        </w:rPr>
      </w:pPr>
    </w:p>
    <w:p w14:paraId="7A9F93FD">
      <w:pPr>
        <w:pStyle w:val="22"/>
        <w:ind w:left="0" w:leftChars="0" w:firstLine="0" w:firstLineChars="0"/>
        <w:rPr>
          <w:rFonts w:hint="eastAsia"/>
          <w:lang w:eastAsia="zh-CN"/>
        </w:rPr>
      </w:pPr>
    </w:p>
    <w:p w14:paraId="0AE3F2CE">
      <w:pPr>
        <w:pStyle w:val="22"/>
        <w:ind w:left="0" w:leftChars="0" w:firstLine="0" w:firstLineChars="0"/>
      </w:pPr>
      <w:r>
        <w:drawing>
          <wp:inline distT="0" distB="0" distL="114300" distR="114300">
            <wp:extent cx="5760085" cy="7200265"/>
            <wp:effectExtent l="0" t="0" r="5715" b="635"/>
            <wp:docPr id="11" name="图片 7"/>
            <wp:cNvGraphicFramePr/>
            <a:graphic xmlns:a="http://schemas.openxmlformats.org/drawingml/2006/main">
              <a:graphicData uri="http://schemas.openxmlformats.org/drawingml/2006/picture">
                <pic:pic xmlns:pic="http://schemas.openxmlformats.org/drawingml/2006/picture">
                  <pic:nvPicPr>
                    <pic:cNvPr id="11" name="图片 7"/>
                    <pic:cNvPicPr/>
                  </pic:nvPicPr>
                  <pic:blipFill>
                    <a:blip r:embed="rId15"/>
                    <a:srcRect l="833" t="435"/>
                    <a:stretch>
                      <a:fillRect/>
                    </a:stretch>
                  </pic:blipFill>
                  <pic:spPr>
                    <a:xfrm>
                      <a:off x="0" y="0"/>
                      <a:ext cx="5760085" cy="7200265"/>
                    </a:xfrm>
                    <a:prstGeom prst="rect">
                      <a:avLst/>
                    </a:prstGeom>
                    <a:noFill/>
                    <a:ln>
                      <a:noFill/>
                    </a:ln>
                  </pic:spPr>
                </pic:pic>
              </a:graphicData>
            </a:graphic>
          </wp:inline>
        </w:drawing>
      </w:r>
    </w:p>
    <w:p w14:paraId="1E762F44">
      <w:pPr>
        <w:pStyle w:val="22"/>
        <w:ind w:left="0" w:leftChars="0" w:firstLine="0" w:firstLineChars="0"/>
      </w:pPr>
    </w:p>
    <w:p w14:paraId="1E3239C0">
      <w:pPr>
        <w:pStyle w:val="22"/>
        <w:ind w:left="0" w:leftChars="0" w:firstLine="0" w:firstLineChars="0"/>
      </w:pPr>
    </w:p>
    <w:p w14:paraId="4397FC79">
      <w:pPr>
        <w:pStyle w:val="22"/>
        <w:ind w:left="0" w:leftChars="0" w:firstLine="0" w:firstLineChars="0"/>
      </w:pPr>
    </w:p>
    <w:p w14:paraId="5D61676C">
      <w:pPr>
        <w:pStyle w:val="22"/>
        <w:ind w:left="0" w:leftChars="0" w:firstLine="0" w:firstLineChars="0"/>
      </w:pPr>
    </w:p>
    <w:p w14:paraId="0DDF5F9A">
      <w:pPr>
        <w:pStyle w:val="22"/>
        <w:ind w:left="0" w:leftChars="0" w:firstLine="0" w:firstLineChars="0"/>
      </w:pPr>
    </w:p>
    <w:p w14:paraId="14CF8886">
      <w:pPr>
        <w:pStyle w:val="22"/>
        <w:ind w:left="0" w:leftChars="0" w:firstLine="0" w:firstLineChars="0"/>
      </w:pPr>
      <w:r>
        <w:drawing>
          <wp:inline distT="0" distB="0" distL="114300" distR="114300">
            <wp:extent cx="5760085" cy="7200265"/>
            <wp:effectExtent l="0" t="0" r="5715" b="635"/>
            <wp:docPr id="12" name="图片 8"/>
            <wp:cNvGraphicFramePr/>
            <a:graphic xmlns:a="http://schemas.openxmlformats.org/drawingml/2006/main">
              <a:graphicData uri="http://schemas.openxmlformats.org/drawingml/2006/picture">
                <pic:pic xmlns:pic="http://schemas.openxmlformats.org/drawingml/2006/picture">
                  <pic:nvPicPr>
                    <pic:cNvPr id="12" name="图片 8"/>
                    <pic:cNvPicPr/>
                  </pic:nvPicPr>
                  <pic:blipFill>
                    <a:blip r:embed="rId16"/>
                    <a:srcRect l="828" t="353"/>
                    <a:stretch>
                      <a:fillRect/>
                    </a:stretch>
                  </pic:blipFill>
                  <pic:spPr>
                    <a:xfrm>
                      <a:off x="0" y="0"/>
                      <a:ext cx="5760085" cy="7200265"/>
                    </a:xfrm>
                    <a:prstGeom prst="rect">
                      <a:avLst/>
                    </a:prstGeom>
                    <a:noFill/>
                    <a:ln>
                      <a:noFill/>
                    </a:ln>
                  </pic:spPr>
                </pic:pic>
              </a:graphicData>
            </a:graphic>
          </wp:inline>
        </w:drawing>
      </w:r>
    </w:p>
    <w:p w14:paraId="6AAD13AD">
      <w:pPr>
        <w:pStyle w:val="22"/>
        <w:ind w:left="0" w:leftChars="0" w:firstLine="0" w:firstLineChars="0"/>
        <w:rPr>
          <w:rFonts w:hint="eastAsia"/>
          <w:lang w:eastAsia="zh-CN"/>
        </w:rPr>
      </w:pPr>
      <w:r>
        <w:drawing>
          <wp:inline distT="0" distB="0" distL="114300" distR="114300">
            <wp:extent cx="5760085" cy="7200265"/>
            <wp:effectExtent l="0" t="0" r="5715" b="635"/>
            <wp:docPr id="35" name="图片 10"/>
            <wp:cNvGraphicFramePr/>
            <a:graphic xmlns:a="http://schemas.openxmlformats.org/drawingml/2006/main">
              <a:graphicData uri="http://schemas.openxmlformats.org/drawingml/2006/picture">
                <pic:pic xmlns:pic="http://schemas.openxmlformats.org/drawingml/2006/picture">
                  <pic:nvPicPr>
                    <pic:cNvPr id="35" name="图片 10"/>
                    <pic:cNvPicPr/>
                  </pic:nvPicPr>
                  <pic:blipFill>
                    <a:blip r:embed="rId17"/>
                    <a:srcRect l="954" t="526"/>
                    <a:stretch>
                      <a:fillRect/>
                    </a:stretch>
                  </pic:blipFill>
                  <pic:spPr>
                    <a:xfrm>
                      <a:off x="0" y="0"/>
                      <a:ext cx="5760085" cy="72002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DD32AB1"/>
    <w:rsid w:val="1F0F5E71"/>
    <w:rsid w:val="1F142A61"/>
    <w:rsid w:val="1F373426"/>
    <w:rsid w:val="1F642D26"/>
    <w:rsid w:val="1FAC2BD1"/>
    <w:rsid w:val="1FC658C9"/>
    <w:rsid w:val="1FF45CE7"/>
    <w:rsid w:val="20176124"/>
    <w:rsid w:val="202C6735"/>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1C3440"/>
    <w:rsid w:val="2C9D3BC7"/>
    <w:rsid w:val="2CF2686E"/>
    <w:rsid w:val="2E9E272A"/>
    <w:rsid w:val="2EAE6403"/>
    <w:rsid w:val="2F5C124E"/>
    <w:rsid w:val="31055C5A"/>
    <w:rsid w:val="324570CF"/>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86482C"/>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10</Pages>
  <Words>1737</Words>
  <Characters>1989</Characters>
  <Lines>8</Lines>
  <Paragraphs>2</Paragraphs>
  <TotalTime>2</TotalTime>
  <ScaleCrop>false</ScaleCrop>
  <LinksUpToDate>false</LinksUpToDate>
  <CharactersWithSpaces>2009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2025-12-15T02:17:24Z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