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4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319"/>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319"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50755C1B">
            <w:pPr>
              <w:widowControl/>
              <w:spacing w:after="150"/>
              <w:jc w:val="center"/>
              <w:rPr>
                <w:rFonts w:hint="eastAsia" w:ascii="宋体" w:hAnsi="宋体" w:eastAsia="宋体" w:cs="宋体"/>
                <w:sz w:val="24"/>
                <w:lang w:eastAsia="zh-CN"/>
              </w:rPr>
            </w:pPr>
            <w:r>
              <w:rPr>
                <w:rFonts w:hint="eastAsia" w:ascii="Times New Roman" w:hAnsi="Times New Roman" w:eastAsia="宋体" w:cs="Times New Roman"/>
                <w:sz w:val="21"/>
                <w:szCs w:val="21"/>
                <w:lang w:eastAsia="zh-CN"/>
              </w:rPr>
              <w:t>江西淳迪生物科技有限公司年产4630吨维生素ADE系列产品产业化项目(一期)</w:t>
            </w:r>
            <w:r>
              <w:rPr>
                <w:rFonts w:hint="eastAsia" w:ascii="Times New Roman" w:hAnsi="Times New Roman" w:cs="Times New Roman"/>
                <w:sz w:val="21"/>
                <w:szCs w:val="21"/>
                <w:lang w:val="en-US" w:eastAsia="zh-CN"/>
              </w:rPr>
              <w:t>/</w:t>
            </w:r>
            <w:r>
              <w:rPr>
                <w:rFonts w:hint="eastAsia" w:ascii="Times New Roman" w:hAnsi="Times New Roman" w:eastAsia="宋体" w:cs="Times New Roman"/>
                <w:sz w:val="21"/>
                <w:szCs w:val="21"/>
                <w:lang w:eastAsia="zh-CN"/>
              </w:rPr>
              <w:t>年产2505.6吨原料药及中间体项目（一期）在役装置设计变更安全条件评价报告</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319"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lang w:val="en-US" w:eastAsia="zh-CN"/>
              </w:rPr>
              <w:t>2025</w:t>
            </w:r>
            <w:r>
              <w:rPr>
                <w:rFonts w:hint="eastAsia" w:ascii="宋体" w:hAnsi="宋体" w:cs="宋体"/>
                <w:sz w:val="24"/>
              </w:rPr>
              <w:t>年</w:t>
            </w:r>
            <w:r>
              <w:rPr>
                <w:rFonts w:hint="eastAsia" w:ascii="宋体" w:hAnsi="宋体" w:cs="宋体"/>
                <w:sz w:val="24"/>
                <w:lang w:val="en-US" w:eastAsia="zh-CN"/>
              </w:rPr>
              <w:t>11</w:t>
            </w:r>
            <w:r>
              <w:rPr>
                <w:rFonts w:hint="eastAsia" w:ascii="宋体" w:hAnsi="宋体" w:cs="宋体"/>
                <w:sz w:val="24"/>
              </w:rPr>
              <w:t>月</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474"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319"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319"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jc w:val="center"/>
              <w:rPr>
                <w:rFonts w:hint="eastAsia" w:ascii="宋体" w:hAnsi="宋体" w:eastAsia="宋体" w:cs="宋体"/>
                <w:sz w:val="24"/>
                <w:lang w:eastAsia="zh-CN"/>
              </w:rPr>
            </w:pPr>
            <w:r>
              <w:rPr>
                <w:rFonts w:hint="eastAsia" w:ascii="宋体" w:hAnsi="宋体" w:cs="宋体"/>
                <w:sz w:val="24"/>
                <w:lang w:val="en-US" w:eastAsia="zh-CN"/>
              </w:rPr>
              <w:t>熊克书</w:t>
            </w:r>
          </w:p>
        </w:tc>
        <w:tc>
          <w:tcPr>
            <w:tcW w:w="4803" w:type="dxa"/>
            <w:tcBorders>
              <w:tl2br w:val="nil"/>
              <w:tr2bl w:val="nil"/>
            </w:tcBorders>
            <w:shd w:val="clear" w:color="auto" w:fill="FFFFFF"/>
            <w:vAlign w:val="center"/>
          </w:tcPr>
          <w:p w14:paraId="2E3657AA">
            <w:pPr>
              <w:jc w:val="center"/>
              <w:rPr>
                <w:rFonts w:ascii="宋体" w:hAnsi="宋体" w:cs="宋体"/>
                <w:sz w:val="24"/>
              </w:rPr>
            </w:pPr>
            <w:r>
              <w:rPr>
                <w:rFonts w:hint="eastAsia" w:ascii="宋体" w:hAnsi="宋体" w:cs="宋体"/>
                <w:sz w:val="24"/>
              </w:rPr>
              <w:t>S011035000110192001546</w:t>
            </w:r>
          </w:p>
        </w:tc>
        <w:tc>
          <w:tcPr>
            <w:tcW w:w="2115" w:type="dxa"/>
            <w:tcBorders>
              <w:tl2br w:val="nil"/>
              <w:tr2bl w:val="nil"/>
            </w:tcBorders>
            <w:shd w:val="clear" w:color="auto" w:fill="FFFFFF"/>
            <w:vAlign w:val="center"/>
          </w:tcPr>
          <w:p w14:paraId="1D907D16">
            <w:pPr>
              <w:widowControl/>
              <w:jc w:val="center"/>
              <w:rPr>
                <w:rFonts w:ascii="宋体" w:hAnsi="宋体" w:cs="宋体"/>
                <w:sz w:val="24"/>
              </w:rPr>
            </w:pPr>
            <w:r>
              <w:rPr>
                <w:rFonts w:hint="eastAsia" w:ascii="宋体" w:hAnsi="宋体" w:cs="宋体"/>
                <w:sz w:val="24"/>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319"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jc w:val="center"/>
              <w:rPr>
                <w:rFonts w:hint="default" w:ascii="宋体" w:hAnsi="宋体" w:cs="宋体"/>
                <w:sz w:val="24"/>
                <w:lang w:val="en-US"/>
              </w:rPr>
            </w:pPr>
            <w:r>
              <w:rPr>
                <w:rFonts w:hint="eastAsia" w:ascii="宋体" w:hAnsi="宋体" w:cs="宋体"/>
                <w:sz w:val="24"/>
                <w:lang w:val="en-US" w:eastAsia="zh-CN"/>
              </w:rPr>
              <w:t>赵云峰</w:t>
            </w:r>
          </w:p>
        </w:tc>
        <w:tc>
          <w:tcPr>
            <w:tcW w:w="4803" w:type="dxa"/>
            <w:tcBorders>
              <w:tl2br w:val="nil"/>
              <w:tr2bl w:val="nil"/>
            </w:tcBorders>
            <w:shd w:val="clear" w:color="auto" w:fill="FFFFFF"/>
            <w:vAlign w:val="center"/>
          </w:tcPr>
          <w:p w14:paraId="2AF7BD6E">
            <w:pPr>
              <w:jc w:val="center"/>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6</w:t>
            </w:r>
            <w:bookmarkStart w:id="0" w:name="_GoBack"/>
            <w:bookmarkEnd w:id="0"/>
            <w:r>
              <w:rPr>
                <w:rFonts w:hint="eastAsia" w:ascii="宋体" w:hAnsi="宋体" w:cs="宋体"/>
                <w:sz w:val="24"/>
              </w:rPr>
              <w:t>0000000</w:t>
            </w:r>
            <w:r>
              <w:rPr>
                <w:rFonts w:hint="eastAsia" w:ascii="宋体" w:hAnsi="宋体" w:cs="宋体"/>
                <w:sz w:val="24"/>
                <w:lang w:val="en-US" w:eastAsia="zh-CN"/>
              </w:rPr>
              <w:t>02</w:t>
            </w:r>
            <w:r>
              <w:rPr>
                <w:rFonts w:hint="eastAsia" w:ascii="宋体" w:hAnsi="宋体" w:cs="宋体"/>
                <w:sz w:val="24"/>
              </w:rPr>
              <w:t>00</w:t>
            </w:r>
            <w:r>
              <w:rPr>
                <w:rFonts w:hint="eastAsia" w:ascii="宋体" w:hAnsi="宋体" w:cs="宋体"/>
                <w:sz w:val="24"/>
                <w:lang w:val="en-US" w:eastAsia="zh-CN"/>
              </w:rPr>
              <w:t>809</w:t>
            </w:r>
          </w:p>
        </w:tc>
        <w:tc>
          <w:tcPr>
            <w:tcW w:w="2115" w:type="dxa"/>
            <w:tcBorders>
              <w:tl2br w:val="nil"/>
              <w:tr2bl w:val="nil"/>
            </w:tcBorders>
            <w:shd w:val="clear" w:color="auto" w:fill="FFFFFF"/>
            <w:vAlign w:val="center"/>
          </w:tcPr>
          <w:p w14:paraId="135FF85F">
            <w:pPr>
              <w:jc w:val="center"/>
              <w:rPr>
                <w:rFonts w:hint="eastAsia" w:ascii="宋体" w:hAnsi="宋体" w:cs="宋体"/>
                <w:sz w:val="24"/>
              </w:rPr>
            </w:pPr>
            <w:r>
              <w:rPr>
                <w:rFonts w:hint="eastAsia" w:ascii="宋体" w:hAnsi="宋体" w:cs="宋体"/>
                <w:sz w:val="24"/>
              </w:rPr>
              <w:t>0</w:t>
            </w:r>
            <w:r>
              <w:rPr>
                <w:rFonts w:hint="eastAsia" w:ascii="宋体" w:hAnsi="宋体" w:cs="宋体"/>
                <w:sz w:val="24"/>
                <w:lang w:val="en-US" w:eastAsia="zh-CN"/>
              </w:rPr>
              <w:t>30095</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319"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jc w:val="center"/>
              <w:rPr>
                <w:rFonts w:hint="eastAsia" w:ascii="宋体" w:hAnsi="宋体" w:eastAsia="宋体" w:cs="宋体"/>
                <w:sz w:val="24"/>
              </w:rPr>
            </w:pPr>
            <w:r>
              <w:rPr>
                <w:rFonts w:hint="eastAsia" w:ascii="宋体" w:hAnsi="宋体" w:eastAsia="宋体" w:cs="宋体"/>
                <w:sz w:val="24"/>
                <w:lang w:val="en-US" w:eastAsia="zh-CN"/>
              </w:rPr>
              <w:t>舒</w:t>
            </w:r>
            <w:r>
              <w:rPr>
                <w:rFonts w:hint="eastAsia" w:ascii="宋体" w:hAnsi="宋体" w:eastAsia="宋体" w:cs="宋体"/>
                <w:sz w:val="24"/>
              </w:rPr>
              <w:t>斌</w:t>
            </w:r>
          </w:p>
        </w:tc>
        <w:tc>
          <w:tcPr>
            <w:tcW w:w="4803" w:type="dxa"/>
            <w:tcBorders>
              <w:tl2br w:val="nil"/>
              <w:tr2bl w:val="nil"/>
            </w:tcBorders>
            <w:shd w:val="clear" w:color="auto" w:fill="FFFFFF"/>
            <w:vAlign w:val="center"/>
          </w:tcPr>
          <w:p w14:paraId="5E54EC41">
            <w:pPr>
              <w:jc w:val="center"/>
              <w:rPr>
                <w:rFonts w:hint="eastAsia" w:ascii="宋体" w:hAnsi="宋体" w:eastAsia="宋体" w:cs="宋体"/>
                <w:sz w:val="24"/>
              </w:rPr>
            </w:pPr>
            <w:r>
              <w:rPr>
                <w:rFonts w:hint="eastAsia" w:ascii="宋体" w:hAnsi="宋体" w:eastAsia="宋体" w:cs="宋体"/>
                <w:sz w:val="24"/>
                <w:lang w:eastAsia="zh-CN"/>
              </w:rPr>
              <w:t>0800000000205889</w:t>
            </w:r>
          </w:p>
        </w:tc>
        <w:tc>
          <w:tcPr>
            <w:tcW w:w="2115" w:type="dxa"/>
            <w:tcBorders>
              <w:tl2br w:val="nil"/>
              <w:tr2bl w:val="nil"/>
            </w:tcBorders>
            <w:shd w:val="clear" w:color="auto" w:fill="FFFFFF"/>
            <w:vAlign w:val="center"/>
          </w:tcPr>
          <w:p w14:paraId="0EA3FFA0">
            <w:pPr>
              <w:jc w:val="center"/>
              <w:rPr>
                <w:rFonts w:hint="default" w:ascii="宋体" w:hAnsi="宋体" w:eastAsia="宋体" w:cs="宋体"/>
                <w:sz w:val="24"/>
                <w:lang w:val="en-US" w:eastAsia="zh-CN"/>
              </w:rPr>
            </w:pPr>
            <w:r>
              <w:rPr>
                <w:rFonts w:hint="eastAsia" w:ascii="宋体" w:hAnsi="宋体" w:cs="宋体"/>
                <w:sz w:val="24"/>
                <w:lang w:val="en-US" w:eastAsia="zh-CN"/>
              </w:rPr>
              <w:t>013031</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319" w:type="dxa"/>
            <w:vMerge w:val="continue"/>
            <w:tcBorders>
              <w:tl2br w:val="nil"/>
              <w:tr2bl w:val="nil"/>
            </w:tcBorders>
            <w:shd w:val="clear" w:color="auto" w:fill="FFFFFF"/>
            <w:vAlign w:val="center"/>
          </w:tcPr>
          <w:p w14:paraId="75AB04B7">
            <w:pPr>
              <w:jc w:val="center"/>
              <w:rPr>
                <w:rFonts w:ascii="宋体" w:hAnsi="宋体" w:cs="宋体"/>
                <w:sz w:val="24"/>
              </w:rPr>
            </w:pPr>
          </w:p>
        </w:tc>
        <w:tc>
          <w:tcPr>
            <w:tcW w:w="1237" w:type="dxa"/>
            <w:tcBorders>
              <w:tl2br w:val="nil"/>
              <w:tr2bl w:val="nil"/>
            </w:tcBorders>
            <w:shd w:val="clear" w:color="auto" w:fill="FFFFFF"/>
            <w:vAlign w:val="center"/>
          </w:tcPr>
          <w:p w14:paraId="4F508235">
            <w:pPr>
              <w:jc w:val="center"/>
              <w:rPr>
                <w:rFonts w:hint="default" w:ascii="宋体" w:hAnsi="宋体" w:eastAsia="宋体" w:cs="宋体"/>
                <w:sz w:val="24"/>
                <w:lang w:val="en-US" w:eastAsia="zh-CN"/>
              </w:rPr>
            </w:pPr>
            <w:r>
              <w:rPr>
                <w:rFonts w:hint="eastAsia" w:ascii="宋体" w:hAnsi="宋体" w:cs="宋体"/>
                <w:sz w:val="24"/>
                <w:lang w:val="en-US" w:eastAsia="zh-CN"/>
              </w:rPr>
              <w:t>谢雨飞</w:t>
            </w:r>
          </w:p>
        </w:tc>
        <w:tc>
          <w:tcPr>
            <w:tcW w:w="4803" w:type="dxa"/>
            <w:tcBorders>
              <w:tl2br w:val="nil"/>
              <w:tr2bl w:val="nil"/>
            </w:tcBorders>
            <w:shd w:val="clear" w:color="auto" w:fill="FFFFFF"/>
            <w:vAlign w:val="center"/>
          </w:tcPr>
          <w:p w14:paraId="0E1A6948">
            <w:pPr>
              <w:jc w:val="center"/>
              <w:rPr>
                <w:rFonts w:ascii="宋体" w:hAnsi="宋体" w:cs="宋体"/>
                <w:sz w:val="24"/>
              </w:rPr>
            </w:pPr>
            <w:r>
              <w:rPr>
                <w:rFonts w:hint="eastAsia" w:ascii="宋体" w:hAnsi="宋体" w:cs="宋体"/>
                <w:sz w:val="24"/>
              </w:rPr>
              <w:t>CAWS350000230200227</w:t>
            </w:r>
          </w:p>
        </w:tc>
        <w:tc>
          <w:tcPr>
            <w:tcW w:w="2115" w:type="dxa"/>
            <w:tcBorders>
              <w:tl2br w:val="nil"/>
              <w:tr2bl w:val="nil"/>
            </w:tcBorders>
            <w:shd w:val="clear" w:color="auto" w:fill="FFFFFF"/>
            <w:vAlign w:val="center"/>
          </w:tcPr>
          <w:p w14:paraId="34039BB0">
            <w:pPr>
              <w:jc w:val="center"/>
              <w:rPr>
                <w:rFonts w:hint="default" w:ascii="宋体" w:hAnsi="宋体" w:eastAsia="宋体" w:cs="宋体"/>
                <w:sz w:val="24"/>
                <w:lang w:val="en-US" w:eastAsia="zh-CN"/>
              </w:rPr>
            </w:pPr>
            <w:r>
              <w:rPr>
                <w:rFonts w:hint="eastAsia" w:ascii="宋体" w:hAnsi="宋体" w:cs="宋体"/>
                <w:sz w:val="24"/>
                <w:lang w:val="en-US" w:eastAsia="zh-CN"/>
              </w:rPr>
              <w:t>043378</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319"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张晋慧</w:t>
            </w:r>
          </w:p>
        </w:tc>
        <w:tc>
          <w:tcPr>
            <w:tcW w:w="4803" w:type="dxa"/>
            <w:tcBorders>
              <w:tl2br w:val="nil"/>
              <w:tr2bl w:val="nil"/>
            </w:tcBorders>
            <w:shd w:val="clear" w:color="auto" w:fill="FFFFFF"/>
            <w:vAlign w:val="center"/>
          </w:tcPr>
          <w:p w14:paraId="70C9750C">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1100000000302946</w:t>
            </w:r>
          </w:p>
        </w:tc>
        <w:tc>
          <w:tcPr>
            <w:tcW w:w="2115" w:type="dxa"/>
            <w:tcBorders>
              <w:tl2br w:val="nil"/>
              <w:tr2bl w:val="nil"/>
            </w:tcBorders>
            <w:shd w:val="clear" w:color="auto" w:fill="FFFFFF"/>
            <w:vAlign w:val="center"/>
          </w:tcPr>
          <w:p w14:paraId="2C5E2BF3">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020045</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319" w:type="dxa"/>
            <w:tcBorders>
              <w:tl2br w:val="nil"/>
              <w:tr2bl w:val="nil"/>
            </w:tcBorders>
            <w:shd w:val="clear" w:color="auto" w:fill="FFFFFF"/>
            <w:vAlign w:val="center"/>
          </w:tcPr>
          <w:p w14:paraId="45419EC2">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1" w:hRule="atLeast"/>
          <w:jc w:val="center"/>
        </w:trPr>
        <w:tc>
          <w:tcPr>
            <w:tcW w:w="1319" w:type="dxa"/>
            <w:tcBorders>
              <w:tl2br w:val="nil"/>
              <w:tr2bl w:val="nil"/>
            </w:tcBorders>
            <w:shd w:val="clear" w:color="auto" w:fill="FFFFFF"/>
            <w:vAlign w:val="center"/>
          </w:tcPr>
          <w:p w14:paraId="5781712E">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2A5711E2">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熊克书</w:t>
            </w:r>
            <w:r>
              <w:rPr>
                <w:rFonts w:hint="eastAsia" w:ascii="Times New Roman" w:hAnsi="Times New Roman"/>
                <w:sz w:val="24"/>
                <w:lang w:eastAsia="zh-CN"/>
              </w:rPr>
              <w:t>、</w:t>
            </w:r>
            <w:r>
              <w:rPr>
                <w:rFonts w:hint="eastAsia" w:ascii="Times New Roman" w:hAnsi="Times New Roman"/>
                <w:sz w:val="24"/>
                <w:lang w:val="en-US" w:eastAsia="zh-CN"/>
              </w:rPr>
              <w:t xml:space="preserve">谢雨飞 </w:t>
            </w:r>
            <w:r>
              <w:rPr>
                <w:rFonts w:hint="eastAsia"/>
                <w:sz w:val="24"/>
                <w:lang w:val="en-US" w:eastAsia="zh-CN"/>
              </w:rPr>
              <w:t>2025年8月12日</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319" w:type="dxa"/>
            <w:tcBorders>
              <w:tl2br w:val="nil"/>
              <w:tr2bl w:val="nil"/>
            </w:tcBorders>
            <w:shd w:val="clear" w:color="auto" w:fill="FFFFFF"/>
            <w:vAlign w:val="center"/>
          </w:tcPr>
          <w:p w14:paraId="00480C70">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76100CE6">
            <w:pPr>
              <w:widowControl/>
              <w:spacing w:after="150"/>
              <w:jc w:val="center"/>
              <w:rPr>
                <w:rFonts w:hint="default" w:ascii="Times New Roman" w:hAnsi="Times New Roman" w:eastAsia="宋体"/>
                <w:color w:val="FF0000"/>
                <w:sz w:val="24"/>
                <w:lang w:val="en-US" w:eastAsia="zh-CN"/>
              </w:rPr>
            </w:pPr>
            <w:r>
              <w:rPr>
                <w:rFonts w:hint="eastAsia" w:ascii="Times New Roman" w:hAnsi="Times New Roman"/>
                <w:color w:val="FF0000"/>
                <w:sz w:val="24"/>
                <w:lang w:val="en-US" w:eastAsia="zh-CN"/>
              </w:rPr>
              <w:t>/</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319"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43004F6B">
            <w:pPr>
              <w:spacing w:line="240" w:lineRule="auto"/>
              <w:ind w:firstLine="560"/>
              <w:rPr>
                <w:rFonts w:hint="eastAsia"/>
              </w:rPr>
            </w:pPr>
            <w:r>
              <w:rPr>
                <w:rFonts w:hint="eastAsia"/>
              </w:rPr>
              <w:t>江西淳迪生物科技有限公司位于江西省国家井冈山经济技术开发区，成立于2007年4月24日，并取得吉安市市场监督管理局井冈山经济技术开发区分局颁发的营业执照，注册资本叁仟万元整，法定代表人：吴哲华，公司类型：其他有限责任公司，统一社会信用代码：913608057994888273，经营范围：许可项目：药品生产，饲料生产，饲料添加剂生产，食品添加剂生产，兽药生产（依法须经批准的项目，经相关部门批准后方可开展经营活动）一般项目：进出口代理，技术进出口，货物进出口，专用化学产品制造（不含危险化学品），生物饲料研发，生物化工产品技术研发，畜牧渔业饲料销售，饲料添加剂销售，食品添加剂销售，饲料原料销售（除许可业务外，可自主依法经营法律法规非禁止或限制的项目）。</w:t>
            </w:r>
          </w:p>
          <w:p w14:paraId="6654AAF7">
            <w:pPr>
              <w:spacing w:line="240" w:lineRule="auto"/>
              <w:ind w:firstLine="560"/>
              <w:rPr>
                <w:rFonts w:hint="eastAsia"/>
              </w:rPr>
            </w:pPr>
            <w:r>
              <w:rPr>
                <w:rFonts w:hint="eastAsia"/>
              </w:rPr>
              <w:t>根据《国民经济行业分类》GB/T 4754-2017、《国民经济行业分类》国家标准第1号修改单GB/T 4754-2017/XG1-2019，该企业属于C26化学原料和化学制品制造业。</w:t>
            </w:r>
          </w:p>
          <w:p w14:paraId="74294439">
            <w:pPr>
              <w:spacing w:line="240" w:lineRule="auto"/>
              <w:ind w:firstLine="560"/>
              <w:rPr>
                <w:rFonts w:hint="eastAsia"/>
              </w:rPr>
            </w:pPr>
            <w:r>
              <w:rPr>
                <w:rFonts w:hint="eastAsia"/>
              </w:rPr>
              <w:t>本次为江西淳迪生物科技有限公司年产4630吨维生素ADE系列产品产业化项目（一期）/年产2505.6吨原料药及中间体项目（一期）在役装置设计变更项目，设计变更主要生产装置：年产阿法骨化醇0.1t、25-羟基维生素D3 10t、维生素D3 10t生产工艺装置。</w:t>
            </w:r>
          </w:p>
          <w:p w14:paraId="422E1AD2">
            <w:pPr>
              <w:spacing w:line="240" w:lineRule="auto"/>
              <w:ind w:firstLine="560"/>
              <w:rPr>
                <w:rFonts w:hint="eastAsia"/>
                <w:snapToGrid w:val="0"/>
              </w:rPr>
            </w:pPr>
            <w:r>
              <w:rPr>
                <w:rFonts w:hint="eastAsia"/>
              </w:rPr>
              <w:t>根据《危险化学品目录》（2015版）（国家安监总局等十部门〔2015年〕第5号）、应急管理部 工业和信息化部 公安部 生态环境部 交通运输部 农业农村部 卫生健康委 市场监管总局 铁路局 民航局公告（2022年第8号）和《应急管理部办公厅关于修改〈危险化学品目录（2015年版）实施指南（试行）〉涉及柴油部分内容的通知》（应急厅函〔2022〕300号）等文件，对设计变更所涉及的化学品进行辨识：本次变更涉及的主要原辅料、产品、中间产品中属于危险化学品的有二氧化硫、二氯甲烷、三氯甲烷、乙酸乙酯、无水乙醇、正己烷、二氧化硒、甲醇、四氢呋喃、马来酸酐、三乙胺、丙酮、甲酸甲酯、正丁酰氯、氢氧化钠、柴油、氮气。</w:t>
            </w: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319" w:type="dxa"/>
            <w:tcBorders>
              <w:tl2br w:val="nil"/>
              <w:tr2bl w:val="nil"/>
            </w:tcBorders>
            <w:shd w:val="clear" w:color="auto" w:fill="FFFFFF"/>
            <w:vAlign w:val="center"/>
          </w:tcPr>
          <w:p w14:paraId="60BC4E94">
            <w:pPr>
              <w:widowControl/>
              <w:spacing w:after="150"/>
              <w:jc w:val="center"/>
            </w:pPr>
            <w:r>
              <w:rPr>
                <w:rFonts w:hint="eastAsia"/>
                <w:sz w:val="24"/>
              </w:rPr>
              <w:t>工艺流程</w:t>
            </w:r>
          </w:p>
        </w:tc>
        <w:tc>
          <w:tcPr>
            <w:tcW w:w="8155" w:type="dxa"/>
            <w:gridSpan w:val="3"/>
            <w:tcBorders>
              <w:tl2br w:val="nil"/>
              <w:tr2bl w:val="nil"/>
            </w:tcBorders>
            <w:shd w:val="clear" w:color="auto" w:fill="FFFFFF"/>
            <w:vAlign w:val="center"/>
          </w:tcPr>
          <w:p w14:paraId="7CFABCC0">
            <w:pPr>
              <w:pStyle w:val="21"/>
              <w:ind w:left="0" w:leftChars="0" w:firstLine="0" w:firstLineChars="0"/>
              <w:jc w:val="center"/>
              <w:rPr>
                <w:rFonts w:hint="default" w:eastAsia="宋体"/>
                <w:lang w:val="en-US" w:eastAsia="zh-CN"/>
              </w:rPr>
            </w:pPr>
            <w:r>
              <w:rPr>
                <w:rFonts w:hint="eastAsia"/>
                <w:lang w:val="en-US" w:eastAsia="zh-CN"/>
              </w:rPr>
              <w:t>涉及企业商业机密，略。</w:t>
            </w: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319" w:type="dxa"/>
            <w:tcBorders>
              <w:tl2br w:val="nil"/>
              <w:tr2bl w:val="nil"/>
            </w:tcBorders>
            <w:shd w:val="clear" w:color="auto" w:fill="FFFFFF"/>
            <w:vAlign w:val="center"/>
          </w:tcPr>
          <w:p w14:paraId="4A954F8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73268182">
      <w:pPr>
        <w:ind w:left="0" w:leftChars="0" w:firstLine="0" w:firstLineChars="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drawing>
          <wp:inline distT="0" distB="0" distL="114300" distR="114300">
            <wp:extent cx="5283835" cy="3597910"/>
            <wp:effectExtent l="0" t="0" r="4445" b="13970"/>
            <wp:docPr id="12" name="图片 12" descr="1208c5a892ef6ebf50942b998e6fa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08c5a892ef6ebf50942b998e6fa531"/>
                    <pic:cNvPicPr>
                      <a:picLocks noChangeAspect="1"/>
                    </pic:cNvPicPr>
                  </pic:nvPicPr>
                  <pic:blipFill>
                    <a:blip r:embed="rId4"/>
                    <a:stretch>
                      <a:fillRect/>
                    </a:stretch>
                  </pic:blipFill>
                  <pic:spPr>
                    <a:xfrm>
                      <a:off x="0" y="0"/>
                      <a:ext cx="5283835" cy="3597910"/>
                    </a:xfrm>
                    <a:prstGeom prst="rect">
                      <a:avLst/>
                    </a:prstGeom>
                  </pic:spPr>
                </pic:pic>
              </a:graphicData>
            </a:graphic>
          </wp:inline>
        </w:drawing>
      </w:r>
    </w:p>
    <w:p w14:paraId="0185F621">
      <w:pPr>
        <w:ind w:left="0" w:leftChars="0" w:firstLine="0" w:firstLineChars="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drawing>
          <wp:inline distT="0" distB="0" distL="114300" distR="114300">
            <wp:extent cx="5374640" cy="3666490"/>
            <wp:effectExtent l="0" t="0" r="5080" b="6350"/>
            <wp:docPr id="33" name="图片 33" descr="4779b8cc4e5be49bb864d75359bc98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4779b8cc4e5be49bb864d75359bc982e"/>
                    <pic:cNvPicPr>
                      <a:picLocks noChangeAspect="1"/>
                    </pic:cNvPicPr>
                  </pic:nvPicPr>
                  <pic:blipFill>
                    <a:blip r:embed="rId5"/>
                    <a:stretch>
                      <a:fillRect/>
                    </a:stretch>
                  </pic:blipFill>
                  <pic:spPr>
                    <a:xfrm>
                      <a:off x="0" y="0"/>
                      <a:ext cx="5374640" cy="3666490"/>
                    </a:xfrm>
                    <a:prstGeom prst="rect">
                      <a:avLst/>
                    </a:prstGeom>
                  </pic:spPr>
                </pic:pic>
              </a:graphicData>
            </a:graphic>
          </wp:inline>
        </w:drawing>
      </w:r>
      <w:r>
        <w:rPr>
          <w:rFonts w:hint="default"/>
          <w:color w:val="000000" w:themeColor="text1"/>
          <w:lang w:val="en-US" w:eastAsia="zh-CN"/>
          <w14:textFill>
            <w14:solidFill>
              <w14:schemeClr w14:val="tx1"/>
            </w14:solidFill>
          </w14:textFill>
        </w:rPr>
        <w:drawing>
          <wp:inline distT="0" distB="0" distL="114300" distR="114300">
            <wp:extent cx="5266055" cy="7446645"/>
            <wp:effectExtent l="0" t="0" r="6985" b="5715"/>
            <wp:docPr id="40" name="图片 40" descr="淳迪安全条件评价报告-新安达合同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淳迪安全条件评价报告-新安达合同_03"/>
                    <pic:cNvPicPr>
                      <a:picLocks noChangeAspect="1"/>
                    </pic:cNvPicPr>
                  </pic:nvPicPr>
                  <pic:blipFill>
                    <a:blip r:embed="rId6"/>
                    <a:stretch>
                      <a:fillRect/>
                    </a:stretch>
                  </pic:blipFill>
                  <pic:spPr>
                    <a:xfrm>
                      <a:off x="0" y="0"/>
                      <a:ext cx="5266055" cy="7446645"/>
                    </a:xfrm>
                    <a:prstGeom prst="rect">
                      <a:avLst/>
                    </a:prstGeom>
                  </pic:spPr>
                </pic:pic>
              </a:graphicData>
            </a:graphic>
          </wp:inline>
        </w:drawing>
      </w:r>
      <w:r>
        <w:rPr>
          <w:rFonts w:hint="default"/>
          <w:color w:val="000000" w:themeColor="text1"/>
          <w:lang w:val="en-US" w:eastAsia="zh-CN"/>
          <w14:textFill>
            <w14:solidFill>
              <w14:schemeClr w14:val="tx1"/>
            </w14:solidFill>
          </w14:textFill>
        </w:rPr>
        <w:drawing>
          <wp:inline distT="0" distB="0" distL="114300" distR="114300">
            <wp:extent cx="5266055" cy="7446645"/>
            <wp:effectExtent l="0" t="0" r="6985" b="5715"/>
            <wp:docPr id="37" name="图片 37" descr="淳迪安全条件评价报告-新安达合同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淳迪安全条件评价报告-新安达合同_06"/>
                    <pic:cNvPicPr>
                      <a:picLocks noChangeAspect="1"/>
                    </pic:cNvPicPr>
                  </pic:nvPicPr>
                  <pic:blipFill>
                    <a:blip r:embed="rId7"/>
                    <a:stretch>
                      <a:fillRect/>
                    </a:stretch>
                  </pic:blipFill>
                  <pic:spPr>
                    <a:xfrm>
                      <a:off x="0" y="0"/>
                      <a:ext cx="5266055" cy="7446645"/>
                    </a:xfrm>
                    <a:prstGeom prst="rect">
                      <a:avLst/>
                    </a:prstGeom>
                  </pic:spPr>
                </pic:pic>
              </a:graphicData>
            </a:graphic>
          </wp:inline>
        </w:drawing>
      </w:r>
    </w:p>
    <w:p w14:paraId="59419F03">
      <w:pPr>
        <w:rPr>
          <w:rFonts w:hint="eastAsia"/>
          <w:lang w:eastAsia="zh-CN"/>
        </w:rPr>
      </w:pPr>
      <w:r>
        <w:rPr>
          <w:rFonts w:hint="eastAsia"/>
          <w:lang w:eastAsia="zh-CN"/>
        </w:rPr>
        <w:br w:type="page"/>
      </w:r>
    </w:p>
    <w:p w14:paraId="2B1DFF98">
      <w:pPr>
        <w:pStyle w:val="21"/>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273675" cy="7458075"/>
            <wp:effectExtent l="0" t="0" r="14605" b="9525"/>
            <wp:docPr id="35" name="图片 35" descr="【出版稿-扫描件】江西淳迪生物科技有限公司年产4630吨维生素ADE系列产品产业化项目(一期)年产2505.6吨原料药及中间体项目（一期）在役装置设计变更安全条件评价报告(202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出版稿-扫描件】江西淳迪生物科技有限公司年产4630吨维生素ADE系列产品产业化项目(一期)年产2505.6吨原料药及中间体项目（一期）在役装置设计变更安全条件评价报告(2025)_01"/>
                    <pic:cNvPicPr>
                      <a:picLocks noChangeAspect="1"/>
                    </pic:cNvPicPr>
                  </pic:nvPicPr>
                  <pic:blipFill>
                    <a:blip r:embed="rId8"/>
                    <a:stretch>
                      <a:fillRect/>
                    </a:stretch>
                  </pic:blipFill>
                  <pic:spPr>
                    <a:xfrm>
                      <a:off x="0" y="0"/>
                      <a:ext cx="5273675" cy="7458075"/>
                    </a:xfrm>
                    <a:prstGeom prst="rect">
                      <a:avLst/>
                    </a:prstGeom>
                  </pic:spPr>
                </pic:pic>
              </a:graphicData>
            </a:graphic>
          </wp:inline>
        </w:drawing>
      </w:r>
      <w:r>
        <w:rPr>
          <w:rFonts w:hint="eastAsia" w:eastAsia="宋体"/>
          <w:lang w:eastAsia="zh-CN"/>
        </w:rPr>
        <w:drawing>
          <wp:inline distT="0" distB="0" distL="114300" distR="114300">
            <wp:extent cx="5271135" cy="8025765"/>
            <wp:effectExtent l="0" t="0" r="1905" b="5715"/>
            <wp:docPr id="34" name="图片 34" descr="【出版稿-扫描件】江西淳迪生物科技有限公司年产4630吨维生素ADE系列产品产业化项目(一期)年产2505.6吨原料药及中间体项目（一期）在役装置设计变更安全条件评价报告(2025)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出版稿-扫描件】江西淳迪生物科技有限公司年产4630吨维生素ADE系列产品产业化项目(一期)年产2505.6吨原料药及中间体项目（一期）在役装置设计变更安全条件评价报告(2025)_02"/>
                    <pic:cNvPicPr>
                      <a:picLocks noChangeAspect="1"/>
                    </pic:cNvPicPr>
                  </pic:nvPicPr>
                  <pic:blipFill>
                    <a:blip r:embed="rId9"/>
                    <a:stretch>
                      <a:fillRect/>
                    </a:stretch>
                  </pic:blipFill>
                  <pic:spPr>
                    <a:xfrm>
                      <a:off x="0" y="0"/>
                      <a:ext cx="5271135" cy="8025765"/>
                    </a:xfrm>
                    <a:prstGeom prst="rect">
                      <a:avLst/>
                    </a:prstGeom>
                  </pic:spPr>
                </pic:pic>
              </a:graphicData>
            </a:graphic>
          </wp:inline>
        </w:drawing>
      </w:r>
      <w:r>
        <w:rPr>
          <w:rFonts w:hint="eastAsia" w:eastAsia="宋体"/>
          <w:lang w:eastAsia="zh-CN"/>
        </w:rPr>
        <w:drawing>
          <wp:inline distT="0" distB="0" distL="114300" distR="114300">
            <wp:extent cx="5717540" cy="7820025"/>
            <wp:effectExtent l="0" t="0" r="12700" b="13335"/>
            <wp:docPr id="36" name="图片 36" descr="3d59f138f6048a82fd0a57c2937228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d59f138f6048a82fd0a57c29372289c"/>
                    <pic:cNvPicPr>
                      <a:picLocks noChangeAspect="1"/>
                    </pic:cNvPicPr>
                  </pic:nvPicPr>
                  <pic:blipFill>
                    <a:blip r:embed="rId10"/>
                    <a:stretch>
                      <a:fillRect/>
                    </a:stretch>
                  </pic:blipFill>
                  <pic:spPr>
                    <a:xfrm>
                      <a:off x="0" y="0"/>
                      <a:ext cx="5717540" cy="7820025"/>
                    </a:xfrm>
                    <a:prstGeom prst="rect">
                      <a:avLst/>
                    </a:prstGeom>
                  </pic:spPr>
                </pic:pic>
              </a:graphicData>
            </a:graphic>
          </wp:inline>
        </w:drawing>
      </w:r>
    </w:p>
    <w:sectPr>
      <w:pgSz w:w="11906" w:h="16838"/>
      <w:pgMar w:top="102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1E43C17"/>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D0227BA"/>
    <w:rsid w:val="0D073DB5"/>
    <w:rsid w:val="0D081033"/>
    <w:rsid w:val="0E564C3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AF71484"/>
    <w:rsid w:val="1B63147C"/>
    <w:rsid w:val="1C2F6387"/>
    <w:rsid w:val="1C3244B8"/>
    <w:rsid w:val="1C3E4E60"/>
    <w:rsid w:val="1C461987"/>
    <w:rsid w:val="1C4B6410"/>
    <w:rsid w:val="1C67088B"/>
    <w:rsid w:val="1C970306"/>
    <w:rsid w:val="1CD13F56"/>
    <w:rsid w:val="1CD14F1F"/>
    <w:rsid w:val="1CEA3399"/>
    <w:rsid w:val="1DA60EEB"/>
    <w:rsid w:val="1DD23759"/>
    <w:rsid w:val="1F0F5E71"/>
    <w:rsid w:val="1F142A61"/>
    <w:rsid w:val="1F373426"/>
    <w:rsid w:val="1F642D26"/>
    <w:rsid w:val="1FAC2BD1"/>
    <w:rsid w:val="1FC658C9"/>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8330CD"/>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F2686E"/>
    <w:rsid w:val="2E9E272A"/>
    <w:rsid w:val="2EAE6403"/>
    <w:rsid w:val="2F5C124E"/>
    <w:rsid w:val="31055C5A"/>
    <w:rsid w:val="3256187C"/>
    <w:rsid w:val="3259568C"/>
    <w:rsid w:val="32A31CA7"/>
    <w:rsid w:val="32A66941"/>
    <w:rsid w:val="334B2415"/>
    <w:rsid w:val="339918AA"/>
    <w:rsid w:val="33BD2F62"/>
    <w:rsid w:val="33C148CD"/>
    <w:rsid w:val="33C34DB1"/>
    <w:rsid w:val="33E01751"/>
    <w:rsid w:val="341F407D"/>
    <w:rsid w:val="34BD4A82"/>
    <w:rsid w:val="351530F3"/>
    <w:rsid w:val="351B1DBB"/>
    <w:rsid w:val="35211925"/>
    <w:rsid w:val="35524794"/>
    <w:rsid w:val="36577381"/>
    <w:rsid w:val="366115C7"/>
    <w:rsid w:val="368F242B"/>
    <w:rsid w:val="36E75766"/>
    <w:rsid w:val="37285AB1"/>
    <w:rsid w:val="375C6F30"/>
    <w:rsid w:val="3781684D"/>
    <w:rsid w:val="3823766B"/>
    <w:rsid w:val="396748BA"/>
    <w:rsid w:val="39AC13AD"/>
    <w:rsid w:val="3A751F6D"/>
    <w:rsid w:val="3AAA1C17"/>
    <w:rsid w:val="3AB6680E"/>
    <w:rsid w:val="3AD61658"/>
    <w:rsid w:val="3ADD7367"/>
    <w:rsid w:val="3AF50232"/>
    <w:rsid w:val="3B251FB8"/>
    <w:rsid w:val="3B3712DA"/>
    <w:rsid w:val="3B516ED3"/>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9D18F3"/>
    <w:rsid w:val="4FB01626"/>
    <w:rsid w:val="4FF32FA8"/>
    <w:rsid w:val="50050302"/>
    <w:rsid w:val="50EA0B03"/>
    <w:rsid w:val="512A57AB"/>
    <w:rsid w:val="515A3854"/>
    <w:rsid w:val="5276471A"/>
    <w:rsid w:val="52B20F97"/>
    <w:rsid w:val="52CC47C0"/>
    <w:rsid w:val="52E07D49"/>
    <w:rsid w:val="5374510A"/>
    <w:rsid w:val="53F5005F"/>
    <w:rsid w:val="550C37A2"/>
    <w:rsid w:val="563253F0"/>
    <w:rsid w:val="563D2137"/>
    <w:rsid w:val="565D015E"/>
    <w:rsid w:val="56836AB2"/>
    <w:rsid w:val="56BC2DE3"/>
    <w:rsid w:val="56D42C4D"/>
    <w:rsid w:val="56EF512A"/>
    <w:rsid w:val="57301D47"/>
    <w:rsid w:val="57487036"/>
    <w:rsid w:val="575D6537"/>
    <w:rsid w:val="57800B40"/>
    <w:rsid w:val="57CD2DFE"/>
    <w:rsid w:val="580F1A09"/>
    <w:rsid w:val="58244FE5"/>
    <w:rsid w:val="583628E4"/>
    <w:rsid w:val="584B13F6"/>
    <w:rsid w:val="59217B49"/>
    <w:rsid w:val="59656964"/>
    <w:rsid w:val="59A860E0"/>
    <w:rsid w:val="59D926D2"/>
    <w:rsid w:val="5A034680"/>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864468"/>
    <w:rsid w:val="629E5C56"/>
    <w:rsid w:val="62A05F08"/>
    <w:rsid w:val="62EA5BC6"/>
    <w:rsid w:val="630737FB"/>
    <w:rsid w:val="638C3AFD"/>
    <w:rsid w:val="63C25DAA"/>
    <w:rsid w:val="64126CC6"/>
    <w:rsid w:val="648F0582"/>
    <w:rsid w:val="64F540D9"/>
    <w:rsid w:val="6559245A"/>
    <w:rsid w:val="65622F6B"/>
    <w:rsid w:val="658C415A"/>
    <w:rsid w:val="65BD6D5B"/>
    <w:rsid w:val="66415650"/>
    <w:rsid w:val="66C53C4A"/>
    <w:rsid w:val="673B297E"/>
    <w:rsid w:val="678F323C"/>
    <w:rsid w:val="67F105D6"/>
    <w:rsid w:val="67FD6F7B"/>
    <w:rsid w:val="68233EA0"/>
    <w:rsid w:val="68A30209"/>
    <w:rsid w:val="68C86C57"/>
    <w:rsid w:val="69C2222A"/>
    <w:rsid w:val="6AA57F27"/>
    <w:rsid w:val="6CC37EB5"/>
    <w:rsid w:val="6D1139EB"/>
    <w:rsid w:val="6D27066C"/>
    <w:rsid w:val="6D3457FF"/>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397B"/>
    <w:rsid w:val="729E3A33"/>
    <w:rsid w:val="72C43B37"/>
    <w:rsid w:val="73670AB5"/>
    <w:rsid w:val="737D1DEA"/>
    <w:rsid w:val="74150FF5"/>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CB65A5"/>
    <w:rsid w:val="79F44E86"/>
    <w:rsid w:val="79FE7AE0"/>
    <w:rsid w:val="7A083C89"/>
    <w:rsid w:val="7AA15E8B"/>
    <w:rsid w:val="7B424553"/>
    <w:rsid w:val="7BB96559"/>
    <w:rsid w:val="7BF25D18"/>
    <w:rsid w:val="7C304A31"/>
    <w:rsid w:val="7C6520EB"/>
    <w:rsid w:val="7C85225C"/>
    <w:rsid w:val="7D1943FF"/>
    <w:rsid w:val="7D7347EF"/>
    <w:rsid w:val="7D9755D5"/>
    <w:rsid w:val="7D9B14E2"/>
    <w:rsid w:val="7DB761A8"/>
    <w:rsid w:val="7DD52B5A"/>
    <w:rsid w:val="7E522673"/>
    <w:rsid w:val="7E81400A"/>
    <w:rsid w:val="7EA63A70"/>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outlineLvl w:val="3"/>
    </w:pPr>
    <w:rPr>
      <w:b/>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next w:val="1"/>
    <w:qFormat/>
    <w:uiPriority w:val="99"/>
    <w:rPr>
      <w:sz w:val="28"/>
      <w:szCs w:val="28"/>
    </w:rPr>
  </w:style>
  <w:style w:type="paragraph" w:styleId="8">
    <w:name w:val="Body Text Indent"/>
    <w:basedOn w:val="1"/>
    <w:next w:val="9"/>
    <w:unhideWhenUsed/>
    <w:qFormat/>
    <w:uiPriority w:val="99"/>
    <w:pPr>
      <w:spacing w:after="120"/>
      <w:ind w:left="420" w:leftChars="200"/>
    </w:pPr>
  </w:style>
  <w:style w:type="paragraph" w:styleId="9">
    <w:name w:val="toc 5"/>
    <w:basedOn w:val="1"/>
    <w:next w:val="1"/>
    <w:semiHidden/>
    <w:qFormat/>
    <w:uiPriority w:val="0"/>
    <w:pPr>
      <w:ind w:left="1120"/>
      <w:jc w:val="left"/>
    </w:pPr>
    <w:rPr>
      <w:sz w:val="18"/>
      <w:szCs w:val="18"/>
    </w:rPr>
  </w:style>
  <w:style w:type="paragraph" w:styleId="10">
    <w:name w:val="Plain Text"/>
    <w:basedOn w:val="1"/>
    <w:qFormat/>
    <w:uiPriority w:val="0"/>
    <w:rPr>
      <w:rFonts w:ascii="宋体" w:hAnsi="Courier New" w:cs="Courier New"/>
      <w:szCs w:val="21"/>
    </w:rPr>
  </w:style>
  <w:style w:type="paragraph" w:styleId="11">
    <w:name w:val="Date"/>
    <w:basedOn w:val="1"/>
    <w:next w:val="1"/>
    <w:link w:val="46"/>
    <w:qFormat/>
    <w:uiPriority w:val="0"/>
    <w:pPr>
      <w:ind w:left="100" w:leftChars="2500"/>
    </w:pPr>
    <w:rPr>
      <w:rFonts w:ascii="Times New Roman" w:hAnsi="Times New Roman"/>
      <w:b/>
      <w:bCs/>
      <w:sz w:val="28"/>
    </w:rPr>
  </w:style>
  <w:style w:type="paragraph" w:styleId="12">
    <w:name w:val="Body Text Indent 2"/>
    <w:basedOn w:val="1"/>
    <w:qFormat/>
    <w:uiPriority w:val="0"/>
    <w:pPr>
      <w:ind w:firstLine="538" w:firstLineChars="192"/>
    </w:pPr>
    <w:rPr>
      <w:rFonts w:ascii="宋体" w:hAnsi="宋体"/>
      <w:sz w:val="28"/>
    </w:rPr>
  </w:style>
  <w:style w:type="paragraph" w:styleId="13">
    <w:name w:val="Balloon Text"/>
    <w:basedOn w:val="1"/>
    <w:link w:val="32"/>
    <w:qFormat/>
    <w:uiPriority w:val="0"/>
    <w:rPr>
      <w:sz w:val="18"/>
      <w:szCs w:val="18"/>
    </w:rPr>
  </w:style>
  <w:style w:type="paragraph" w:styleId="14">
    <w:name w:val="footer"/>
    <w:basedOn w:val="1"/>
    <w:next w:val="15"/>
    <w:qFormat/>
    <w:uiPriority w:val="0"/>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7"/>
    <w:next w:val="1"/>
    <w:qFormat/>
    <w:uiPriority w:val="0"/>
    <w:pPr>
      <w:spacing w:after="120"/>
      <w:ind w:firstLine="420" w:firstLineChars="100"/>
    </w:pPr>
  </w:style>
  <w:style w:type="paragraph" w:styleId="21">
    <w:name w:val="Body Text First Indent 2"/>
    <w:basedOn w:val="8"/>
    <w:next w:val="22"/>
    <w:unhideWhenUsed/>
    <w:qFormat/>
    <w:uiPriority w:val="99"/>
    <w:pPr>
      <w:ind w:firstLine="420" w:firstLineChars="200"/>
    </w:pPr>
  </w:style>
  <w:style w:type="paragraph" w:customStyle="1" w:styleId="22">
    <w:name w:val="正文2"/>
    <w:basedOn w:val="1"/>
    <w:qFormat/>
    <w:uiPriority w:val="0"/>
    <w:pPr>
      <w:spacing w:line="440" w:lineRule="atLeast"/>
      <w:ind w:firstLine="567"/>
    </w:pPr>
    <w:rPr>
      <w:sz w:val="24"/>
      <w:szCs w:val="20"/>
    </w:rPr>
  </w:style>
  <w:style w:type="paragraph" w:customStyle="1" w:styleId="25">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4"/>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4"/>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4"/>
    <w:link w:val="11"/>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7</Pages>
  <Words>952</Words>
  <Characters>1172</Characters>
  <Lines>8</Lines>
  <Paragraphs>2</Paragraphs>
  <TotalTime>5</TotalTime>
  <ScaleCrop>false</ScaleCrop>
  <LinksUpToDate>false</LinksUpToDate>
  <CharactersWithSpaces>1186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2025-12-15T02:02:36Z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7292E24F96A54642A6DA8D16883AC132_13</vt:lpwstr>
  </property>
  <property fmtid="{D5CDD505-2E9C-101B-9397-08002B2CF9AE}" pid="4" name="KSOTemplateDocerSaveRecord">
    <vt:lpwstr>eyJoZGlkIjoiNDgzMjdiZTZhYWEwMDUyMzMwMzdhZWM2ZmNjMGMzMDkiLCJ1c2VySWQiOiI1NzcyNjAwMzgifQ==</vt:lpwstr>
  </property>
</Properties>
</file>