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10"/>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4C0D01F">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w:t>
            </w:r>
            <w:bookmarkStart w:id="48" w:name="_GoBack"/>
            <w:bookmarkEnd w:id="48"/>
            <w:r>
              <w:rPr>
                <w:rFonts w:hint="eastAsia"/>
                <w:color w:val="000000"/>
                <w:szCs w:val="21"/>
                <w:lang w:eastAsia="zh-CN"/>
              </w:rPr>
              <w:t>石油天然气股份有限公司山东泰安销售分公司新泰羊流镇坦里加油站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5"/>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highlight w:val="none"/>
                <w:lang w:val="en-US" w:eastAsia="zh-CN"/>
              </w:rPr>
              <w:t>4</w:t>
            </w:r>
            <w:r>
              <w:rPr>
                <w:rFonts w:hint="eastAsia"/>
                <w:color w:val="auto"/>
                <w:highlight w:val="none"/>
              </w:rPr>
              <w:t>台双层储罐：</w:t>
            </w:r>
            <w:r>
              <w:rPr>
                <w:rFonts w:hint="eastAsia"/>
              </w:rPr>
              <w:t>1台双层30m</w:t>
            </w:r>
            <w:r>
              <w:rPr>
                <w:rFonts w:hint="eastAsia"/>
                <w:vertAlign w:val="superscript"/>
              </w:rPr>
              <w:t>3</w:t>
            </w:r>
            <w:r>
              <w:rPr>
                <w:rFonts w:hint="eastAsia"/>
              </w:rPr>
              <w:t>92#乙醇汽油罐、</w:t>
            </w:r>
            <w:r>
              <w:t>1</w:t>
            </w:r>
            <w:r>
              <w:rPr>
                <w:rFonts w:hint="eastAsia"/>
              </w:rPr>
              <w:t>台双层30m</w:t>
            </w:r>
            <w:r>
              <w:rPr>
                <w:rFonts w:hint="eastAsia"/>
                <w:vertAlign w:val="superscript"/>
              </w:rPr>
              <w:t>3</w:t>
            </w:r>
            <w:r>
              <w:rPr>
                <w:rFonts w:hint="eastAsia"/>
              </w:rPr>
              <w:t>95#汽油罐、2台双层30m</w:t>
            </w:r>
            <w:r>
              <w:rPr>
                <w:rFonts w:hint="eastAsia"/>
                <w:vertAlign w:val="superscript"/>
              </w:rPr>
              <w:t>3</w:t>
            </w:r>
            <w:r>
              <w:rPr>
                <w:rFonts w:hint="eastAsia"/>
              </w:rPr>
              <w:t>柴油罐</w:t>
            </w:r>
            <w:r>
              <w:rPr>
                <w:rStyle w:val="12"/>
                <w:rFonts w:hint="eastAsia"/>
                <w:lang w:eastAsia="zh-CN"/>
              </w:rPr>
              <w:t>、</w:t>
            </w:r>
            <w:r>
              <w:rPr>
                <w:rStyle w:val="12"/>
                <w:rFonts w:hint="eastAsia"/>
                <w:lang w:val="en-US" w:eastAsia="zh-CN"/>
              </w:rPr>
              <w:t>1台油气回收处理装置</w:t>
            </w:r>
            <w:r>
              <w:rPr>
                <w:rFonts w:hint="eastAsia"/>
                <w:color w:val="auto"/>
                <w:lang w:eastAsia="zh-CN"/>
              </w:rPr>
              <w:t>。</w:t>
            </w:r>
            <w:r>
              <w:rPr>
                <w:rFonts w:hint="eastAsia"/>
                <w:color w:val="auto"/>
                <w:lang w:val="en-US" w:eastAsia="zh-CN"/>
              </w:rPr>
              <w:t>加油站设置共设</w:t>
            </w:r>
            <w:r>
              <w:rPr>
                <w:rFonts w:hint="eastAsia"/>
              </w:rPr>
              <w:t>4台双枪加油机（92#95#双枪、92#95#双枪、0#-10#双枪、0#-10#双枪），均为自吸式</w:t>
            </w:r>
            <w:r>
              <w:rPr>
                <w:rFonts w:hint="eastAsia" w:ascii="宋体" w:hAnsi="宋体" w:eastAsia="宋体" w:cs="宋体"/>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default" w:ascii="宋体" w:hAnsi="宋体" w:eastAsia="宋体" w:cs="宋体"/>
                <w:sz w:val="24"/>
                <w:lang w:val="en-US" w:eastAsia="zh-CN"/>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2025.4.7</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2025.10.11</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2025.10.13</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安全评价报告提交时间：2025.10.24</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72713FB9">
      <w:pPr>
        <w:pStyle w:val="19"/>
        <w:widowControl w:val="0"/>
        <w:adjustRightInd w:val="0"/>
        <w:snapToGrid w:val="0"/>
        <w:spacing w:before="468" w:beforeLines="150" w:after="156" w:afterLines="50" w:line="360" w:lineRule="auto"/>
      </w:pPr>
      <w:bookmarkStart w:id="0" w:name="_Toc5202"/>
      <w:r>
        <w:t>第二章 加油站概况</w:t>
      </w:r>
      <w:bookmarkEnd w:id="0"/>
    </w:p>
    <w:p w14:paraId="7DA68720">
      <w:pPr>
        <w:adjustRightInd w:val="0"/>
        <w:snapToGrid w:val="0"/>
        <w:spacing w:line="360" w:lineRule="auto"/>
        <w:jc w:val="center"/>
        <w:outlineLvl w:val="1"/>
        <w:rPr>
          <w:rFonts w:ascii="Calibri" w:hAnsi="Calibri" w:eastAsia="楷体_GB2312"/>
          <w:b/>
          <w:kern w:val="0"/>
          <w:sz w:val="32"/>
          <w:szCs w:val="20"/>
        </w:rPr>
      </w:pPr>
      <w:bookmarkStart w:id="1" w:name="_Toc15033743"/>
      <w:bookmarkStart w:id="2" w:name="_Toc102633970"/>
      <w:bookmarkStart w:id="3" w:name="_Toc102633896"/>
      <w:bookmarkStart w:id="4" w:name="_Toc24744"/>
      <w:bookmarkStart w:id="5" w:name="_Toc30066"/>
      <w:bookmarkStart w:id="6" w:name="_Toc208733856"/>
      <w:bookmarkStart w:id="7" w:name="_Toc102634227"/>
      <w:bookmarkStart w:id="8" w:name="_Toc272364524"/>
      <w:bookmarkStart w:id="9" w:name="_Toc26504"/>
      <w:r>
        <w:rPr>
          <w:rFonts w:ascii="Calibri" w:hAnsi="Calibri" w:eastAsia="楷体_GB2312"/>
          <w:b/>
          <w:kern w:val="0"/>
          <w:sz w:val="32"/>
          <w:szCs w:val="20"/>
        </w:rPr>
        <w:t>第一节 加油站基本情况</w:t>
      </w:r>
      <w:bookmarkEnd w:id="1"/>
      <w:bookmarkEnd w:id="2"/>
      <w:bookmarkEnd w:id="3"/>
      <w:bookmarkEnd w:id="4"/>
      <w:bookmarkEnd w:id="5"/>
      <w:bookmarkEnd w:id="6"/>
      <w:bookmarkEnd w:id="7"/>
      <w:bookmarkEnd w:id="8"/>
      <w:bookmarkEnd w:id="9"/>
    </w:p>
    <w:p w14:paraId="789ADE9E">
      <w:pPr>
        <w:adjustRightInd w:val="0"/>
        <w:snapToGrid w:val="0"/>
        <w:spacing w:line="360" w:lineRule="auto"/>
        <w:ind w:firstLine="560" w:firstLineChars="200"/>
        <w:rPr>
          <w:rFonts w:ascii="宋体" w:hAnsi="宋体"/>
          <w:szCs w:val="28"/>
        </w:rPr>
      </w:pPr>
      <w:r>
        <w:rPr>
          <w:rFonts w:hint="eastAsia" w:ascii="宋体" w:hAnsi="宋体"/>
          <w:sz w:val="28"/>
          <w:szCs w:val="28"/>
        </w:rPr>
        <w:t xml:space="preserve"> 中国石油天然气股份有限公司山东泰安销售分公司新泰羊流镇坦里加油站位于新泰市羊流镇坦里村南邻济临路南侧</w:t>
      </w:r>
      <w:r>
        <w:rPr>
          <w:rFonts w:hint="eastAsia" w:ascii="宋体" w:hAnsi="宋体" w:cs="宋体"/>
          <w:sz w:val="28"/>
        </w:rPr>
        <w:t>，该站北侧是S241省道，南侧是民房、空地，西侧是乡村道路、架空电力线，</w:t>
      </w:r>
      <w:r>
        <w:rPr>
          <w:rFonts w:hint="eastAsia" w:ascii="宋体" w:hAnsi="宋体" w:cs="宋体"/>
          <w:sz w:val="28"/>
          <w:lang w:eastAsia="zh-CN"/>
        </w:rPr>
        <w:t>东侧是空地</w:t>
      </w:r>
      <w:r>
        <w:rPr>
          <w:rFonts w:hint="eastAsia" w:ascii="宋体" w:hAnsi="宋体" w:cs="宋体"/>
          <w:sz w:val="28"/>
        </w:rPr>
        <w:t>、架空电力线。。</w:t>
      </w:r>
      <w:r>
        <w:rPr>
          <w:rFonts w:hint="eastAsia" w:ascii="宋体" w:hAnsi="宋体"/>
          <w:sz w:val="28"/>
        </w:rPr>
        <w:t>该站经营许可范围为汽油、乙醇汽油、柴油，现其主要储存经营汽油、乙醇汽油、</w:t>
      </w:r>
      <w:r>
        <w:rPr>
          <w:rFonts w:hint="eastAsia" w:ascii="宋体" w:hAnsi="宋体" w:cs="宋体"/>
          <w:sz w:val="28"/>
        </w:rPr>
        <w:t>柴油（0#与-10#换季销售）。此次现状评价报告与上次报告相比，周边环境、站内设备设施、主要建构筑物均未发生变化。</w:t>
      </w:r>
    </w:p>
    <w:p w14:paraId="685B474F">
      <w:pPr>
        <w:pStyle w:val="18"/>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该加油站主要建有站房、油罐区、加油区等。站房在</w:t>
      </w:r>
      <w:r>
        <w:rPr>
          <w:rFonts w:hint="eastAsia" w:ascii="宋体" w:hAnsi="宋体"/>
          <w:szCs w:val="28"/>
          <w:lang w:val="en-US" w:eastAsia="zh-CN"/>
        </w:rPr>
        <w:t>加油</w:t>
      </w:r>
      <w:r>
        <w:rPr>
          <w:rFonts w:hint="eastAsia" w:ascii="宋体" w:hAnsi="宋体"/>
          <w:szCs w:val="28"/>
        </w:rPr>
        <w:t>区</w:t>
      </w:r>
      <w:r>
        <w:rPr>
          <w:rFonts w:hint="eastAsia" w:ascii="宋体" w:hAnsi="宋体"/>
          <w:szCs w:val="28"/>
          <w:lang w:val="en-US" w:eastAsia="zh-CN"/>
        </w:rPr>
        <w:t>南</w:t>
      </w:r>
      <w:r>
        <w:rPr>
          <w:rFonts w:hint="eastAsia" w:ascii="宋体" w:hAnsi="宋体"/>
          <w:szCs w:val="28"/>
        </w:rPr>
        <w:t>部，加油区在站房</w:t>
      </w:r>
      <w:r>
        <w:rPr>
          <w:rFonts w:hint="eastAsia" w:ascii="宋体" w:hAnsi="宋体"/>
          <w:szCs w:val="28"/>
          <w:lang w:val="en-US" w:eastAsia="zh-CN"/>
        </w:rPr>
        <w:t>北</w:t>
      </w:r>
      <w:r>
        <w:rPr>
          <w:rFonts w:hint="eastAsia" w:ascii="宋体" w:hAnsi="宋体"/>
          <w:szCs w:val="28"/>
        </w:rPr>
        <w:t>侧，现有4台双枪加油机（92#95#双枪、92#95#双枪、0#-10#双枪、0#-10#双枪），均为自吸式；油罐区布置在站房东侧，自西向东分别为：1台30m³92#乙醇汽油罐、1台30m³95#汽油罐、2台30m³柴油罐，汽油（乙醇汽油）、柴油卸油口均位于罐区北侧，罐区</w:t>
      </w:r>
      <w:r>
        <w:rPr>
          <w:rFonts w:hint="eastAsia" w:ascii="宋体" w:hAnsi="宋体"/>
          <w:szCs w:val="28"/>
          <w:lang w:val="en-US" w:eastAsia="zh-CN"/>
        </w:rPr>
        <w:t>南</w:t>
      </w:r>
      <w:r>
        <w:rPr>
          <w:rFonts w:hint="eastAsia" w:ascii="宋体" w:hAnsi="宋体"/>
          <w:szCs w:val="28"/>
        </w:rPr>
        <w:t>侧共有通气管5根（含油气回收处理装置通气管）；按《汽车加油加气加氢站技术标准》GB50156-2021标准规定：V=60+60/2=90m</w:t>
      </w:r>
      <w:r>
        <w:rPr>
          <w:rFonts w:hint="eastAsia" w:ascii="宋体" w:hAnsi="宋体"/>
          <w:szCs w:val="28"/>
          <w:vertAlign w:val="superscript"/>
        </w:rPr>
        <w:t>3</w:t>
      </w:r>
      <w:r>
        <w:rPr>
          <w:rFonts w:hint="eastAsia" w:ascii="宋体" w:hAnsi="宋体"/>
          <w:szCs w:val="28"/>
        </w:rPr>
        <w:t>，该站属三级加油站；该站汽油（乙醇汽油）设有卸油油气回收系统、加油油气回收系统及油气回收</w:t>
      </w:r>
      <w:r>
        <w:rPr>
          <w:rFonts w:hint="eastAsia" w:ascii="宋体" w:hAnsi="宋体"/>
          <w:szCs w:val="28"/>
          <w:lang w:val="en-US" w:eastAsia="zh-CN"/>
        </w:rPr>
        <w:t>处理</w:t>
      </w:r>
      <w:r>
        <w:rPr>
          <w:rFonts w:hint="eastAsia" w:ascii="宋体" w:hAnsi="宋体"/>
          <w:szCs w:val="28"/>
        </w:rPr>
        <w:t>系统</w:t>
      </w:r>
      <w:r>
        <w:rPr>
          <w:rFonts w:hint="eastAsia" w:ascii="宋体"/>
        </w:rPr>
        <w:t>。</w:t>
      </w:r>
    </w:p>
    <w:p w14:paraId="10CBA1E8">
      <w:pPr>
        <w:pStyle w:val="20"/>
        <w:widowControl w:val="0"/>
        <w:adjustRightInd w:val="0"/>
        <w:snapToGrid w:val="0"/>
        <w:spacing w:line="360" w:lineRule="auto"/>
        <w:outlineLvl w:val="9"/>
      </w:pPr>
      <w:r>
        <w:t>表</w:t>
      </w:r>
      <w:r>
        <w:rPr>
          <w:rFonts w:ascii="黑体" w:hAnsi="黑体"/>
        </w:rPr>
        <w:t xml:space="preserve">2.1-1 </w:t>
      </w:r>
      <w:r>
        <w:t>加油站的等级划分</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0608D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0EEC96">
            <w:pPr>
              <w:pStyle w:val="21"/>
              <w:widowControl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2A97363F">
            <w:pPr>
              <w:pStyle w:val="21"/>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0ABB9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1D1A4D29">
            <w:pPr>
              <w:pStyle w:val="21"/>
              <w:widowControl w:val="0"/>
              <w:adjustRightInd w:val="0"/>
              <w:snapToGrid w:val="0"/>
              <w:spacing w:line="360" w:lineRule="auto"/>
              <w:rPr>
                <w:rFonts w:ascii="宋体" w:hAnsi="宋体"/>
                <w:b/>
                <w:bCs/>
              </w:rPr>
            </w:pPr>
          </w:p>
        </w:tc>
        <w:tc>
          <w:tcPr>
            <w:tcW w:w="1667" w:type="pct"/>
            <w:vAlign w:val="center"/>
          </w:tcPr>
          <w:p w14:paraId="150EE5C1">
            <w:pPr>
              <w:pStyle w:val="21"/>
              <w:widowControl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14:paraId="7790D801">
            <w:pPr>
              <w:pStyle w:val="21"/>
              <w:widowControl w:val="0"/>
              <w:adjustRightInd w:val="0"/>
              <w:snapToGrid w:val="0"/>
              <w:spacing w:line="360" w:lineRule="auto"/>
              <w:rPr>
                <w:rFonts w:ascii="宋体" w:hAnsi="宋体"/>
                <w:b/>
                <w:bCs/>
              </w:rPr>
            </w:pPr>
            <w:r>
              <w:rPr>
                <w:rFonts w:ascii="宋体" w:hAnsi="宋体"/>
                <w:b/>
                <w:bCs/>
              </w:rPr>
              <w:t>单罐容积</w:t>
            </w:r>
          </w:p>
        </w:tc>
      </w:tr>
      <w:tr w14:paraId="08162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96BC1AF">
            <w:pPr>
              <w:pStyle w:val="21"/>
              <w:widowControl w:val="0"/>
              <w:adjustRightInd w:val="0"/>
              <w:snapToGrid w:val="0"/>
              <w:spacing w:line="360" w:lineRule="auto"/>
              <w:rPr>
                <w:rFonts w:ascii="宋体" w:hAnsi="宋体"/>
              </w:rPr>
            </w:pPr>
            <w:r>
              <w:rPr>
                <w:rFonts w:ascii="宋体" w:hAnsi="宋体"/>
              </w:rPr>
              <w:t>一级</w:t>
            </w:r>
          </w:p>
        </w:tc>
        <w:tc>
          <w:tcPr>
            <w:tcW w:w="1667" w:type="pct"/>
            <w:vAlign w:val="center"/>
          </w:tcPr>
          <w:p w14:paraId="15F22A7F">
            <w:pPr>
              <w:pStyle w:val="21"/>
              <w:widowControl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06550E66">
            <w:pPr>
              <w:pStyle w:val="21"/>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3B7A9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48C3DA7">
            <w:pPr>
              <w:pStyle w:val="21"/>
              <w:widowControl w:val="0"/>
              <w:adjustRightInd w:val="0"/>
              <w:snapToGrid w:val="0"/>
              <w:spacing w:line="360" w:lineRule="auto"/>
              <w:rPr>
                <w:rFonts w:ascii="宋体" w:hAnsi="宋体"/>
              </w:rPr>
            </w:pPr>
            <w:r>
              <w:rPr>
                <w:rFonts w:ascii="宋体" w:hAnsi="宋体"/>
              </w:rPr>
              <w:t>二级</w:t>
            </w:r>
          </w:p>
        </w:tc>
        <w:tc>
          <w:tcPr>
            <w:tcW w:w="1667" w:type="pct"/>
            <w:vAlign w:val="center"/>
          </w:tcPr>
          <w:p w14:paraId="23260517">
            <w:pPr>
              <w:pStyle w:val="21"/>
              <w:widowControl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049DF988">
            <w:pPr>
              <w:pStyle w:val="21"/>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2D054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8E87F2C">
            <w:pPr>
              <w:pStyle w:val="21"/>
              <w:widowControl w:val="0"/>
              <w:adjustRightInd w:val="0"/>
              <w:snapToGrid w:val="0"/>
              <w:spacing w:line="360" w:lineRule="auto"/>
              <w:rPr>
                <w:rFonts w:ascii="宋体" w:hAnsi="宋体"/>
              </w:rPr>
            </w:pPr>
            <w:r>
              <w:rPr>
                <w:rFonts w:ascii="宋体" w:hAnsi="宋体"/>
              </w:rPr>
              <w:t>三级</w:t>
            </w:r>
          </w:p>
        </w:tc>
        <w:tc>
          <w:tcPr>
            <w:tcW w:w="1667" w:type="pct"/>
            <w:vAlign w:val="center"/>
          </w:tcPr>
          <w:p w14:paraId="3A63BD10">
            <w:pPr>
              <w:pStyle w:val="21"/>
              <w:widowControl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1F58CEE1">
            <w:pPr>
              <w:pStyle w:val="21"/>
              <w:widowControl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3F61389B">
      <w:pPr>
        <w:pStyle w:val="22"/>
        <w:widowControl w:val="0"/>
        <w:adjustRightInd w:val="0"/>
        <w:snapToGrid w:val="0"/>
        <w:spacing w:line="360" w:lineRule="auto"/>
        <w:ind w:firstLine="436"/>
      </w:pPr>
      <w:r>
        <w:t>注：</w:t>
      </w:r>
      <w:r>
        <w:rPr>
          <w:rFonts w:hint="eastAsia"/>
        </w:rPr>
        <w:t>V为油罐总容积。</w:t>
      </w:r>
      <w:r>
        <w:t>柴油罐容积可折半计入油罐总容积。</w:t>
      </w:r>
    </w:p>
    <w:p w14:paraId="0FC5791D">
      <w:pPr>
        <w:pStyle w:val="18"/>
        <w:widowControl w:val="0"/>
        <w:adjustRightInd w:val="0"/>
        <w:snapToGrid w:val="0"/>
        <w:spacing w:line="360" w:lineRule="auto"/>
        <w:ind w:firstLine="560"/>
        <w:rPr>
          <w:rFonts w:ascii="宋体"/>
        </w:rPr>
      </w:pPr>
      <w:r>
        <w:rPr>
          <w:rFonts w:hint="eastAsia" w:ascii="宋体"/>
        </w:rPr>
        <w:t>该站现有职工3人，其中主要负责人1人，安全生产管理人员1人。主要负责人和安全生产管理人员已参加了危险化学品安全管理培训，并取得考核合格证，详见附件。</w:t>
      </w:r>
    </w:p>
    <w:p w14:paraId="25C4091B">
      <w:pPr>
        <w:pStyle w:val="18"/>
        <w:widowControl w:val="0"/>
        <w:adjustRightInd w:val="0"/>
        <w:snapToGrid w:val="0"/>
        <w:spacing w:line="360" w:lineRule="auto"/>
        <w:ind w:firstLine="560"/>
        <w:rPr>
          <w:rFonts w:ascii="宋体"/>
        </w:rPr>
      </w:pPr>
      <w:r>
        <w:rPr>
          <w:rFonts w:hint="eastAsia" w:ascii="宋体"/>
        </w:rPr>
        <w:t>加油站于2004年11月22日取得了新泰市公安消防大队出具的《建筑工程消防验收的意见书》，结论为：基本合格。详见附件。</w:t>
      </w:r>
    </w:p>
    <w:p w14:paraId="6C9E13CB">
      <w:pPr>
        <w:pStyle w:val="18"/>
        <w:widowControl w:val="0"/>
        <w:adjustRightInd w:val="0"/>
        <w:snapToGrid w:val="0"/>
        <w:spacing w:line="360" w:lineRule="auto"/>
        <w:ind w:firstLine="560"/>
        <w:rPr>
          <w:rFonts w:ascii="宋体"/>
        </w:rPr>
      </w:pPr>
      <w:r>
        <w:rPr>
          <w:rFonts w:hint="eastAsia" w:ascii="宋体"/>
        </w:rPr>
        <w:t>该站于2022年2月23日换发了《成品油零售经营批准证书》，证书编号：鲁油零售证书第3709022014号，证书有效期至2027年2月23日，证书见附件。</w:t>
      </w:r>
    </w:p>
    <w:p w14:paraId="076A3B6D">
      <w:pPr>
        <w:pStyle w:val="18"/>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rPr>
        <w:t>该站于2022年12月8日换发了《危险化学品经营许可证》，证书编号：鲁</w:t>
      </w:r>
      <w:r>
        <w:rPr>
          <w:rFonts w:hint="eastAsia" w:ascii="宋体"/>
          <w:color w:val="000000" w:themeColor="text1"/>
          <w14:textFill>
            <w14:solidFill>
              <w14:schemeClr w14:val="tx1"/>
            </w14:solidFill>
          </w14:textFill>
        </w:rPr>
        <w:t>泰危化经[2022]000398号，证书有效期至2025年12月30日，证书见附件。</w:t>
      </w:r>
    </w:p>
    <w:p w14:paraId="11766EA3">
      <w:pPr>
        <w:pStyle w:val="18"/>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中国石油天然气股份有限公司山东销售分公司于2006年8月21日取得了国有土地使用证，编号：新国用（2006）第0268号，终止日期至2046.6.28，详见附件。</w:t>
      </w:r>
    </w:p>
    <w:p w14:paraId="077F12DF">
      <w:pPr>
        <w:pStyle w:val="18"/>
        <w:widowControl w:val="0"/>
        <w:adjustRightInd w:val="0"/>
        <w:snapToGrid w:val="0"/>
        <w:spacing w:line="360" w:lineRule="auto"/>
        <w:ind w:firstLine="560"/>
        <w:rPr>
          <w:rFonts w:ascii="宋体"/>
        </w:rPr>
      </w:pPr>
      <w:r>
        <w:rPr>
          <w:rFonts w:hint="eastAsia" w:ascii="宋体"/>
          <w:color w:val="000000" w:themeColor="text1"/>
          <w14:textFill>
            <w14:solidFill>
              <w14:schemeClr w14:val="tx1"/>
            </w14:solidFill>
          </w14:textFill>
        </w:rPr>
        <w:t>该站在中国太平洋财产保险股份有限公司北京分公司投保了安全生产责任保险，保险期限为2025年1月1日至20</w:t>
      </w:r>
      <w:r>
        <w:rPr>
          <w:rFonts w:hint="eastAsia" w:ascii="宋体"/>
        </w:rPr>
        <w:t>25年12月31日，详见附件。</w:t>
      </w:r>
    </w:p>
    <w:p w14:paraId="189BDA4A">
      <w:pPr>
        <w:pStyle w:val="18"/>
        <w:widowControl w:val="0"/>
        <w:adjustRightInd w:val="0"/>
        <w:snapToGrid w:val="0"/>
        <w:spacing w:line="360" w:lineRule="auto"/>
        <w:ind w:firstLine="560"/>
        <w:rPr>
          <w:rFonts w:ascii="宋体"/>
        </w:rPr>
      </w:pPr>
      <w:r>
        <w:rPr>
          <w:rFonts w:hint="eastAsia" w:ascii="宋体"/>
        </w:rPr>
        <w:t>202</w:t>
      </w:r>
      <w:r>
        <w:rPr>
          <w:rFonts w:hint="eastAsia" w:ascii="宋体"/>
          <w:lang w:val="en-US" w:eastAsia="zh-CN"/>
        </w:rPr>
        <w:t>5</w:t>
      </w:r>
      <w:r>
        <w:rPr>
          <w:rFonts w:hint="eastAsia" w:ascii="宋体"/>
        </w:rPr>
        <w:t>年0</w:t>
      </w:r>
      <w:r>
        <w:rPr>
          <w:rFonts w:hint="eastAsia" w:ascii="宋体"/>
          <w:lang w:val="en-US" w:eastAsia="zh-CN"/>
        </w:rPr>
        <w:t>1</w:t>
      </w:r>
      <w:r>
        <w:rPr>
          <w:rFonts w:hint="eastAsia" w:ascii="宋体"/>
        </w:rPr>
        <w:t>月，哈尔滨东方报警设备开发有限公司</w:t>
      </w:r>
      <w:r>
        <w:rPr>
          <w:rFonts w:hint="eastAsia"/>
        </w:rPr>
        <w:t>出具了可燃气体报警器出厂检验报告，检验结果</w:t>
      </w:r>
      <w:r>
        <w:rPr>
          <w:rFonts w:hint="eastAsia" w:ascii="宋体"/>
        </w:rPr>
        <w:t>为合格。详见附件。</w:t>
      </w:r>
    </w:p>
    <w:p w14:paraId="7765F26B">
      <w:pPr>
        <w:pStyle w:val="18"/>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该站编制了生产安全事故应急预案，于2025年3月7日在泰安市应急管理局进行了备案，备案编号为：370900-2025-0027，详见附件。</w:t>
      </w:r>
    </w:p>
    <w:p w14:paraId="1D11FAB8">
      <w:pPr>
        <w:pStyle w:val="18"/>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山东天科防雷工程有限公司对该站进行了相关防雷设施的检测，出具了合格的《雷电防护装置定期检测报告》，报告编号：（1122016001）[2025]D-TAXT0</w:t>
      </w:r>
      <w:r>
        <w:rPr>
          <w:rFonts w:hint="eastAsia" w:ascii="宋体"/>
          <w:color w:val="000000" w:themeColor="text1"/>
          <w:lang w:val="en-US" w:eastAsia="zh-CN"/>
          <w14:textFill>
            <w14:solidFill>
              <w14:schemeClr w14:val="tx1"/>
            </w14:solidFill>
          </w14:textFill>
        </w:rPr>
        <w:t>362</w:t>
      </w:r>
      <w:r>
        <w:rPr>
          <w:rFonts w:hint="eastAsia" w:ascii="宋体"/>
          <w:color w:val="000000" w:themeColor="text1"/>
          <w14:textFill>
            <w14:solidFill>
              <w14:schemeClr w14:val="tx1"/>
            </w14:solidFill>
          </w14:textFill>
        </w:rPr>
        <w:t>，结论为“合格：雷电防护装置符合现行国家防雷规范标准要求”，报告有效期至202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03</w:t>
      </w:r>
      <w:r>
        <w:rPr>
          <w:rFonts w:hint="eastAsia" w:ascii="宋体"/>
          <w:color w:val="000000" w:themeColor="text1"/>
          <w14:textFill>
            <w14:solidFill>
              <w14:schemeClr w14:val="tx1"/>
            </w14:solidFill>
          </w14:textFill>
        </w:rPr>
        <w:t>月27日，检测报告见附件。</w:t>
      </w:r>
    </w:p>
    <w:p w14:paraId="55CC2475">
      <w:pPr>
        <w:pStyle w:val="18"/>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139F7E83">
      <w:pPr>
        <w:pStyle w:val="18"/>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该站各项安全管理制度基本健全，有生产经营单位生产事故应急预案，并定期进行应急救援演练。该加油站消防器材配备齐全，加油站配备了35kg推车式干粉灭火器2具，5kg手提式干粉灭火器6具，CO</w:t>
      </w:r>
      <w:r>
        <w:rPr>
          <w:rFonts w:hint="eastAsia" w:ascii="宋体"/>
          <w:vertAlign w:val="subscript"/>
        </w:rPr>
        <w:t>2</w:t>
      </w:r>
      <w:r>
        <w:rPr>
          <w:rFonts w:hint="eastAsia" w:ascii="宋体"/>
        </w:rPr>
        <w:t>灭火器4具，灭火毯7块，消防锨4把，消防桶2个，消防沙池2m</w:t>
      </w:r>
      <w:r>
        <w:rPr>
          <w:rFonts w:hint="eastAsia" w:ascii="宋体"/>
          <w:vertAlign w:val="superscript"/>
        </w:rPr>
        <w:t>3</w:t>
      </w:r>
      <w:r>
        <w:rPr>
          <w:rFonts w:hint="eastAsia" w:ascii="宋体"/>
        </w:rPr>
        <w:t>。</w:t>
      </w:r>
    </w:p>
    <w:p w14:paraId="1033DE9C">
      <w:pPr>
        <w:pStyle w:val="19"/>
        <w:spacing w:before="312" w:after="312"/>
        <w:rPr>
          <w:color w:val="auto"/>
        </w:rPr>
      </w:pPr>
      <w:r>
        <w:rPr>
          <w:rFonts w:hint="eastAsia"/>
          <w:color w:val="auto"/>
        </w:rPr>
        <w:t>第四章 评价单元划分与评价方法选择</w:t>
      </w:r>
    </w:p>
    <w:p w14:paraId="30EFAFE2">
      <w:pPr>
        <w:pStyle w:val="3"/>
        <w:spacing w:before="312" w:beforeLines="100" w:after="312" w:afterLines="100" w:line="360" w:lineRule="auto"/>
        <w:ind w:firstLine="0"/>
        <w:rPr>
          <w:color w:val="auto"/>
        </w:rPr>
      </w:pPr>
      <w:bookmarkStart w:id="10" w:name="_Toc102633981"/>
      <w:bookmarkStart w:id="11" w:name="_Toc7829"/>
      <w:bookmarkStart w:id="12" w:name="_Toc12643"/>
      <w:bookmarkStart w:id="13" w:name="_Toc192907201"/>
      <w:bookmarkStart w:id="14" w:name="_Toc23543"/>
      <w:bookmarkStart w:id="15" w:name="_Toc102634256"/>
      <w:bookmarkStart w:id="16" w:name="_Toc102634407"/>
      <w:bookmarkStart w:id="17" w:name="_Toc272364536"/>
      <w:bookmarkStart w:id="18" w:name="_Toc198026273"/>
      <w:bookmarkStart w:id="19" w:name="_Toc102633907"/>
      <w:bookmarkStart w:id="20" w:name="_Toc15033754"/>
      <w:bookmarkStart w:id="21" w:name="_Toc238007574"/>
      <w:r>
        <w:rPr>
          <w:rFonts w:hint="eastAsia"/>
          <w:color w:val="auto"/>
        </w:rPr>
        <w:t>第一节 评价单元的划分</w:t>
      </w:r>
      <w:bookmarkEnd w:id="10"/>
      <w:bookmarkEnd w:id="11"/>
      <w:bookmarkEnd w:id="12"/>
      <w:bookmarkEnd w:id="13"/>
      <w:bookmarkEnd w:id="14"/>
      <w:bookmarkEnd w:id="15"/>
      <w:bookmarkEnd w:id="16"/>
      <w:bookmarkEnd w:id="17"/>
      <w:bookmarkEnd w:id="18"/>
      <w:bookmarkEnd w:id="19"/>
      <w:bookmarkEnd w:id="20"/>
      <w:bookmarkEnd w:id="21"/>
    </w:p>
    <w:p w14:paraId="763B4731">
      <w:pPr>
        <w:pStyle w:val="18"/>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3"/>
        <w:widowControl w:val="0"/>
        <w:adjustRightInd w:val="0"/>
        <w:snapToGrid w:val="0"/>
        <w:spacing w:line="360" w:lineRule="auto"/>
        <w:ind w:firstLine="560"/>
        <w:jc w:val="both"/>
        <w:rPr>
          <w:color w:val="auto"/>
        </w:rPr>
      </w:pPr>
      <w:bookmarkStart w:id="22" w:name="_Toc102634257"/>
      <w:r>
        <w:rPr>
          <w:rFonts w:hint="eastAsia"/>
          <w:color w:val="auto"/>
        </w:rPr>
        <w:t>一</w:t>
      </w:r>
      <w:r>
        <w:rPr>
          <w:color w:val="auto"/>
        </w:rPr>
        <w:t>、以危险有害因素的类别为主划分评价单元</w:t>
      </w:r>
      <w:bookmarkEnd w:id="22"/>
    </w:p>
    <w:p w14:paraId="05C4A291">
      <w:pPr>
        <w:pStyle w:val="18"/>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8"/>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3"/>
        <w:widowControl w:val="0"/>
        <w:adjustRightInd w:val="0"/>
        <w:snapToGrid w:val="0"/>
        <w:spacing w:line="360" w:lineRule="auto"/>
        <w:ind w:firstLine="560"/>
        <w:jc w:val="both"/>
        <w:rPr>
          <w:color w:val="auto"/>
        </w:rPr>
      </w:pPr>
      <w:bookmarkStart w:id="23" w:name="_Toc102634258"/>
      <w:r>
        <w:rPr>
          <w:rFonts w:hint="eastAsia"/>
          <w:color w:val="auto"/>
        </w:rPr>
        <w:t>二</w:t>
      </w:r>
      <w:r>
        <w:rPr>
          <w:color w:val="auto"/>
        </w:rPr>
        <w:t>、以物质特征划分评价单元</w:t>
      </w:r>
      <w:bookmarkEnd w:id="23"/>
    </w:p>
    <w:p w14:paraId="5A1E40CB">
      <w:pPr>
        <w:pStyle w:val="18"/>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8"/>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8"/>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8"/>
        <w:widowControl w:val="0"/>
        <w:adjustRightInd w:val="0"/>
        <w:snapToGrid w:val="0"/>
        <w:spacing w:line="360" w:lineRule="auto"/>
        <w:ind w:firstLine="560"/>
        <w:rPr>
          <w:rFonts w:ascii="宋体"/>
          <w:color w:val="auto"/>
        </w:rPr>
      </w:pPr>
      <w:r>
        <w:rPr>
          <w:rFonts w:ascii="宋体"/>
          <w:color w:val="auto"/>
        </w:rPr>
        <w:t>1、安全管理；</w:t>
      </w:r>
    </w:p>
    <w:p w14:paraId="32BE1495">
      <w:pPr>
        <w:pStyle w:val="18"/>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8"/>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8"/>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3"/>
        <w:spacing w:before="312" w:beforeLines="100" w:after="312" w:afterLines="100" w:line="360" w:lineRule="auto"/>
        <w:ind w:firstLine="0"/>
        <w:rPr>
          <w:rFonts w:hint="eastAsia"/>
          <w:color w:val="auto"/>
        </w:rPr>
      </w:pPr>
      <w:bookmarkStart w:id="24" w:name="_Toc102634408"/>
      <w:bookmarkStart w:id="25" w:name="_Toc102633908"/>
      <w:bookmarkStart w:id="26" w:name="_Toc102634259"/>
      <w:bookmarkStart w:id="27" w:name="_Toc22810"/>
      <w:bookmarkStart w:id="28" w:name="_Toc102633982"/>
    </w:p>
    <w:p w14:paraId="178D2E97">
      <w:pPr>
        <w:pStyle w:val="3"/>
        <w:spacing w:before="312" w:beforeLines="100" w:after="312" w:afterLines="100" w:line="360" w:lineRule="auto"/>
        <w:ind w:firstLine="0"/>
        <w:rPr>
          <w:color w:val="auto"/>
        </w:rPr>
      </w:pPr>
      <w:r>
        <w:rPr>
          <w:rFonts w:hint="eastAsia"/>
          <w:color w:val="auto"/>
        </w:rPr>
        <w:t>第二节 评价方法的选择</w:t>
      </w:r>
      <w:bookmarkEnd w:id="24"/>
      <w:bookmarkEnd w:id="25"/>
      <w:bookmarkEnd w:id="26"/>
      <w:bookmarkEnd w:id="27"/>
      <w:bookmarkEnd w:id="28"/>
    </w:p>
    <w:p w14:paraId="1E411B7E">
      <w:pPr>
        <w:pStyle w:val="18"/>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8"/>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8"/>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20"/>
        <w:widowControl w:val="0"/>
        <w:adjustRightInd w:val="0"/>
        <w:snapToGrid w:val="0"/>
        <w:outlineLvl w:val="9"/>
        <w:rPr>
          <w:rFonts w:ascii="黑体" w:hAnsi="黑体"/>
          <w:color w:val="auto"/>
        </w:rPr>
      </w:pPr>
      <w:r>
        <w:rPr>
          <w:rFonts w:ascii="黑体" w:hAnsi="黑体"/>
          <w:color w:val="auto"/>
        </w:rPr>
        <w:t>表4.2-1 评价方法选择一览表</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1"/>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1"/>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1"/>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1"/>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1"/>
              <w:widowControl w:val="0"/>
              <w:adjustRightInd w:val="0"/>
              <w:snapToGrid w:val="0"/>
              <w:spacing w:line="360" w:lineRule="auto"/>
              <w:rPr>
                <w:rFonts w:ascii="宋体"/>
                <w:b/>
                <w:color w:val="auto"/>
              </w:rPr>
            </w:pPr>
          </w:p>
        </w:tc>
        <w:tc>
          <w:tcPr>
            <w:tcW w:w="1196" w:type="pct"/>
            <w:vAlign w:val="center"/>
          </w:tcPr>
          <w:p w14:paraId="17BCE365">
            <w:pPr>
              <w:pStyle w:val="21"/>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1"/>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1"/>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1"/>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1"/>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1"/>
              <w:widowControl w:val="0"/>
              <w:adjustRightInd w:val="0"/>
              <w:snapToGrid w:val="0"/>
              <w:spacing w:line="360" w:lineRule="auto"/>
              <w:rPr>
                <w:rFonts w:ascii="宋体"/>
                <w:color w:val="auto"/>
              </w:rPr>
            </w:pPr>
          </w:p>
        </w:tc>
        <w:tc>
          <w:tcPr>
            <w:tcW w:w="972" w:type="pct"/>
            <w:vAlign w:val="center"/>
          </w:tcPr>
          <w:p w14:paraId="00C1DAAC">
            <w:pPr>
              <w:pStyle w:val="21"/>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1"/>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1"/>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1"/>
              <w:widowControl w:val="0"/>
              <w:adjustRightInd w:val="0"/>
              <w:snapToGrid w:val="0"/>
              <w:spacing w:line="360" w:lineRule="auto"/>
              <w:rPr>
                <w:rFonts w:ascii="宋体"/>
                <w:color w:val="auto"/>
              </w:rPr>
            </w:pPr>
          </w:p>
        </w:tc>
        <w:tc>
          <w:tcPr>
            <w:tcW w:w="972" w:type="pct"/>
            <w:vAlign w:val="center"/>
          </w:tcPr>
          <w:p w14:paraId="757A7995">
            <w:pPr>
              <w:pStyle w:val="21"/>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1"/>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1"/>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1"/>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1"/>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1"/>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1"/>
              <w:widowControl w:val="0"/>
              <w:adjustRightInd w:val="0"/>
              <w:snapToGrid w:val="0"/>
              <w:spacing w:line="360" w:lineRule="auto"/>
              <w:rPr>
                <w:rFonts w:ascii="宋体"/>
                <w:color w:val="auto"/>
              </w:rPr>
            </w:pPr>
          </w:p>
        </w:tc>
        <w:tc>
          <w:tcPr>
            <w:tcW w:w="972" w:type="pct"/>
            <w:vAlign w:val="center"/>
          </w:tcPr>
          <w:p w14:paraId="4ADFB55C">
            <w:pPr>
              <w:pStyle w:val="21"/>
              <w:widowControl w:val="0"/>
              <w:adjustRightInd w:val="0"/>
              <w:snapToGrid w:val="0"/>
              <w:spacing w:line="360" w:lineRule="auto"/>
              <w:rPr>
                <w:rFonts w:ascii="宋体"/>
                <w:color w:val="auto"/>
              </w:rPr>
            </w:pPr>
          </w:p>
        </w:tc>
      </w:tr>
    </w:tbl>
    <w:p w14:paraId="63FFFE3C">
      <w:pPr>
        <w:pStyle w:val="18"/>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2"/>
        <w:widowControl w:val="0"/>
        <w:snapToGrid w:val="0"/>
        <w:spacing w:line="360" w:lineRule="auto"/>
        <w:ind w:firstLine="872" w:firstLineChars="400"/>
        <w:rPr>
          <w:color w:val="auto"/>
        </w:rPr>
      </w:pPr>
    </w:p>
    <w:p w14:paraId="05E4A5A0">
      <w:pPr>
        <w:pStyle w:val="19"/>
        <w:widowControl w:val="0"/>
        <w:adjustRightInd w:val="0"/>
        <w:snapToGrid w:val="0"/>
        <w:spacing w:before="468" w:beforeLines="150" w:after="156" w:afterLines="50" w:line="360" w:lineRule="auto"/>
      </w:pPr>
      <w:bookmarkStart w:id="29" w:name="_Toc102633914"/>
      <w:bookmarkStart w:id="30" w:name="_Toc7499"/>
      <w:bookmarkStart w:id="31" w:name="_Toc102634276"/>
      <w:bookmarkStart w:id="32" w:name="_Toc102633988"/>
      <w:bookmarkStart w:id="33" w:name="_Toc15033761"/>
      <w:bookmarkStart w:id="34" w:name="_Toc9894"/>
      <w:r>
        <w:t>第六章  安全对策措施及建议</w:t>
      </w:r>
      <w:bookmarkEnd w:id="29"/>
      <w:bookmarkEnd w:id="30"/>
      <w:bookmarkEnd w:id="31"/>
      <w:bookmarkEnd w:id="32"/>
      <w:bookmarkEnd w:id="33"/>
      <w:bookmarkEnd w:id="34"/>
    </w:p>
    <w:p w14:paraId="3BB8C1A0">
      <w:pPr>
        <w:snapToGrid w:val="0"/>
        <w:spacing w:before="120" w:after="120" w:line="560" w:lineRule="exact"/>
        <w:jc w:val="center"/>
        <w:outlineLvl w:val="1"/>
        <w:rPr>
          <w:rFonts w:ascii="Calibri" w:hAnsi="Calibri" w:eastAsia="楷体_GB2312"/>
          <w:b/>
          <w:kern w:val="0"/>
          <w:sz w:val="32"/>
          <w:szCs w:val="20"/>
        </w:rPr>
      </w:pPr>
      <w:bookmarkStart w:id="35" w:name="_Toc339456079"/>
      <w:bookmarkStart w:id="36" w:name="_Toc225046264"/>
      <w:bookmarkStart w:id="37" w:name="_Toc4961"/>
      <w:bookmarkStart w:id="38" w:name="_Toc242065302"/>
      <w:bookmarkStart w:id="39" w:name="_Toc348877039"/>
      <w:bookmarkStart w:id="40" w:name="_Toc102633989"/>
      <w:bookmarkStart w:id="41" w:name="_Toc102634277"/>
      <w:bookmarkStart w:id="42" w:name="_Toc102633915"/>
      <w:bookmarkStart w:id="43" w:name="_Toc10828"/>
      <w:bookmarkStart w:id="44" w:name="_Toc23130"/>
      <w:bookmarkStart w:id="45" w:name="_Toc15033762"/>
      <w:r>
        <w:rPr>
          <w:rFonts w:ascii="Calibri" w:hAnsi="Calibri" w:eastAsia="楷体_GB2312"/>
          <w:b/>
          <w:kern w:val="0"/>
          <w:sz w:val="32"/>
          <w:szCs w:val="20"/>
        </w:rPr>
        <w:t xml:space="preserve">第一节 </w:t>
      </w:r>
      <w:bookmarkEnd w:id="35"/>
      <w:bookmarkEnd w:id="36"/>
      <w:r>
        <w:rPr>
          <w:rFonts w:ascii="Calibri" w:hAnsi="Calibri" w:eastAsia="楷体_GB2312"/>
          <w:b/>
          <w:kern w:val="0"/>
          <w:sz w:val="32"/>
          <w:szCs w:val="20"/>
        </w:rPr>
        <w:t>存在的问题及整改建议</w:t>
      </w:r>
      <w:bookmarkEnd w:id="37"/>
      <w:bookmarkEnd w:id="38"/>
      <w:bookmarkEnd w:id="39"/>
      <w:bookmarkEnd w:id="40"/>
      <w:bookmarkEnd w:id="41"/>
      <w:bookmarkEnd w:id="42"/>
      <w:bookmarkEnd w:id="43"/>
      <w:bookmarkEnd w:id="44"/>
      <w:bookmarkEnd w:id="45"/>
    </w:p>
    <w:p w14:paraId="39E8E427">
      <w:pPr>
        <w:adjustRightInd w:val="0"/>
        <w:snapToGrid w:val="0"/>
        <w:spacing w:line="360" w:lineRule="auto"/>
        <w:ind w:firstLine="560" w:firstLineChars="200"/>
        <w:rPr>
          <w:rFonts w:ascii="宋体"/>
          <w:kern w:val="0"/>
          <w:sz w:val="28"/>
          <w:szCs w:val="20"/>
        </w:rPr>
      </w:pPr>
      <w:bookmarkStart w:id="46" w:name="_Toc15033763"/>
      <w:bookmarkStart w:id="47" w:name="_Toc49590281"/>
      <w:r>
        <w:rPr>
          <w:rFonts w:ascii="宋体"/>
          <w:kern w:val="0"/>
          <w:sz w:val="28"/>
          <w:szCs w:val="20"/>
        </w:rPr>
        <w:t>通过现场检查和审查有关资料</w:t>
      </w:r>
      <w:r>
        <w:rPr>
          <w:rFonts w:hint="eastAsia" w:ascii="宋体"/>
          <w:kern w:val="0"/>
          <w:sz w:val="28"/>
          <w:szCs w:val="20"/>
        </w:rPr>
        <w:t>可以看出，该加油站问题如下：</w:t>
      </w:r>
    </w:p>
    <w:bookmarkEnd w:id="46"/>
    <w:bookmarkEnd w:id="47"/>
    <w:p w14:paraId="36857B85">
      <w:pPr>
        <w:widowControl/>
        <w:spacing w:line="360" w:lineRule="auto"/>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10"/>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047"/>
        <w:gridCol w:w="4538"/>
      </w:tblGrid>
      <w:tr w14:paraId="2D8BB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blHeader/>
          <w:jc w:val="center"/>
        </w:trPr>
        <w:tc>
          <w:tcPr>
            <w:tcW w:w="817" w:type="dxa"/>
            <w:vAlign w:val="center"/>
          </w:tcPr>
          <w:p w14:paraId="39E05E81">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序号</w:t>
            </w:r>
          </w:p>
        </w:tc>
        <w:tc>
          <w:tcPr>
            <w:tcW w:w="4047" w:type="dxa"/>
            <w:vAlign w:val="center"/>
          </w:tcPr>
          <w:p w14:paraId="6F9655C0">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企业存在的问题</w:t>
            </w:r>
          </w:p>
        </w:tc>
        <w:tc>
          <w:tcPr>
            <w:tcW w:w="4538" w:type="dxa"/>
            <w:vAlign w:val="center"/>
          </w:tcPr>
          <w:p w14:paraId="75648D40">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整改建议措施</w:t>
            </w:r>
          </w:p>
        </w:tc>
      </w:tr>
      <w:tr w14:paraId="664660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17" w:type="dxa"/>
            <w:vAlign w:val="center"/>
          </w:tcPr>
          <w:p w14:paraId="64D1E607">
            <w:pPr>
              <w:widowControl/>
              <w:tabs>
                <w:tab w:val="left" w:pos="6120"/>
              </w:tabs>
              <w:adjustRightInd w:val="0"/>
              <w:spacing w:before="31" w:beforeLines="10" w:after="31" w:afterLines="10" w:line="320" w:lineRule="exact"/>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1</w:t>
            </w:r>
          </w:p>
        </w:tc>
        <w:tc>
          <w:tcPr>
            <w:tcW w:w="4047" w:type="dxa"/>
            <w:vAlign w:val="center"/>
          </w:tcPr>
          <w:p w14:paraId="637288B0">
            <w:pPr>
              <w:widowControl/>
              <w:tabs>
                <w:tab w:val="left" w:pos="6120"/>
              </w:tabs>
              <w:adjustRightInd w:val="0"/>
              <w:spacing w:before="31" w:beforeLines="10" w:after="31" w:afterLines="10" w:line="320" w:lineRule="exact"/>
              <w:jc w:val="center"/>
              <w:textAlignment w:val="baseline"/>
              <w:rPr>
                <w:rFonts w:hint="eastAsia" w:ascii="宋体" w:hAnsi="宋体"/>
                <w:color w:val="auto"/>
                <w:kern w:val="0"/>
                <w:u w:color="000000"/>
              </w:rPr>
            </w:pPr>
            <w:r>
              <w:rPr>
                <w:rFonts w:hint="eastAsia" w:ascii="宋体" w:hAnsi="宋体"/>
                <w:color w:val="auto"/>
                <w:lang w:val="en-US" w:eastAsia="zh-CN"/>
              </w:rPr>
              <w:t>无</w:t>
            </w:r>
          </w:p>
        </w:tc>
        <w:tc>
          <w:tcPr>
            <w:tcW w:w="4538" w:type="dxa"/>
            <w:vAlign w:val="center"/>
          </w:tcPr>
          <w:p w14:paraId="3BF2A23A">
            <w:pPr>
              <w:widowControl/>
              <w:tabs>
                <w:tab w:val="left" w:pos="6120"/>
              </w:tabs>
              <w:adjustRightInd w:val="0"/>
              <w:spacing w:before="31" w:beforeLines="10" w:after="31" w:afterLines="10" w:line="320" w:lineRule="exact"/>
              <w:jc w:val="center"/>
              <w:textAlignment w:val="baseline"/>
              <w:rPr>
                <w:rFonts w:hint="eastAsia" w:ascii="宋体" w:hAnsi="宋体"/>
                <w:color w:val="auto"/>
                <w:kern w:val="0"/>
                <w:u w:color="000000"/>
              </w:rPr>
            </w:pPr>
            <w:r>
              <w:rPr>
                <w:rFonts w:hint="eastAsia" w:ascii="宋体" w:hAnsi="宋体"/>
                <w:color w:val="auto"/>
                <w:lang w:val="en-US" w:eastAsia="zh-CN"/>
              </w:rPr>
              <w:t>无</w:t>
            </w:r>
          </w:p>
        </w:tc>
      </w:tr>
    </w:tbl>
    <w:p w14:paraId="34E4F877">
      <w:pPr>
        <w:tabs>
          <w:tab w:val="left" w:pos="698"/>
        </w:tabs>
        <w:ind w:firstLine="560" w:firstLineChars="200"/>
        <w:jc w:val="left"/>
        <w:rPr>
          <w:kern w:val="0"/>
          <w:sz w:val="28"/>
          <w:szCs w:val="20"/>
        </w:rPr>
        <w:sectPr>
          <w:headerReference r:id="rId3" w:type="default"/>
          <w:pgSz w:w="11906" w:h="16838"/>
          <w:pgMar w:top="1417" w:right="1134" w:bottom="737" w:left="1588" w:header="850" w:footer="256" w:gutter="0"/>
          <w:pgNumType w:fmt="decimal"/>
          <w:cols w:space="720" w:num="1"/>
          <w:docGrid w:type="lines" w:linePitch="312" w:charSpace="0"/>
        </w:sectPr>
      </w:pPr>
      <w:r>
        <w:rPr>
          <w:rFonts w:hint="eastAsia" w:ascii="宋体"/>
          <w:kern w:val="0"/>
          <w:sz w:val="28"/>
          <w:szCs w:val="20"/>
        </w:rPr>
        <w:t>该加油站在安全管理、站址选择及总平面布置、加油工艺及设施、其它设施等方面符合有关法律、标准规范的要求。</w:t>
      </w:r>
    </w:p>
    <w:p w14:paraId="16975965">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2514600" cy="4471035"/>
            <wp:effectExtent l="0" t="0" r="0" b="9525"/>
            <wp:docPr id="1" name="图片 1" descr="4777f782ca7e9616456e76949c9e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77f782ca7e9616456e76949c9e52a"/>
                    <pic:cNvPicPr>
                      <a:picLocks noChangeAspect="1"/>
                    </pic:cNvPicPr>
                  </pic:nvPicPr>
                  <pic:blipFill>
                    <a:blip r:embed="rId5"/>
                    <a:stretch>
                      <a:fillRect/>
                    </a:stretch>
                  </pic:blipFill>
                  <pic:spPr>
                    <a:xfrm>
                      <a:off x="0" y="0"/>
                      <a:ext cx="2514600" cy="447103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514600" cy="4471035"/>
            <wp:effectExtent l="0" t="0" r="0" b="9525"/>
            <wp:docPr id="2" name="图片 2" descr="c31b209e26a4345b64922b73d120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1b209e26a4345b64922b73d120b30"/>
                    <pic:cNvPicPr>
                      <a:picLocks noChangeAspect="1"/>
                    </pic:cNvPicPr>
                  </pic:nvPicPr>
                  <pic:blipFill>
                    <a:blip r:embed="rId6"/>
                    <a:stretch>
                      <a:fillRect/>
                    </a:stretch>
                  </pic:blipFill>
                  <pic:spPr>
                    <a:xfrm>
                      <a:off x="0" y="0"/>
                      <a:ext cx="2514600" cy="447103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311400" cy="4109720"/>
            <wp:effectExtent l="0" t="0" r="5080" b="5080"/>
            <wp:docPr id="3" name="图片 3" descr="2847fde4a62aae81ac120a6f4519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847fde4a62aae81ac120a6f451958f"/>
                    <pic:cNvPicPr>
                      <a:picLocks noChangeAspect="1"/>
                    </pic:cNvPicPr>
                  </pic:nvPicPr>
                  <pic:blipFill>
                    <a:blip r:embed="rId7"/>
                    <a:stretch>
                      <a:fillRect/>
                    </a:stretch>
                  </pic:blipFill>
                  <pic:spPr>
                    <a:xfrm>
                      <a:off x="0" y="0"/>
                      <a:ext cx="2311400" cy="410972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77135" cy="4118610"/>
            <wp:effectExtent l="0" t="0" r="6985" b="11430"/>
            <wp:docPr id="4" name="图片 4" descr="dd04bb9e1854b4f2be97ce1915a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04bb9e1854b4f2be97ce1915a7064"/>
                    <pic:cNvPicPr>
                      <a:picLocks noChangeAspect="1"/>
                    </pic:cNvPicPr>
                  </pic:nvPicPr>
                  <pic:blipFill>
                    <a:blip r:embed="rId8"/>
                    <a:stretch>
                      <a:fillRect/>
                    </a:stretch>
                  </pic:blipFill>
                  <pic:spPr>
                    <a:xfrm>
                      <a:off x="0" y="0"/>
                      <a:ext cx="2477135" cy="411861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55545" cy="4366260"/>
            <wp:effectExtent l="0" t="0" r="13335" b="7620"/>
            <wp:docPr id="5" name="图片 5" descr="1c4d3d7ba08738a388a063e3b63a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4d3d7ba08738a388a063e3b63aa2a"/>
                    <pic:cNvPicPr>
                      <a:picLocks noChangeAspect="1"/>
                    </pic:cNvPicPr>
                  </pic:nvPicPr>
                  <pic:blipFill>
                    <a:blip r:embed="rId9"/>
                    <a:stretch>
                      <a:fillRect/>
                    </a:stretch>
                  </pic:blipFill>
                  <pic:spPr>
                    <a:xfrm>
                      <a:off x="0" y="0"/>
                      <a:ext cx="2455545" cy="436626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21985" cy="4291330"/>
            <wp:effectExtent l="0" t="0" r="8255" b="6350"/>
            <wp:docPr id="6" name="图片 6" descr="IMG_20251013_12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1013_120732"/>
                    <pic:cNvPicPr>
                      <a:picLocks noChangeAspect="1"/>
                    </pic:cNvPicPr>
                  </pic:nvPicPr>
                  <pic:blipFill>
                    <a:blip r:embed="rId10"/>
                    <a:stretch>
                      <a:fillRect/>
                    </a:stretch>
                  </pic:blipFill>
                  <pic:spPr>
                    <a:xfrm>
                      <a:off x="0" y="0"/>
                      <a:ext cx="5721985" cy="429133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5758815" cy="4319270"/>
            <wp:effectExtent l="0" t="0" r="1905" b="8890"/>
            <wp:docPr id="7" name="图片 7" descr="IMG_20251013_12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1013_121122"/>
                    <pic:cNvPicPr>
                      <a:picLocks noChangeAspect="1"/>
                    </pic:cNvPicPr>
                  </pic:nvPicPr>
                  <pic:blipFill>
                    <a:blip r:embed="rId11"/>
                    <a:stretch>
                      <a:fillRect/>
                    </a:stretch>
                  </pic:blipFill>
                  <pic:spPr>
                    <a:xfrm>
                      <a:off x="0" y="0"/>
                      <a:ext cx="5758815" cy="431927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6988">
    <w:pPr>
      <w:pStyle w:val="7"/>
      <w:pBdr>
        <w:bottom w:val="single" w:color="auto" w:sz="6" w:space="0"/>
      </w:pBdr>
      <w:jc w:val="distribute"/>
      <w:rPr>
        <w:rFonts w:hint="eastAsia" w:ascii="宋体" w:hAnsi="宋体"/>
      </w:rPr>
    </w:pPr>
    <w:r>
      <w:rPr>
        <w:rFonts w:hint="eastAsia" w:ascii="宋体" w:hAnsi="宋体"/>
        <w:lang w:eastAsia="zh-CN"/>
      </w:rPr>
      <w:t>中国石油天然气股份有限公司山东泰安销售分公司新泰羊流镇坦里加油站</w:t>
    </w:r>
    <w:r>
      <w:rPr>
        <w:rFonts w:hint="eastAsia" w:ascii="宋体" w:hAnsi="宋体"/>
      </w:rPr>
      <w:t xml:space="preserve">   经营危险化学品安全评价报告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B36882"/>
    <w:rsid w:val="3BB85D78"/>
    <w:rsid w:val="3C176B62"/>
    <w:rsid w:val="3F3E574F"/>
    <w:rsid w:val="420C1409"/>
    <w:rsid w:val="43CB4C37"/>
    <w:rsid w:val="44D057A7"/>
    <w:rsid w:val="4706325F"/>
    <w:rsid w:val="47290367"/>
    <w:rsid w:val="48FE4AE5"/>
    <w:rsid w:val="4ECC7680"/>
    <w:rsid w:val="4F5D6EDB"/>
    <w:rsid w:val="537F016A"/>
    <w:rsid w:val="563D798B"/>
    <w:rsid w:val="567C6788"/>
    <w:rsid w:val="579A241E"/>
    <w:rsid w:val="58840D76"/>
    <w:rsid w:val="5C8B1D2D"/>
    <w:rsid w:val="5D511379"/>
    <w:rsid w:val="60FB542C"/>
    <w:rsid w:val="636808F8"/>
    <w:rsid w:val="64FD4259"/>
    <w:rsid w:val="69194288"/>
    <w:rsid w:val="6A640607"/>
    <w:rsid w:val="6AD40467"/>
    <w:rsid w:val="6B3179BA"/>
    <w:rsid w:val="6BF95CAB"/>
    <w:rsid w:val="6C4D48B3"/>
    <w:rsid w:val="6D0669CA"/>
    <w:rsid w:val="6FDF53A7"/>
    <w:rsid w:val="717A11AE"/>
    <w:rsid w:val="72FD2CFB"/>
    <w:rsid w:val="74AE7C8C"/>
    <w:rsid w:val="76511CAD"/>
    <w:rsid w:val="769C7074"/>
    <w:rsid w:val="7772596D"/>
    <w:rsid w:val="788E5851"/>
    <w:rsid w:val="7AB02F22"/>
    <w:rsid w:val="7B7179AA"/>
    <w:rsid w:val="7C9C2DAE"/>
    <w:rsid w:val="7DCC38D1"/>
    <w:rsid w:val="7DD10713"/>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next w:val="1"/>
    <w:qFormat/>
    <w:uiPriority w:val="0"/>
    <w:pPr>
      <w:ind w:firstLine="420" w:firstLineChars="100"/>
    </w:pPr>
    <w:rPr>
      <w:b/>
      <w:u w:val="single"/>
    </w:rPr>
  </w:style>
  <w:style w:type="character" w:styleId="12">
    <w:name w:val="annotation reference"/>
    <w:qFormat/>
    <w:uiPriority w:val="99"/>
    <w:rPr>
      <w:sz w:val="21"/>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111"/>
    <w:basedOn w:val="15"/>
    <w:qFormat/>
    <w:uiPriority w:val="0"/>
    <w:pPr>
      <w:widowControl/>
      <w:spacing w:beforeAutospacing="0" w:afterAutospacing="0"/>
      <w:jc w:val="left"/>
    </w:pPr>
    <w:rPr>
      <w:rFonts w:ascii="宋体" w:hAnsi="宋体" w:eastAsia="宋体" w:cs="宋体"/>
      <w:kern w:val="0"/>
      <w:sz w:val="24"/>
      <w:szCs w:val="24"/>
    </w:rPr>
  </w:style>
  <w:style w:type="paragraph" w:customStyle="1" w:styleId="15">
    <w:name w:val="题目"/>
    <w:basedOn w:val="1"/>
    <w:qFormat/>
    <w:uiPriority w:val="0"/>
    <w:pPr>
      <w:jc w:val="center"/>
      <w:outlineLvl w:val="0"/>
    </w:pPr>
    <w:rPr>
      <w:rFonts w:ascii="黑体" w:hAnsi="黑体" w:eastAsia="黑体"/>
      <w:sz w:val="32"/>
      <w:szCs w:val="32"/>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9">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20">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1">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2">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3">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4">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5">
    <w:name w:val="5表格内容"/>
    <w:basedOn w:val="26"/>
    <w:qFormat/>
    <w:uiPriority w:val="0"/>
    <w:pPr>
      <w:spacing w:beforeLines="0" w:line="300" w:lineRule="exact"/>
    </w:pPr>
    <w:rPr>
      <w:rFonts w:eastAsia="宋体"/>
      <w:color w:val="auto"/>
      <w:sz w:val="21"/>
      <w:szCs w:val="21"/>
    </w:rPr>
  </w:style>
  <w:style w:type="paragraph" w:customStyle="1" w:styleId="26">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2611</Words>
  <Characters>2899</Characters>
  <Lines>0</Lines>
  <Paragraphs>0</Paragraphs>
  <TotalTime>0</TotalTime>
  <ScaleCrop>false</ScaleCrop>
  <LinksUpToDate>false</LinksUpToDate>
  <CharactersWithSpaces>2916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2025-10-24T07:37:37Z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