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泰安市泰胜石化销售有限公司经营危险化学品现状评价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eastAsia="宋体" w:cs="宋体"/>
                <w:b w:val="0"/>
                <w:bCs w:val="0"/>
                <w:color w:val="auto"/>
                <w:kern w:val="0"/>
                <w:sz w:val="21"/>
                <w:szCs w:val="21"/>
                <w:highlight w:val="none"/>
                <w:lang w:eastAsia="zh-CN"/>
              </w:rPr>
            </w:pPr>
            <w:r>
              <w:rPr>
                <w:rFonts w:hint="eastAsia"/>
                <w:color w:val="auto"/>
                <w:lang w:val="en-US" w:eastAsia="zh-CN"/>
              </w:rPr>
              <w:t>该加油站</w:t>
            </w:r>
            <w:r>
              <w:rPr>
                <w:rFonts w:hint="eastAsia"/>
                <w:color w:val="auto"/>
                <w:highlight w:val="none"/>
              </w:rPr>
              <w:t>共设置双层储罐6台</w:t>
            </w:r>
            <w:r>
              <w:rPr>
                <w:rFonts w:hint="eastAsia"/>
                <w:color w:val="auto"/>
                <w:highlight w:val="none"/>
                <w:lang w:eastAsia="zh-CN"/>
              </w:rPr>
              <w:t>，</w:t>
            </w:r>
            <w:r>
              <w:rPr>
                <w:rFonts w:hint="eastAsia"/>
                <w:color w:val="auto"/>
                <w:highlight w:val="none"/>
                <w:lang w:val="en-US" w:eastAsia="zh-CN"/>
              </w:rPr>
              <w:t>在用5台储罐</w:t>
            </w:r>
            <w:r>
              <w:rPr>
                <w:rFonts w:hint="eastAsia"/>
                <w:color w:val="auto"/>
                <w:highlight w:val="none"/>
              </w:rPr>
              <w:t>：2台30m</w:t>
            </w:r>
            <w:r>
              <w:rPr>
                <w:rFonts w:hint="eastAsia"/>
                <w:color w:val="auto"/>
                <w:highlight w:val="none"/>
                <w:vertAlign w:val="superscript"/>
              </w:rPr>
              <w:t>3</w:t>
            </w:r>
            <w:r>
              <w:rPr>
                <w:rFonts w:hint="eastAsia"/>
                <w:color w:val="auto"/>
                <w:highlight w:val="none"/>
              </w:rPr>
              <w:t>92#汽油罐、2台30m</w:t>
            </w:r>
            <w:r>
              <w:rPr>
                <w:rFonts w:hint="eastAsia"/>
                <w:color w:val="auto"/>
                <w:highlight w:val="none"/>
                <w:vertAlign w:val="superscript"/>
              </w:rPr>
              <w:t>3</w:t>
            </w:r>
            <w:r>
              <w:rPr>
                <w:rFonts w:hint="eastAsia"/>
                <w:color w:val="auto"/>
                <w:highlight w:val="none"/>
              </w:rPr>
              <w:t>95#汽油罐，</w:t>
            </w:r>
            <w:r>
              <w:rPr>
                <w:rFonts w:hint="eastAsia"/>
                <w:color w:val="auto"/>
                <w:highlight w:val="none"/>
                <w:lang w:val="en-US" w:eastAsia="zh-CN"/>
              </w:rPr>
              <w:t>1</w:t>
            </w:r>
            <w:r>
              <w:rPr>
                <w:rFonts w:hint="eastAsia"/>
                <w:color w:val="auto"/>
                <w:highlight w:val="none"/>
              </w:rPr>
              <w:t>台30m</w:t>
            </w:r>
            <w:r>
              <w:rPr>
                <w:rFonts w:hint="eastAsia"/>
                <w:color w:val="auto"/>
                <w:highlight w:val="none"/>
                <w:vertAlign w:val="superscript"/>
              </w:rPr>
              <w:t>3</w:t>
            </w:r>
            <w:r>
              <w:rPr>
                <w:rFonts w:hint="eastAsia"/>
                <w:color w:val="auto"/>
                <w:highlight w:val="none"/>
              </w:rPr>
              <w:t>柴油隔舱罐（罐区最西侧</w:t>
            </w:r>
            <w:r>
              <w:rPr>
                <w:rFonts w:hint="eastAsia"/>
                <w:color w:val="auto"/>
                <w:highlight w:val="none"/>
                <w:lang w:eastAsia="zh-CN"/>
              </w:rPr>
              <w:t>），</w:t>
            </w:r>
            <w:r>
              <w:rPr>
                <w:rFonts w:hint="eastAsia"/>
                <w:color w:val="auto"/>
                <w:highlight w:val="none"/>
                <w:lang w:val="en-US" w:eastAsia="zh-CN"/>
              </w:rPr>
              <w:t>1台</w:t>
            </w:r>
            <w:r>
              <w:rPr>
                <w:rFonts w:hint="eastAsia"/>
                <w:color w:val="auto"/>
                <w:highlight w:val="none"/>
              </w:rPr>
              <w:t>30m</w:t>
            </w:r>
            <w:r>
              <w:rPr>
                <w:rFonts w:hint="eastAsia"/>
                <w:color w:val="auto"/>
                <w:highlight w:val="none"/>
                <w:vertAlign w:val="superscript"/>
              </w:rPr>
              <w:t>3</w:t>
            </w:r>
            <w:r>
              <w:rPr>
                <w:rFonts w:hint="eastAsia"/>
                <w:color w:val="auto"/>
                <w:highlight w:val="none"/>
                <w:lang w:val="en-US" w:eastAsia="zh-CN"/>
              </w:rPr>
              <w:t>柴油罐（停用</w:t>
            </w:r>
            <w:r>
              <w:rPr>
                <w:rFonts w:hint="eastAsia"/>
                <w:color w:val="auto"/>
                <w:highlight w:val="none"/>
              </w:rPr>
              <w:t>），1台油气回收处理装置</w:t>
            </w:r>
            <w:r>
              <w:rPr>
                <w:rFonts w:hint="eastAsia"/>
                <w:color w:val="auto"/>
                <w:highlight w:val="none"/>
                <w:lang w:eastAsia="zh-CN"/>
              </w:rPr>
              <w:t>。</w:t>
            </w:r>
            <w:r>
              <w:rPr>
                <w:color w:val="auto"/>
                <w:highlight w:val="none"/>
              </w:rPr>
              <w:t>设置罩棚一处，</w:t>
            </w:r>
            <w:r>
              <w:rPr>
                <w:rFonts w:hint="eastAsia"/>
                <w:color w:val="auto"/>
                <w:highlight w:val="none"/>
              </w:rPr>
              <w:t>罩棚下共设置8台加油机</w:t>
            </w:r>
            <w:r>
              <w:rPr>
                <w:rFonts w:hint="eastAsia" w:ascii="宋体" w:hAnsi="宋体" w:cs="宋体"/>
                <w:bCs/>
                <w:color w:val="auto"/>
                <w:highlight w:val="none"/>
              </w:rPr>
              <w:t>：3台4枪92#汽油加油机，</w:t>
            </w:r>
            <w:r>
              <w:rPr>
                <w:rFonts w:hint="eastAsia" w:ascii="宋体" w:hAnsi="宋体" w:cs="宋体"/>
                <w:bCs/>
                <w:color w:val="auto"/>
                <w:highlight w:val="none"/>
                <w:lang w:val="en-US" w:eastAsia="zh-CN"/>
              </w:rPr>
              <w:t>3</w:t>
            </w:r>
            <w:r>
              <w:rPr>
                <w:rFonts w:hint="eastAsia" w:ascii="宋体" w:hAnsi="宋体" w:cs="宋体"/>
                <w:bCs/>
                <w:color w:val="auto"/>
                <w:highlight w:val="none"/>
              </w:rPr>
              <w:t>台4枪95#汽油加油机，</w:t>
            </w:r>
            <w:r>
              <w:rPr>
                <w:rFonts w:hint="eastAsia" w:ascii="宋体" w:hAnsi="宋体" w:cs="宋体"/>
                <w:bCs/>
                <w:color w:val="auto"/>
                <w:highlight w:val="none"/>
                <w:lang w:val="en-US" w:eastAsia="zh-CN"/>
              </w:rPr>
              <w:t>1台</w:t>
            </w:r>
            <w:r>
              <w:rPr>
                <w:rFonts w:hint="eastAsia" w:ascii="宋体" w:hAnsi="宋体" w:cs="宋体"/>
                <w:bCs/>
                <w:color w:val="auto"/>
                <w:highlight w:val="none"/>
              </w:rPr>
              <w:t>4枪</w:t>
            </w:r>
            <w:r>
              <w:rPr>
                <w:rFonts w:hint="eastAsia" w:ascii="宋体" w:hAnsi="宋体" w:cs="宋体"/>
                <w:bCs/>
                <w:color w:val="auto"/>
                <w:highlight w:val="none"/>
                <w:lang w:val="en-US" w:eastAsia="zh-CN"/>
              </w:rPr>
              <w:t>柴油</w:t>
            </w:r>
            <w:r>
              <w:rPr>
                <w:rFonts w:hint="eastAsia" w:ascii="宋体" w:hAnsi="宋体" w:cs="宋体"/>
                <w:bCs/>
                <w:color w:val="auto"/>
                <w:highlight w:val="none"/>
              </w:rPr>
              <w:t>加油机</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现已停用），</w:t>
            </w:r>
            <w:r>
              <w:rPr>
                <w:rFonts w:hint="eastAsia" w:ascii="宋体" w:hAnsi="宋体" w:cs="宋体"/>
                <w:bCs/>
                <w:color w:val="auto"/>
                <w:highlight w:val="none"/>
              </w:rPr>
              <w:t>1台双枪柴油加油机。</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2025.10.16</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2025.10.23</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2025.10.24</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2025.10.25</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安全评价报告提交时间：2025.11.3</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21389176">
      <w:pPr>
        <w:pStyle w:val="18"/>
        <w:widowControl w:val="0"/>
        <w:adjustRightInd w:val="0"/>
        <w:snapToGrid w:val="0"/>
        <w:spacing w:before="0" w:beforeLines="0" w:after="0" w:afterLines="0" w:line="360" w:lineRule="auto"/>
        <w:rPr>
          <w:color w:val="auto"/>
          <w:highlight w:val="none"/>
        </w:rPr>
      </w:pPr>
      <w:bookmarkStart w:id="0" w:name="_Toc102634226"/>
      <w:bookmarkStart w:id="1" w:name="_Toc19744"/>
      <w:bookmarkStart w:id="2" w:name="_Toc102633895"/>
      <w:bookmarkStart w:id="3" w:name="_Toc15033742"/>
      <w:bookmarkStart w:id="4" w:name="_Toc102633969"/>
      <w:r>
        <w:rPr>
          <w:color w:val="auto"/>
          <w:highlight w:val="none"/>
        </w:rPr>
        <w:t>第二章 加油站概况</w:t>
      </w:r>
      <w:bookmarkEnd w:id="0"/>
      <w:bookmarkEnd w:id="1"/>
      <w:bookmarkEnd w:id="2"/>
      <w:bookmarkEnd w:id="3"/>
      <w:bookmarkEnd w:id="4"/>
    </w:p>
    <w:p w14:paraId="12312826">
      <w:pPr>
        <w:snapToGrid w:val="0"/>
        <w:spacing w:line="360" w:lineRule="auto"/>
        <w:jc w:val="center"/>
        <w:outlineLvl w:val="1"/>
        <w:rPr>
          <w:rFonts w:ascii="Calibri" w:hAnsi="Calibri" w:eastAsia="楷体_GB2312"/>
          <w:b/>
          <w:color w:val="auto"/>
          <w:kern w:val="0"/>
          <w:sz w:val="32"/>
          <w:szCs w:val="20"/>
          <w:highlight w:val="none"/>
        </w:rPr>
      </w:pPr>
      <w:bookmarkStart w:id="5" w:name="_Toc4524"/>
      <w:bookmarkStart w:id="6" w:name="_Toc208733856"/>
      <w:bookmarkStart w:id="7" w:name="_Toc102634227"/>
      <w:bookmarkStart w:id="8" w:name="_Toc15033743"/>
      <w:bookmarkStart w:id="9" w:name="_Toc272364524"/>
      <w:bookmarkStart w:id="10" w:name="_Toc30066"/>
      <w:bookmarkStart w:id="11" w:name="_Toc102633970"/>
      <w:bookmarkStart w:id="12" w:name="_Toc26504"/>
      <w:bookmarkStart w:id="13" w:name="_Toc102633896"/>
      <w:r>
        <w:rPr>
          <w:rFonts w:ascii="Calibri" w:hAnsi="Calibri" w:eastAsia="楷体_GB2312"/>
          <w:b/>
          <w:color w:val="auto"/>
          <w:kern w:val="0"/>
          <w:sz w:val="32"/>
          <w:szCs w:val="20"/>
          <w:highlight w:val="none"/>
        </w:rPr>
        <w:t>第一节 加油站基本情况</w:t>
      </w:r>
      <w:bookmarkEnd w:id="5"/>
      <w:bookmarkEnd w:id="6"/>
      <w:bookmarkEnd w:id="7"/>
      <w:bookmarkEnd w:id="8"/>
      <w:bookmarkEnd w:id="9"/>
      <w:bookmarkEnd w:id="10"/>
      <w:bookmarkEnd w:id="11"/>
      <w:bookmarkEnd w:id="12"/>
      <w:bookmarkEnd w:id="13"/>
    </w:p>
    <w:p w14:paraId="02DDE9D6">
      <w:pPr>
        <w:adjustRightInd w:val="0"/>
        <w:snapToGrid w:val="0"/>
        <w:spacing w:line="360" w:lineRule="auto"/>
        <w:ind w:firstLine="560" w:firstLineChars="200"/>
        <w:rPr>
          <w:rFonts w:ascii="宋体"/>
          <w:color w:val="auto"/>
          <w:highlight w:val="none"/>
        </w:rPr>
      </w:pPr>
      <w:r>
        <w:rPr>
          <w:rFonts w:hint="eastAsia" w:ascii="宋体" w:hAnsi="宋体"/>
          <w:color w:val="auto"/>
          <w:sz w:val="28"/>
          <w:szCs w:val="28"/>
          <w:highlight w:val="none"/>
        </w:rPr>
        <w:t>泰安市泰胜石化销售有限公司（原名为山东泰安交通运输集团有限公司交运加油站，曾用名为山东高速石化有限公司第六十六加油站）位于泰安市体育场路以东、铁路以南</w:t>
      </w:r>
      <w:r>
        <w:rPr>
          <w:rFonts w:hint="eastAsia" w:ascii="宋体" w:hAnsi="宋体" w:cs="宋体"/>
          <w:color w:val="auto"/>
          <w:sz w:val="28"/>
          <w:szCs w:val="28"/>
          <w:highlight w:val="none"/>
        </w:rPr>
        <w:t>。</w:t>
      </w:r>
      <w:r>
        <w:rPr>
          <w:rFonts w:hint="eastAsia" w:ascii="宋体" w:hAnsi="宋体" w:cs="宋体"/>
          <w:color w:val="auto"/>
          <w:sz w:val="28"/>
          <w:highlight w:val="none"/>
        </w:rPr>
        <w:t>加油站西侧是货场路，北侧是沿街商铺（三类保护物）、车棚、居民楼（一类保护物），东侧是小区道路、居民楼（一类保护物），南侧是丙类物品仓库</w:t>
      </w:r>
      <w:r>
        <w:rPr>
          <w:rFonts w:hint="eastAsia" w:ascii="宋体" w:hAnsi="宋体" w:cs="宋体"/>
          <w:color w:val="auto"/>
          <w:sz w:val="28"/>
          <w:szCs w:val="28"/>
          <w:highlight w:val="none"/>
        </w:rPr>
        <w:t>。</w:t>
      </w:r>
      <w:r>
        <w:rPr>
          <w:rFonts w:hint="eastAsia" w:ascii="宋体" w:hAnsi="宋体"/>
          <w:color w:val="auto"/>
          <w:sz w:val="28"/>
          <w:highlight w:val="none"/>
        </w:rPr>
        <w:t>该站经营许可范围为汽油、乙醇汽油</w:t>
      </w:r>
      <w:r>
        <w:rPr>
          <w:rFonts w:hint="eastAsia" w:ascii="宋体" w:hAnsi="宋体"/>
          <w:color w:val="auto"/>
          <w:sz w:val="28"/>
          <w:highlight w:val="none"/>
          <w:lang w:eastAsia="zh-CN"/>
        </w:rPr>
        <w:t>、</w:t>
      </w:r>
      <w:r>
        <w:rPr>
          <w:rFonts w:hint="eastAsia" w:ascii="宋体" w:hAnsi="宋体"/>
          <w:color w:val="auto"/>
          <w:sz w:val="28"/>
          <w:highlight w:val="none"/>
        </w:rPr>
        <w:t>柴油，现其主要经营储存汽油、乙醇汽油（暂未储存经营）、柴油（换季销售-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此次现状评价报告与上次报告相比，新增可燃气体探测器4套，</w:t>
      </w:r>
      <w:r>
        <w:rPr>
          <w:rFonts w:hint="eastAsia" w:ascii="宋体" w:hAnsi="宋体"/>
          <w:color w:val="auto"/>
          <w:sz w:val="28"/>
          <w:highlight w:val="none"/>
          <w:lang w:val="en-US" w:eastAsia="zh-CN"/>
        </w:rPr>
        <w:t>加油区东南侧加油岛南测</w:t>
      </w:r>
      <w:r>
        <w:rPr>
          <w:rFonts w:hint="eastAsia" w:ascii="宋体" w:hAnsi="宋体"/>
          <w:color w:val="auto"/>
          <w:sz w:val="28"/>
          <w:highlight w:val="none"/>
        </w:rPr>
        <w:t>柴油</w:t>
      </w:r>
      <w:r>
        <w:rPr>
          <w:rFonts w:hint="eastAsia" w:ascii="宋体" w:hAnsi="宋体"/>
          <w:color w:val="auto"/>
          <w:sz w:val="28"/>
          <w:highlight w:val="none"/>
          <w:lang w:val="en-US" w:eastAsia="zh-CN"/>
        </w:rPr>
        <w:t>加油机停用</w:t>
      </w:r>
      <w:r>
        <w:rPr>
          <w:rFonts w:hint="eastAsia" w:ascii="宋体" w:hAnsi="宋体"/>
          <w:color w:val="auto"/>
          <w:sz w:val="28"/>
          <w:highlight w:val="none"/>
        </w:rPr>
        <w:t>，</w:t>
      </w:r>
      <w:r>
        <w:rPr>
          <w:rFonts w:hint="eastAsia" w:ascii="宋体" w:hAnsi="宋体"/>
          <w:color w:val="auto"/>
          <w:sz w:val="28"/>
          <w:highlight w:val="none"/>
          <w:lang w:val="en-US" w:eastAsia="zh-CN"/>
        </w:rPr>
        <w:t>油罐区自西向东第二台柴油储罐停用，</w:t>
      </w:r>
      <w:r>
        <w:rPr>
          <w:rFonts w:hint="eastAsia" w:ascii="宋体" w:hAnsi="宋体"/>
          <w:color w:val="auto"/>
          <w:sz w:val="28"/>
          <w:highlight w:val="none"/>
        </w:rPr>
        <w:t>更换人体静电释放器一台，其余周边环境、站内设备设施、主要建构筑物未发生变化。</w:t>
      </w:r>
    </w:p>
    <w:p w14:paraId="16607AC8">
      <w:pPr>
        <w:pStyle w:val="17"/>
        <w:widowControl w:val="0"/>
        <w:adjustRightInd w:val="0"/>
        <w:snapToGrid w:val="0"/>
        <w:spacing w:line="360" w:lineRule="auto"/>
        <w:ind w:firstLine="560"/>
        <w:rPr>
          <w:rFonts w:ascii="宋体" w:hAnsi="宋体"/>
          <w:color w:val="auto"/>
          <w:szCs w:val="28"/>
          <w:highlight w:val="none"/>
        </w:rPr>
      </w:pPr>
      <w:r>
        <w:rPr>
          <w:rFonts w:hint="eastAsia" w:ascii="宋体" w:hAnsi="宋体"/>
          <w:color w:val="auto"/>
          <w:szCs w:val="28"/>
          <w:highlight w:val="none"/>
        </w:rPr>
        <w:t>该加油站主要建有站房、罩棚、油罐区、加油区和辅助服务区等。</w:t>
      </w:r>
    </w:p>
    <w:p w14:paraId="0E52FB71">
      <w:pPr>
        <w:pStyle w:val="17"/>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加油区在站房西侧，</w:t>
      </w:r>
      <w:r>
        <w:rPr>
          <w:rFonts w:hint="eastAsia" w:ascii="宋体"/>
          <w:color w:val="auto"/>
          <w:highlight w:val="none"/>
        </w:rPr>
        <w:t>现有</w:t>
      </w:r>
      <w:r>
        <w:rPr>
          <w:rFonts w:hint="eastAsia"/>
          <w:color w:val="auto"/>
          <w:highlight w:val="none"/>
        </w:rPr>
        <w:t>8台加油机</w:t>
      </w:r>
      <w:r>
        <w:rPr>
          <w:rFonts w:hint="eastAsia" w:ascii="宋体" w:hAnsi="宋体" w:cs="宋体"/>
          <w:bCs/>
          <w:color w:val="auto"/>
          <w:highlight w:val="none"/>
        </w:rPr>
        <w:t>：3台4枪92#汽油加油机</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潜油泵式）</w:t>
      </w:r>
      <w:r>
        <w:rPr>
          <w:rFonts w:hint="eastAsia" w:ascii="宋体" w:hAnsi="宋体" w:cs="宋体"/>
          <w:bCs/>
          <w:color w:val="auto"/>
          <w:highlight w:val="none"/>
        </w:rPr>
        <w:t>，</w:t>
      </w:r>
      <w:r>
        <w:rPr>
          <w:rFonts w:hint="eastAsia" w:ascii="宋体" w:hAnsi="宋体" w:cs="宋体"/>
          <w:bCs/>
          <w:color w:val="auto"/>
          <w:highlight w:val="none"/>
          <w:lang w:val="en-US" w:eastAsia="zh-CN"/>
        </w:rPr>
        <w:t>3</w:t>
      </w:r>
      <w:r>
        <w:rPr>
          <w:rFonts w:hint="eastAsia" w:ascii="宋体" w:hAnsi="宋体" w:cs="宋体"/>
          <w:bCs/>
          <w:color w:val="auto"/>
          <w:highlight w:val="none"/>
        </w:rPr>
        <w:t>台4枪95#汽油加油机</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潜油泵式）</w:t>
      </w:r>
      <w:r>
        <w:rPr>
          <w:rFonts w:hint="eastAsia" w:ascii="宋体" w:hAnsi="宋体" w:cs="宋体"/>
          <w:bCs/>
          <w:color w:val="auto"/>
          <w:highlight w:val="none"/>
        </w:rPr>
        <w:t>，1台</w:t>
      </w:r>
      <w:r>
        <w:rPr>
          <w:rFonts w:hint="eastAsia" w:ascii="宋体" w:hAnsi="宋体" w:cs="宋体"/>
          <w:bCs/>
          <w:color w:val="auto"/>
          <w:highlight w:val="none"/>
          <w:lang w:val="en-US" w:eastAsia="zh-CN"/>
        </w:rPr>
        <w:t>4</w:t>
      </w:r>
      <w:r>
        <w:rPr>
          <w:rFonts w:hint="eastAsia" w:ascii="宋体" w:hAnsi="宋体" w:cs="宋体"/>
          <w:bCs/>
          <w:color w:val="auto"/>
          <w:highlight w:val="none"/>
        </w:rPr>
        <w:t>枪柴油加油机</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潜油泵式，停用），</w:t>
      </w:r>
      <w:r>
        <w:rPr>
          <w:rFonts w:hint="eastAsia" w:ascii="宋体" w:hAnsi="宋体" w:cs="宋体"/>
          <w:bCs/>
          <w:color w:val="auto"/>
          <w:highlight w:val="none"/>
        </w:rPr>
        <w:t>1台双枪柴油加油机</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1枪自吸式）</w:t>
      </w:r>
      <w:r>
        <w:rPr>
          <w:rFonts w:hint="eastAsia" w:ascii="宋体"/>
          <w:color w:val="auto"/>
          <w:highlight w:val="none"/>
        </w:rPr>
        <w:t>；</w:t>
      </w:r>
      <w:r>
        <w:rPr>
          <w:rFonts w:hint="eastAsia" w:ascii="宋体" w:hAnsi="宋体"/>
          <w:color w:val="auto"/>
          <w:szCs w:val="28"/>
          <w:highlight w:val="none"/>
        </w:rPr>
        <w:t>油罐区在站房东侧，</w:t>
      </w:r>
      <w:r>
        <w:rPr>
          <w:rFonts w:hint="eastAsia" w:ascii="宋体"/>
          <w:color w:val="auto"/>
          <w:highlight w:val="none"/>
        </w:rPr>
        <w:t>现有</w:t>
      </w:r>
      <w:r>
        <w:rPr>
          <w:rFonts w:hint="eastAsia"/>
          <w:color w:val="auto"/>
          <w:highlight w:val="none"/>
        </w:rPr>
        <w:t>双层储罐6台</w:t>
      </w:r>
      <w:r>
        <w:rPr>
          <w:rFonts w:hint="eastAsia"/>
          <w:color w:val="auto"/>
          <w:highlight w:val="none"/>
          <w:lang w:eastAsia="zh-CN"/>
        </w:rPr>
        <w:t>，</w:t>
      </w:r>
      <w:r>
        <w:rPr>
          <w:rFonts w:hint="eastAsia"/>
          <w:color w:val="auto"/>
          <w:highlight w:val="none"/>
          <w:lang w:val="en-US" w:eastAsia="zh-CN"/>
        </w:rPr>
        <w:t>在用5台储罐</w:t>
      </w:r>
      <w:r>
        <w:rPr>
          <w:rFonts w:hint="eastAsia"/>
          <w:color w:val="auto"/>
          <w:highlight w:val="none"/>
        </w:rPr>
        <w:t>：2台30m</w:t>
      </w:r>
      <w:r>
        <w:rPr>
          <w:rFonts w:hint="eastAsia"/>
          <w:color w:val="auto"/>
          <w:highlight w:val="none"/>
          <w:vertAlign w:val="superscript"/>
        </w:rPr>
        <w:t>3</w:t>
      </w:r>
      <w:r>
        <w:rPr>
          <w:rFonts w:hint="eastAsia"/>
          <w:color w:val="auto"/>
          <w:highlight w:val="none"/>
        </w:rPr>
        <w:t>92#汽油罐、2台30m</w:t>
      </w:r>
      <w:r>
        <w:rPr>
          <w:rFonts w:hint="eastAsia"/>
          <w:color w:val="auto"/>
          <w:highlight w:val="none"/>
          <w:vertAlign w:val="superscript"/>
        </w:rPr>
        <w:t>3</w:t>
      </w:r>
      <w:r>
        <w:rPr>
          <w:rFonts w:hint="eastAsia"/>
          <w:color w:val="auto"/>
          <w:highlight w:val="none"/>
        </w:rPr>
        <w:t>95#汽油罐，</w:t>
      </w:r>
      <w:r>
        <w:rPr>
          <w:rFonts w:hint="eastAsia"/>
          <w:color w:val="auto"/>
          <w:highlight w:val="none"/>
          <w:lang w:val="en-US" w:eastAsia="zh-CN"/>
        </w:rPr>
        <w:t>1</w:t>
      </w:r>
      <w:r>
        <w:rPr>
          <w:rFonts w:hint="eastAsia"/>
          <w:color w:val="auto"/>
          <w:highlight w:val="none"/>
        </w:rPr>
        <w:t>台30m</w:t>
      </w:r>
      <w:r>
        <w:rPr>
          <w:rFonts w:hint="eastAsia"/>
          <w:color w:val="auto"/>
          <w:highlight w:val="none"/>
          <w:vertAlign w:val="superscript"/>
        </w:rPr>
        <w:t>3</w:t>
      </w:r>
      <w:r>
        <w:rPr>
          <w:rFonts w:hint="eastAsia"/>
          <w:color w:val="auto"/>
          <w:highlight w:val="none"/>
        </w:rPr>
        <w:t>柴油隔舱罐（罐区最西侧</w:t>
      </w:r>
      <w:r>
        <w:rPr>
          <w:rFonts w:hint="eastAsia"/>
          <w:color w:val="auto"/>
          <w:highlight w:val="none"/>
          <w:lang w:eastAsia="zh-CN"/>
        </w:rPr>
        <w:t>），</w:t>
      </w:r>
      <w:r>
        <w:rPr>
          <w:rFonts w:hint="eastAsia"/>
          <w:color w:val="auto"/>
          <w:highlight w:val="none"/>
          <w:lang w:val="en-US" w:eastAsia="zh-CN"/>
        </w:rPr>
        <w:t>1台</w:t>
      </w:r>
      <w:r>
        <w:rPr>
          <w:rFonts w:hint="eastAsia"/>
          <w:color w:val="auto"/>
          <w:highlight w:val="none"/>
        </w:rPr>
        <w:t>30m</w:t>
      </w:r>
      <w:r>
        <w:rPr>
          <w:rFonts w:hint="eastAsia"/>
          <w:color w:val="auto"/>
          <w:highlight w:val="none"/>
          <w:vertAlign w:val="superscript"/>
        </w:rPr>
        <w:t>3</w:t>
      </w:r>
      <w:r>
        <w:rPr>
          <w:rFonts w:hint="eastAsia"/>
          <w:color w:val="auto"/>
          <w:highlight w:val="none"/>
          <w:lang w:val="en-US" w:eastAsia="zh-CN"/>
        </w:rPr>
        <w:t>柴油罐（停用）</w:t>
      </w:r>
      <w:r>
        <w:rPr>
          <w:rFonts w:hint="eastAsia"/>
          <w:color w:val="auto"/>
          <w:highlight w:val="none"/>
        </w:rPr>
        <w:t>，</w:t>
      </w:r>
      <w:r>
        <w:rPr>
          <w:rFonts w:hint="eastAsia" w:ascii="宋体"/>
          <w:color w:val="auto"/>
          <w:highlight w:val="none"/>
        </w:rPr>
        <w:t>卸油口位于罐区南侧；</w:t>
      </w:r>
      <w:r>
        <w:rPr>
          <w:rFonts w:hint="eastAsia" w:ascii="宋体" w:hAnsi="宋体"/>
          <w:color w:val="auto"/>
          <w:szCs w:val="28"/>
          <w:highlight w:val="none"/>
        </w:rPr>
        <w:t>6台油罐均安装了液位仪、检漏仪，</w:t>
      </w:r>
      <w:r>
        <w:rPr>
          <w:rFonts w:hint="eastAsia" w:ascii="宋体"/>
          <w:color w:val="auto"/>
          <w:highlight w:val="none"/>
        </w:rPr>
        <w:t>通气管7根（</w:t>
      </w:r>
      <w:r>
        <w:rPr>
          <w:rFonts w:hint="eastAsia" w:ascii="宋体"/>
          <w:color w:val="auto"/>
          <w:highlight w:val="none"/>
          <w:lang w:val="en-US" w:eastAsia="zh-CN"/>
        </w:rPr>
        <w:t>停用1根，</w:t>
      </w:r>
      <w:r>
        <w:rPr>
          <w:rFonts w:hint="eastAsia" w:ascii="宋体"/>
          <w:color w:val="auto"/>
          <w:highlight w:val="none"/>
        </w:rPr>
        <w:t>位于罐区中间）；站房东</w:t>
      </w:r>
      <w:r>
        <w:rPr>
          <w:rFonts w:hint="eastAsia" w:ascii="宋体"/>
          <w:color w:val="auto"/>
          <w:highlight w:val="none"/>
          <w:lang w:val="en-US" w:eastAsia="zh-CN"/>
        </w:rPr>
        <w:t>北</w:t>
      </w:r>
      <w:r>
        <w:rPr>
          <w:rFonts w:hint="eastAsia" w:ascii="宋体"/>
          <w:color w:val="auto"/>
          <w:highlight w:val="none"/>
        </w:rPr>
        <w:t>侧设洗车机一处，</w:t>
      </w:r>
      <w:r>
        <w:rPr>
          <w:rFonts w:hint="eastAsia" w:ascii="宋体"/>
          <w:color w:val="auto"/>
          <w:highlight w:val="none"/>
          <w:lang w:val="en-US" w:eastAsia="zh-CN"/>
        </w:rPr>
        <w:t>洗车机南侧汽服棚为敞开式结构，</w:t>
      </w:r>
      <w:r>
        <w:rPr>
          <w:rFonts w:hint="eastAsia" w:ascii="宋体"/>
          <w:color w:val="auto"/>
          <w:highlight w:val="none"/>
        </w:rPr>
        <w:t>加油区北侧设</w:t>
      </w:r>
      <w:r>
        <w:rPr>
          <w:rFonts w:hint="eastAsia" w:ascii="宋体"/>
          <w:color w:val="auto"/>
          <w:highlight w:val="none"/>
          <w:lang w:eastAsia="zh-CN"/>
        </w:rPr>
        <w:t>办公房</w:t>
      </w:r>
      <w:r>
        <w:rPr>
          <w:rFonts w:hint="eastAsia" w:ascii="宋体"/>
          <w:color w:val="auto"/>
          <w:highlight w:val="none"/>
        </w:rPr>
        <w:t>一处；该站汽油设有卸油油气回收系统、加油油气回收系统及油气回收处理</w:t>
      </w:r>
      <w:r>
        <w:rPr>
          <w:rFonts w:hint="eastAsia" w:ascii="宋体"/>
          <w:color w:val="auto"/>
          <w:highlight w:val="none"/>
          <w:lang w:val="en-US" w:eastAsia="zh-CN"/>
        </w:rPr>
        <w:t>系统</w:t>
      </w:r>
      <w:r>
        <w:rPr>
          <w:rFonts w:hint="eastAsia" w:ascii="宋体" w:hAnsi="宋体"/>
          <w:color w:val="auto"/>
          <w:szCs w:val="28"/>
          <w:highlight w:val="none"/>
        </w:rPr>
        <w:t>；</w:t>
      </w:r>
      <w:r>
        <w:rPr>
          <w:rFonts w:hint="eastAsia" w:ascii="宋体"/>
          <w:color w:val="auto"/>
          <w:highlight w:val="none"/>
        </w:rPr>
        <w:t>按《汽车加油加气加氢站技术标准》GB50156-2021标准规定：V=30</w:t>
      </w:r>
      <w:r>
        <w:rPr>
          <w:rFonts w:hint="eastAsia" w:ascii="宋体" w:hAnsi="宋体" w:cs="宋体"/>
          <w:color w:val="auto"/>
          <w:szCs w:val="28"/>
          <w:highlight w:val="none"/>
          <w:shd w:val="clear" w:color="auto" w:fill="FFFFFF"/>
        </w:rPr>
        <w:t>×</w:t>
      </w:r>
      <w:r>
        <w:rPr>
          <w:rFonts w:hint="eastAsia" w:ascii="宋体"/>
          <w:color w:val="auto"/>
          <w:highlight w:val="none"/>
        </w:rPr>
        <w:t>4+60/2=150m</w:t>
      </w:r>
      <w:r>
        <w:rPr>
          <w:rFonts w:hint="eastAsia" w:ascii="宋体"/>
          <w:color w:val="auto"/>
          <w:highlight w:val="none"/>
          <w:vertAlign w:val="superscript"/>
        </w:rPr>
        <w:t>3</w:t>
      </w:r>
      <w:r>
        <w:rPr>
          <w:rFonts w:hint="eastAsia" w:ascii="宋体"/>
          <w:color w:val="auto"/>
          <w:highlight w:val="none"/>
        </w:rPr>
        <w:t>，该站属二级加油站。</w:t>
      </w:r>
    </w:p>
    <w:p w14:paraId="2084CBAF">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417B5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2186C3CE">
            <w:pPr>
              <w:pStyle w:val="20"/>
              <w:widowControl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4A127766">
            <w:pPr>
              <w:pStyle w:val="20"/>
              <w:widowControl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05375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346F1022">
            <w:pPr>
              <w:pStyle w:val="20"/>
              <w:widowControl w:val="0"/>
              <w:spacing w:line="360" w:lineRule="auto"/>
              <w:rPr>
                <w:rFonts w:ascii="宋体" w:hAnsi="宋体"/>
                <w:b/>
                <w:bCs/>
                <w:color w:val="auto"/>
                <w:highlight w:val="none"/>
              </w:rPr>
            </w:pPr>
          </w:p>
        </w:tc>
        <w:tc>
          <w:tcPr>
            <w:tcW w:w="1667" w:type="pct"/>
            <w:vAlign w:val="center"/>
          </w:tcPr>
          <w:p w14:paraId="23CAB049">
            <w:pPr>
              <w:pStyle w:val="20"/>
              <w:widowControl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31D9A262">
            <w:pPr>
              <w:pStyle w:val="20"/>
              <w:widowControl w:val="0"/>
              <w:spacing w:line="360" w:lineRule="auto"/>
              <w:rPr>
                <w:rFonts w:ascii="宋体" w:hAnsi="宋体"/>
                <w:b/>
                <w:bCs/>
                <w:color w:val="auto"/>
                <w:highlight w:val="none"/>
              </w:rPr>
            </w:pPr>
            <w:r>
              <w:rPr>
                <w:rFonts w:ascii="宋体" w:hAnsi="宋体"/>
                <w:b/>
                <w:bCs/>
                <w:color w:val="auto"/>
                <w:highlight w:val="none"/>
              </w:rPr>
              <w:t>单罐容积</w:t>
            </w:r>
          </w:p>
        </w:tc>
      </w:tr>
      <w:tr w14:paraId="6F7D6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6FD6E19">
            <w:pPr>
              <w:pStyle w:val="20"/>
              <w:widowControl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3757E83">
            <w:pPr>
              <w:pStyle w:val="20"/>
              <w:widowControl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3D8341BB">
            <w:pPr>
              <w:pStyle w:val="20"/>
              <w:widowControl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2A8FC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95CC9CE">
            <w:pPr>
              <w:pStyle w:val="20"/>
              <w:widowControl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37B6B3A3">
            <w:pPr>
              <w:pStyle w:val="20"/>
              <w:widowControl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771638D9">
            <w:pPr>
              <w:pStyle w:val="20"/>
              <w:widowControl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1418D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8931CE2">
            <w:pPr>
              <w:pStyle w:val="20"/>
              <w:widowControl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EC7E85C">
            <w:pPr>
              <w:pStyle w:val="20"/>
              <w:widowControl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0629FE99">
            <w:pPr>
              <w:pStyle w:val="20"/>
              <w:widowControl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18655325">
      <w:pPr>
        <w:pStyle w:val="21"/>
        <w:widowControl w:val="0"/>
        <w:spacing w:line="360" w:lineRule="auto"/>
        <w:ind w:firstLine="436"/>
        <w:rPr>
          <w:color w:val="auto"/>
          <w:highlight w:val="none"/>
        </w:rPr>
      </w:pPr>
      <w:r>
        <w:rPr>
          <w:color w:val="auto"/>
          <w:highlight w:val="none"/>
        </w:rPr>
        <w:t>注：</w:t>
      </w:r>
      <w:r>
        <w:rPr>
          <w:rFonts w:hint="eastAsia"/>
          <w:color w:val="auto"/>
          <w:highlight w:val="none"/>
        </w:rPr>
        <w:t>V为油罐总容积。</w:t>
      </w:r>
      <w:r>
        <w:rPr>
          <w:color w:val="auto"/>
          <w:highlight w:val="none"/>
        </w:rPr>
        <w:t>柴油罐容积可折半计入油罐总容积。</w:t>
      </w:r>
    </w:p>
    <w:p w14:paraId="02336A1E">
      <w:pPr>
        <w:pStyle w:val="17"/>
        <w:widowControl w:val="0"/>
        <w:adjustRightInd w:val="0"/>
        <w:snapToGrid w:val="0"/>
        <w:spacing w:line="360" w:lineRule="auto"/>
        <w:ind w:firstLine="560"/>
        <w:rPr>
          <w:rFonts w:ascii="宋体"/>
          <w:color w:val="auto"/>
          <w:highlight w:val="none"/>
        </w:rPr>
      </w:pPr>
      <w:r>
        <w:rPr>
          <w:rFonts w:ascii="宋体"/>
          <w:color w:val="auto"/>
          <w:highlight w:val="none"/>
        </w:rPr>
        <w:t>该站现有职工</w:t>
      </w:r>
      <w:r>
        <w:rPr>
          <w:rFonts w:hint="eastAsia" w:ascii="宋体"/>
          <w:color w:val="auto"/>
          <w:highlight w:val="none"/>
          <w:lang w:val="en-US" w:eastAsia="zh-CN"/>
        </w:rPr>
        <w:t>22</w:t>
      </w:r>
      <w:r>
        <w:rPr>
          <w:rFonts w:hint="eastAsia" w:ascii="宋体"/>
          <w:color w:val="auto"/>
          <w:highlight w:val="none"/>
        </w:rPr>
        <w:t>人</w:t>
      </w:r>
      <w:r>
        <w:rPr>
          <w:rFonts w:ascii="宋体"/>
          <w:color w:val="auto"/>
          <w:highlight w:val="none"/>
        </w:rPr>
        <w:t>，</w:t>
      </w:r>
      <w:r>
        <w:rPr>
          <w:rFonts w:hint="eastAsia" w:ascii="宋体"/>
          <w:color w:val="auto"/>
          <w:highlight w:val="none"/>
        </w:rPr>
        <w:t>其中主要</w:t>
      </w:r>
      <w:r>
        <w:rPr>
          <w:rFonts w:ascii="宋体"/>
          <w:color w:val="auto"/>
          <w:highlight w:val="none"/>
        </w:rPr>
        <w:t>负责人</w:t>
      </w:r>
      <w:r>
        <w:rPr>
          <w:rFonts w:hint="eastAsia" w:ascii="宋体"/>
          <w:color w:val="auto"/>
          <w:highlight w:val="none"/>
        </w:rPr>
        <w:t>1</w:t>
      </w:r>
      <w:r>
        <w:rPr>
          <w:rFonts w:ascii="宋体"/>
          <w:color w:val="auto"/>
          <w:highlight w:val="none"/>
        </w:rPr>
        <w:t>人，</w:t>
      </w:r>
      <w:r>
        <w:rPr>
          <w:rFonts w:hint="eastAsia" w:ascii="宋体"/>
          <w:color w:val="auto"/>
          <w:highlight w:val="none"/>
        </w:rPr>
        <w:t>安全生产管理</w:t>
      </w:r>
      <w:r>
        <w:rPr>
          <w:rFonts w:ascii="宋体"/>
          <w:color w:val="auto"/>
          <w:highlight w:val="none"/>
        </w:rPr>
        <w:t>员</w:t>
      </w:r>
      <w:r>
        <w:rPr>
          <w:rFonts w:hint="eastAsia" w:ascii="宋体"/>
          <w:color w:val="auto"/>
          <w:highlight w:val="none"/>
        </w:rPr>
        <w:t>1人。主要负责人和安全生产管理人员</w:t>
      </w:r>
      <w:r>
        <w:rPr>
          <w:rFonts w:ascii="宋体"/>
          <w:color w:val="auto"/>
          <w:highlight w:val="none"/>
        </w:rPr>
        <w:t>已</w:t>
      </w:r>
      <w:r>
        <w:rPr>
          <w:rFonts w:hint="eastAsia" w:ascii="宋体"/>
          <w:color w:val="auto"/>
          <w:highlight w:val="none"/>
        </w:rPr>
        <w:t>参加了</w:t>
      </w:r>
      <w:r>
        <w:rPr>
          <w:rFonts w:ascii="宋体"/>
          <w:color w:val="auto"/>
          <w:highlight w:val="none"/>
        </w:rPr>
        <w:t>危险化学品安全管理培训，</w:t>
      </w:r>
      <w:r>
        <w:rPr>
          <w:rFonts w:hint="eastAsia" w:ascii="宋体"/>
          <w:color w:val="auto"/>
          <w:highlight w:val="none"/>
        </w:rPr>
        <w:t>并取得考核合格证，</w:t>
      </w:r>
      <w:r>
        <w:rPr>
          <w:rFonts w:ascii="宋体"/>
          <w:color w:val="auto"/>
          <w:highlight w:val="none"/>
        </w:rPr>
        <w:t>详见附件。</w:t>
      </w:r>
    </w:p>
    <w:p w14:paraId="097AB2C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加油站（</w:t>
      </w:r>
      <w:r>
        <w:rPr>
          <w:rFonts w:hint="eastAsia" w:ascii="宋体" w:hAnsi="宋体"/>
          <w:color w:val="auto"/>
          <w:szCs w:val="28"/>
          <w:highlight w:val="none"/>
        </w:rPr>
        <w:t>原名为山东泰安交通运输集团有限公司交运加油站</w:t>
      </w:r>
      <w:r>
        <w:rPr>
          <w:rFonts w:hint="eastAsia" w:ascii="宋体"/>
          <w:color w:val="auto"/>
          <w:highlight w:val="none"/>
        </w:rPr>
        <w:t>）于2018年3月29日取得了泰安市公安消防支队出具的《建筑工程消防验收意见书》，意见书编号：泰公消验字[2018]第0041号，结论：“综合评定该建设工程消防验收合格”，详见附件。</w:t>
      </w:r>
    </w:p>
    <w:p w14:paraId="432A3B44">
      <w:pPr>
        <w:pStyle w:val="17"/>
        <w:widowControl w:val="0"/>
        <w:adjustRightInd w:val="0"/>
        <w:snapToGrid w:val="0"/>
        <w:spacing w:line="360" w:lineRule="auto"/>
        <w:ind w:firstLine="560"/>
        <w:rPr>
          <w:rFonts w:ascii="宋体"/>
          <w:color w:val="auto"/>
          <w:highlight w:val="none"/>
        </w:rPr>
      </w:pPr>
      <w:r>
        <w:rPr>
          <w:rFonts w:hint="eastAsia" w:ascii="宋体" w:hAnsi="宋体"/>
          <w:color w:val="auto"/>
          <w:szCs w:val="28"/>
          <w:highlight w:val="none"/>
        </w:rPr>
        <w:t>泰安市泰胜石化销售有限公司隶属山东中胜石油化工有限公司（原名为山东泰安交通运输集团有限公司交运加油站，曾用名为山东高速石化有限公司第六十六加油站），</w:t>
      </w:r>
      <w:r>
        <w:rPr>
          <w:rFonts w:hint="eastAsia" w:ascii="宋体" w:hAnsi="宋体"/>
          <w:color w:val="auto"/>
          <w:highlight w:val="none"/>
        </w:rPr>
        <w:t>山东中胜石油化工有限公司于2022年7月28日与山东高速石化有限公司签订</w:t>
      </w:r>
      <w:r>
        <w:rPr>
          <w:rFonts w:hint="eastAsia" w:ascii="宋体"/>
          <w:color w:val="auto"/>
          <w:highlight w:val="none"/>
        </w:rPr>
        <w:t>《</w:t>
      </w:r>
      <w:r>
        <w:rPr>
          <w:rFonts w:hint="eastAsia" w:ascii="宋体" w:hAnsi="宋体"/>
          <w:color w:val="auto"/>
          <w:highlight w:val="none"/>
        </w:rPr>
        <w:t>加油站租赁合同</w:t>
      </w:r>
      <w:r>
        <w:rPr>
          <w:rFonts w:hint="eastAsia" w:ascii="宋体"/>
          <w:color w:val="auto"/>
          <w:highlight w:val="none"/>
        </w:rPr>
        <w:t>》</w:t>
      </w:r>
      <w:r>
        <w:rPr>
          <w:rFonts w:hint="eastAsia" w:ascii="宋体" w:hAnsi="宋体"/>
          <w:color w:val="auto"/>
          <w:highlight w:val="none"/>
        </w:rPr>
        <w:t>，租赁期从2022年起至2033年10月8日止。山东高速石化有限公司于2018年6月21日与山东泰安交通运输集团有限公司签订</w:t>
      </w:r>
      <w:r>
        <w:rPr>
          <w:rFonts w:hint="eastAsia" w:ascii="宋体"/>
          <w:color w:val="auto"/>
          <w:highlight w:val="none"/>
        </w:rPr>
        <w:t>《</w:t>
      </w:r>
      <w:r>
        <w:rPr>
          <w:rFonts w:hint="eastAsia" w:ascii="宋体" w:hAnsi="宋体"/>
          <w:color w:val="auto"/>
          <w:highlight w:val="none"/>
        </w:rPr>
        <w:t>加油（气）站租赁合同</w:t>
      </w:r>
      <w:r>
        <w:rPr>
          <w:rFonts w:hint="eastAsia" w:ascii="宋体"/>
          <w:color w:val="auto"/>
          <w:highlight w:val="none"/>
        </w:rPr>
        <w:t>》</w:t>
      </w:r>
      <w:r>
        <w:rPr>
          <w:rFonts w:hint="eastAsia" w:ascii="宋体" w:hAnsi="宋体"/>
          <w:color w:val="auto"/>
          <w:highlight w:val="none"/>
        </w:rPr>
        <w:t>，租赁期15年，合同有效期从2018年至2033年。山东泰安交通运输集团有限公司于2012年08月22日取得了泰安市人民政府签发的《国有土地使用证》详见附件。</w:t>
      </w:r>
    </w:p>
    <w:p w14:paraId="4630738A">
      <w:pPr>
        <w:pStyle w:val="17"/>
        <w:widowControl w:val="0"/>
        <w:adjustRightInd w:val="0"/>
        <w:snapToGrid w:val="0"/>
        <w:spacing w:line="360" w:lineRule="auto"/>
        <w:ind w:firstLine="560"/>
        <w:rPr>
          <w:rFonts w:asciiTheme="minorEastAsia" w:hAnsiTheme="minorEastAsia" w:eastAsiaTheme="minorEastAsia" w:cstheme="minorEastAsia"/>
          <w:color w:val="auto"/>
          <w:highlight w:val="none"/>
        </w:rPr>
      </w:pPr>
      <w:bookmarkStart w:id="14" w:name="_Hlk508440011"/>
      <w:r>
        <w:rPr>
          <w:rFonts w:hint="eastAsia" w:asciiTheme="minorEastAsia" w:hAnsiTheme="minorEastAsia" w:eastAsiaTheme="minorEastAsia" w:cstheme="minorEastAsia"/>
          <w:color w:val="auto"/>
          <w:highlight w:val="none"/>
        </w:rPr>
        <w:t>加油站于2023年11月22日换发了《危险化学品经营许可证》，证书编号：鲁泰危化经2023020007号，证书有效期：2024年2月27日至2027年2月26日，证书见附件。</w:t>
      </w:r>
    </w:p>
    <w:bookmarkEnd w:id="14"/>
    <w:p w14:paraId="4BCD4980">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该站编制了生产安全事故应急预案，于2025年6月19日在泰安市岱岳区应急管理局进行了备案，备案编号为：3709112025038，详见附件。</w:t>
      </w:r>
    </w:p>
    <w:p w14:paraId="1D89A192">
      <w:pPr>
        <w:pStyle w:val="17"/>
        <w:widowControl w:val="0"/>
        <w:adjustRightInd w:val="0"/>
        <w:snapToGrid w:val="0"/>
        <w:spacing w:line="360" w:lineRule="auto"/>
        <w:ind w:firstLine="560"/>
        <w:rPr>
          <w:rFonts w:ascii="宋体"/>
          <w:color w:val="auto"/>
          <w:highlight w:val="none"/>
        </w:rPr>
      </w:pPr>
      <w:r>
        <w:rPr>
          <w:rFonts w:hint="eastAsia" w:asciiTheme="minorEastAsia" w:hAnsiTheme="minorEastAsia" w:eastAsiaTheme="minorEastAsia" w:cstheme="minorEastAsia"/>
          <w:color w:val="auto"/>
          <w:highlight w:val="none"/>
        </w:rPr>
        <w:t>加油站于2025年08月04日换发了《成品油零售经营批准证书》，证书编号：鲁油零售证书第3709003011号，证书有效期：2025年08月04日至2030年08月04日，详见附件。</w:t>
      </w:r>
    </w:p>
    <w:p w14:paraId="4408315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山东天科防雷工程有限公司对该站进行了相关防雷设施的检测，出具了合格的《雷电防护装置定期检测报告》，报告编号：(1122016001)[2025]D-TA0435号，防雷类别：二类，结论为“合格：加油站雷电防护装置符合现行国家防雷规范标准要求”，有效期至2026年04月20日，检测报告见附件。</w:t>
      </w:r>
    </w:p>
    <w:p w14:paraId="095A6FAA">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该站在中华联合财产保险股份有限公司投保安全生产责任保险，保险期限自2024年11月17日零时起至2025年11月16日二十四时止，详见附件。</w:t>
      </w:r>
    </w:p>
    <w:p w14:paraId="1DEBDA23">
      <w:pPr>
        <w:pStyle w:val="17"/>
        <w:widowControl w:val="0"/>
        <w:adjustRightInd w:val="0"/>
        <w:snapToGrid w:val="0"/>
        <w:spacing w:line="360" w:lineRule="auto"/>
        <w:ind w:firstLine="560"/>
        <w:rPr>
          <w:rFonts w:hint="eastAsia" w:ascii="宋体"/>
          <w:color w:val="auto"/>
          <w:highlight w:val="none"/>
        </w:rPr>
      </w:pPr>
      <w:r>
        <w:rPr>
          <w:rFonts w:hint="eastAsia" w:ascii="宋体" w:hAnsi="宋体" w:eastAsia="宋体" w:cs="宋体"/>
          <w:color w:val="auto"/>
          <w:highlight w:val="none"/>
          <w:lang w:val="en-US" w:eastAsia="zh-CN"/>
        </w:rPr>
        <w:t>该站于2025年</w:t>
      </w:r>
      <w:r>
        <w:rPr>
          <w:rFonts w:hint="eastAsia" w:ascii="宋体" w:hAnsi="宋体" w:cs="宋体"/>
          <w:color w:val="auto"/>
          <w:highlight w:val="none"/>
          <w:lang w:val="en-US" w:eastAsia="zh-CN"/>
        </w:rPr>
        <w:t>07</w:t>
      </w:r>
      <w:r>
        <w:rPr>
          <w:rFonts w:hint="eastAsia" w:ascii="宋体" w:hAnsi="宋体" w:eastAsia="宋体" w:cs="宋体"/>
          <w:color w:val="auto"/>
          <w:highlight w:val="none"/>
          <w:lang w:val="en-US" w:eastAsia="zh-CN"/>
        </w:rPr>
        <w:t>月取得了济南创信电子有限公司出具的工业及商业用途点型可燃气体探测器</w:t>
      </w:r>
      <w:r>
        <w:rPr>
          <w:rFonts w:hint="eastAsia" w:ascii="宋体" w:hAnsi="宋体" w:eastAsia="宋体" w:cs="宋体"/>
          <w:color w:val="auto"/>
          <w:sz w:val="28"/>
          <w:highlight w:val="none"/>
        </w:rPr>
        <w:t>《</w:t>
      </w:r>
      <w:r>
        <w:rPr>
          <w:rFonts w:hint="eastAsia" w:ascii="宋体" w:hAnsi="宋体" w:cs="宋体"/>
          <w:color w:val="auto"/>
          <w:highlight w:val="none"/>
          <w:lang w:val="en-US" w:eastAsia="zh-CN"/>
        </w:rPr>
        <w:t>出厂检验报告</w:t>
      </w:r>
      <w:r>
        <w:rPr>
          <w:rFonts w:hint="eastAsia" w:ascii="宋体" w:hAnsi="宋体" w:eastAsia="宋体" w:cs="宋体"/>
          <w:color w:val="auto"/>
          <w:sz w:val="28"/>
          <w:highlight w:val="none"/>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检验</w:t>
      </w:r>
      <w:r>
        <w:rPr>
          <w:rFonts w:hint="eastAsia" w:ascii="宋体" w:hAnsi="宋体" w:eastAsia="宋体" w:cs="宋体"/>
          <w:color w:val="auto"/>
          <w:highlight w:val="none"/>
          <w:lang w:val="en-US" w:eastAsia="zh-CN"/>
        </w:rPr>
        <w:t>结果：</w:t>
      </w:r>
      <w:r>
        <w:rPr>
          <w:rFonts w:hint="eastAsia" w:ascii="宋体" w:hAnsi="宋体" w:cs="宋体"/>
          <w:color w:val="auto"/>
          <w:highlight w:val="none"/>
          <w:lang w:val="en-US" w:eastAsia="zh-CN"/>
        </w:rPr>
        <w:t>合格</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检验</w:t>
      </w:r>
      <w:r>
        <w:rPr>
          <w:rFonts w:hint="eastAsia" w:ascii="宋体" w:hAnsi="宋体" w:eastAsia="宋体" w:cs="宋体"/>
          <w:color w:val="auto"/>
          <w:sz w:val="28"/>
          <w:highlight w:val="none"/>
        </w:rPr>
        <w:t>报告见附件。</w:t>
      </w:r>
    </w:p>
    <w:p w14:paraId="6D7A8D0B">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1181D95B">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基本健全，有生产经营单位生产事故应急预案，并定期进行应急救援演练。该加油站消防器材配备齐全，加油站配备了35kg推车式干粉灭火器2具，8kg手提式干粉灭火器2具，5kg手提式干粉灭火器10具，CO</w:t>
      </w:r>
      <w:r>
        <w:rPr>
          <w:rFonts w:hint="eastAsia" w:ascii="宋体"/>
          <w:color w:val="auto"/>
          <w:highlight w:val="none"/>
          <w:vertAlign w:val="subscript"/>
        </w:rPr>
        <w:t>2</w:t>
      </w:r>
      <w:r>
        <w:rPr>
          <w:rFonts w:hint="eastAsia" w:ascii="宋体"/>
          <w:color w:val="auto"/>
          <w:highlight w:val="none"/>
        </w:rPr>
        <w:t>灭火器4具，灭火毯5块，消防锨8把，消防桶8个，消防沙池2m</w:t>
      </w:r>
      <w:r>
        <w:rPr>
          <w:rFonts w:hint="eastAsia" w:ascii="宋体"/>
          <w:color w:val="auto"/>
          <w:highlight w:val="none"/>
          <w:vertAlign w:val="superscript"/>
        </w:rPr>
        <w:t>3</w:t>
      </w:r>
      <w:r>
        <w:rPr>
          <w:rFonts w:hint="eastAsia" w:ascii="宋体"/>
          <w:color w:val="auto"/>
          <w:highlight w:val="none"/>
        </w:rPr>
        <w:t>。</w:t>
      </w:r>
    </w:p>
    <w:p w14:paraId="1033DE9C">
      <w:pPr>
        <w:pStyle w:val="18"/>
        <w:spacing w:before="312" w:after="312"/>
        <w:rPr>
          <w:color w:val="auto"/>
        </w:rPr>
      </w:pPr>
      <w:r>
        <w:rPr>
          <w:rFonts w:hint="eastAsia"/>
          <w:color w:val="auto"/>
        </w:rPr>
        <w:t>第四章 评价单元划分与评价方法选择</w:t>
      </w:r>
    </w:p>
    <w:p w14:paraId="30EFAFE2">
      <w:pPr>
        <w:pStyle w:val="2"/>
        <w:spacing w:before="312" w:beforeLines="100" w:after="312" w:afterLines="100" w:line="360" w:lineRule="auto"/>
        <w:ind w:firstLine="0"/>
        <w:rPr>
          <w:color w:val="auto"/>
        </w:rPr>
      </w:pPr>
      <w:bookmarkStart w:id="15" w:name="_Toc102633981"/>
      <w:bookmarkStart w:id="16" w:name="_Toc102634256"/>
      <w:bookmarkStart w:id="17" w:name="_Toc15033754"/>
      <w:bookmarkStart w:id="18" w:name="_Toc23543"/>
      <w:bookmarkStart w:id="19" w:name="_Toc102634407"/>
      <w:bookmarkStart w:id="20" w:name="_Toc12643"/>
      <w:bookmarkStart w:id="21" w:name="_Toc102633907"/>
      <w:bookmarkStart w:id="22" w:name="_Toc198026273"/>
      <w:bookmarkStart w:id="23" w:name="_Toc272364536"/>
      <w:bookmarkStart w:id="24" w:name="_Toc238007574"/>
      <w:bookmarkStart w:id="25" w:name="_Toc192907201"/>
      <w:bookmarkStart w:id="26" w:name="_Toc7829"/>
      <w:r>
        <w:rPr>
          <w:rFonts w:hint="eastAsia"/>
          <w:color w:val="auto"/>
        </w:rPr>
        <w:t>第一节 评价单元的划分</w:t>
      </w:r>
      <w:bookmarkEnd w:id="15"/>
      <w:bookmarkEnd w:id="16"/>
      <w:bookmarkEnd w:id="17"/>
      <w:bookmarkEnd w:id="18"/>
      <w:bookmarkEnd w:id="19"/>
      <w:bookmarkEnd w:id="20"/>
      <w:bookmarkEnd w:id="21"/>
      <w:bookmarkEnd w:id="22"/>
      <w:bookmarkEnd w:id="23"/>
      <w:bookmarkEnd w:id="24"/>
      <w:bookmarkEnd w:id="25"/>
      <w:bookmarkEnd w:id="26"/>
    </w:p>
    <w:p w14:paraId="763B4731">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2"/>
        <w:widowControl w:val="0"/>
        <w:adjustRightInd w:val="0"/>
        <w:snapToGrid w:val="0"/>
        <w:spacing w:line="360" w:lineRule="auto"/>
        <w:ind w:firstLine="560"/>
        <w:jc w:val="both"/>
        <w:rPr>
          <w:color w:val="auto"/>
        </w:rPr>
      </w:pPr>
      <w:bookmarkStart w:id="27" w:name="_Toc102634257"/>
      <w:r>
        <w:rPr>
          <w:rFonts w:hint="eastAsia"/>
          <w:color w:val="auto"/>
        </w:rPr>
        <w:t>一</w:t>
      </w:r>
      <w:r>
        <w:rPr>
          <w:color w:val="auto"/>
        </w:rPr>
        <w:t>、以危险有害因素的类别为主划分评价单元</w:t>
      </w:r>
      <w:bookmarkEnd w:id="27"/>
    </w:p>
    <w:p w14:paraId="05C4A291">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2"/>
        <w:widowControl w:val="0"/>
        <w:adjustRightInd w:val="0"/>
        <w:snapToGrid w:val="0"/>
        <w:spacing w:line="360" w:lineRule="auto"/>
        <w:ind w:firstLine="560"/>
        <w:jc w:val="both"/>
        <w:rPr>
          <w:color w:val="auto"/>
        </w:rPr>
      </w:pPr>
      <w:bookmarkStart w:id="28" w:name="_Toc102634258"/>
      <w:r>
        <w:rPr>
          <w:rFonts w:hint="eastAsia"/>
          <w:color w:val="auto"/>
        </w:rPr>
        <w:t>二</w:t>
      </w:r>
      <w:r>
        <w:rPr>
          <w:color w:val="auto"/>
        </w:rPr>
        <w:t>、以物质特征划分评价单元</w:t>
      </w:r>
      <w:bookmarkEnd w:id="28"/>
    </w:p>
    <w:p w14:paraId="5A1E40CB">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7"/>
        <w:widowControl w:val="0"/>
        <w:adjustRightInd w:val="0"/>
        <w:snapToGrid w:val="0"/>
        <w:spacing w:line="360" w:lineRule="auto"/>
        <w:ind w:firstLine="560"/>
        <w:rPr>
          <w:rFonts w:ascii="宋体"/>
          <w:color w:val="auto"/>
        </w:rPr>
      </w:pPr>
      <w:r>
        <w:rPr>
          <w:rFonts w:ascii="宋体"/>
          <w:color w:val="auto"/>
        </w:rPr>
        <w:t>1、安全管理；</w:t>
      </w:r>
    </w:p>
    <w:p w14:paraId="32BE1495">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7"/>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7"/>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2"/>
        <w:spacing w:before="312" w:beforeLines="100" w:after="312" w:afterLines="100" w:line="360" w:lineRule="auto"/>
        <w:ind w:firstLine="0"/>
        <w:rPr>
          <w:rFonts w:hint="eastAsia"/>
          <w:color w:val="auto"/>
        </w:rPr>
      </w:pPr>
      <w:bookmarkStart w:id="29" w:name="_Toc102634259"/>
      <w:bookmarkStart w:id="30" w:name="_Toc102634408"/>
      <w:bookmarkStart w:id="31" w:name="_Toc102633908"/>
      <w:bookmarkStart w:id="32" w:name="_Toc22810"/>
      <w:bookmarkStart w:id="33" w:name="_Toc102633982"/>
    </w:p>
    <w:p w14:paraId="178D2E97">
      <w:pPr>
        <w:pStyle w:val="2"/>
        <w:spacing w:before="312" w:beforeLines="100" w:after="312" w:afterLines="100" w:line="360" w:lineRule="auto"/>
        <w:ind w:firstLine="0"/>
        <w:rPr>
          <w:color w:val="auto"/>
        </w:rPr>
      </w:pPr>
      <w:r>
        <w:rPr>
          <w:rFonts w:hint="eastAsia"/>
          <w:color w:val="auto"/>
        </w:rPr>
        <w:t>第二节 评价方法的选择</w:t>
      </w:r>
      <w:bookmarkEnd w:id="29"/>
      <w:bookmarkEnd w:id="30"/>
      <w:bookmarkEnd w:id="31"/>
      <w:bookmarkEnd w:id="32"/>
      <w:bookmarkEnd w:id="33"/>
    </w:p>
    <w:p w14:paraId="1E411B7E">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0"/>
              <w:widowControl w:val="0"/>
              <w:adjustRightInd w:val="0"/>
              <w:snapToGrid w:val="0"/>
              <w:spacing w:line="360" w:lineRule="auto"/>
              <w:rPr>
                <w:rFonts w:ascii="宋体"/>
                <w:b/>
                <w:color w:val="auto"/>
              </w:rPr>
            </w:pPr>
          </w:p>
        </w:tc>
        <w:tc>
          <w:tcPr>
            <w:tcW w:w="1196" w:type="pct"/>
            <w:vAlign w:val="center"/>
          </w:tcPr>
          <w:p w14:paraId="17BCE365">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0"/>
              <w:widowControl w:val="0"/>
              <w:adjustRightInd w:val="0"/>
              <w:snapToGrid w:val="0"/>
              <w:spacing w:line="360" w:lineRule="auto"/>
              <w:rPr>
                <w:rFonts w:ascii="宋体"/>
                <w:color w:val="auto"/>
              </w:rPr>
            </w:pPr>
          </w:p>
        </w:tc>
        <w:tc>
          <w:tcPr>
            <w:tcW w:w="972" w:type="pct"/>
            <w:vAlign w:val="center"/>
          </w:tcPr>
          <w:p w14:paraId="00C1DAAC">
            <w:pPr>
              <w:pStyle w:val="20"/>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0"/>
              <w:widowControl w:val="0"/>
              <w:adjustRightInd w:val="0"/>
              <w:snapToGrid w:val="0"/>
              <w:spacing w:line="360" w:lineRule="auto"/>
              <w:rPr>
                <w:rFonts w:ascii="宋体"/>
                <w:color w:val="auto"/>
              </w:rPr>
            </w:pPr>
          </w:p>
        </w:tc>
        <w:tc>
          <w:tcPr>
            <w:tcW w:w="972" w:type="pct"/>
            <w:vAlign w:val="center"/>
          </w:tcPr>
          <w:p w14:paraId="757A7995">
            <w:pPr>
              <w:pStyle w:val="20"/>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0"/>
              <w:widowControl w:val="0"/>
              <w:adjustRightInd w:val="0"/>
              <w:snapToGrid w:val="0"/>
              <w:spacing w:line="360" w:lineRule="auto"/>
              <w:rPr>
                <w:rFonts w:ascii="宋体"/>
                <w:color w:val="auto"/>
              </w:rPr>
            </w:pPr>
          </w:p>
        </w:tc>
        <w:tc>
          <w:tcPr>
            <w:tcW w:w="972" w:type="pct"/>
            <w:vAlign w:val="center"/>
          </w:tcPr>
          <w:p w14:paraId="4ADFB55C">
            <w:pPr>
              <w:pStyle w:val="20"/>
              <w:widowControl w:val="0"/>
              <w:adjustRightInd w:val="0"/>
              <w:snapToGrid w:val="0"/>
              <w:spacing w:line="360" w:lineRule="auto"/>
              <w:rPr>
                <w:rFonts w:ascii="宋体"/>
                <w:color w:val="auto"/>
              </w:rPr>
            </w:pPr>
          </w:p>
        </w:tc>
      </w:tr>
    </w:tbl>
    <w:p w14:paraId="63FFFE3C">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1"/>
        <w:widowControl w:val="0"/>
        <w:snapToGrid w:val="0"/>
        <w:spacing w:line="360" w:lineRule="auto"/>
        <w:ind w:firstLine="872" w:firstLineChars="400"/>
        <w:rPr>
          <w:color w:val="auto"/>
        </w:rPr>
      </w:pPr>
    </w:p>
    <w:p w14:paraId="2F4766DE">
      <w:pPr>
        <w:pStyle w:val="18"/>
        <w:keepNext w:val="0"/>
        <w:keepLines w:val="0"/>
        <w:kinsoku/>
        <w:wordWrap/>
        <w:overflowPunct/>
        <w:topLinePunct w:val="0"/>
        <w:autoSpaceDE/>
        <w:autoSpaceDN/>
        <w:bidi w:val="0"/>
        <w:adjustRightInd w:val="0"/>
        <w:snapToGrid w:val="0"/>
        <w:spacing w:before="0" w:beforeLines="0" w:after="0" w:afterLines="0" w:line="360" w:lineRule="auto"/>
        <w:textAlignment w:val="auto"/>
        <w:rPr>
          <w:color w:val="auto"/>
          <w:highlight w:val="none"/>
        </w:rPr>
      </w:pPr>
      <w:bookmarkStart w:id="34" w:name="_Toc7871"/>
      <w:r>
        <w:rPr>
          <w:rFonts w:hint="eastAsia"/>
          <w:color w:val="auto"/>
          <w:highlight w:val="none"/>
        </w:rPr>
        <w:t>第六章  安全对策措施及建议</w:t>
      </w:r>
      <w:bookmarkEnd w:id="34"/>
    </w:p>
    <w:p w14:paraId="614212B6">
      <w:pPr>
        <w:pStyle w:val="2"/>
        <w:keepNext w:val="0"/>
        <w:keepLines w:val="0"/>
        <w:kinsoku/>
        <w:wordWrap/>
        <w:overflowPunct/>
        <w:topLinePunct w:val="0"/>
        <w:autoSpaceDE/>
        <w:autoSpaceDN/>
        <w:bidi w:val="0"/>
        <w:adjustRightInd w:val="0"/>
        <w:snapToGrid w:val="0"/>
        <w:spacing w:line="360" w:lineRule="auto"/>
        <w:ind w:firstLine="0"/>
        <w:textAlignment w:val="auto"/>
        <w:rPr>
          <w:color w:val="auto"/>
          <w:highlight w:val="none"/>
        </w:rPr>
      </w:pPr>
      <w:bookmarkStart w:id="35" w:name="_Toc225046264"/>
      <w:bookmarkStart w:id="36" w:name="_Toc339456079"/>
      <w:bookmarkStart w:id="37" w:name="_Toc348877039"/>
      <w:bookmarkStart w:id="38" w:name="_Toc102634277"/>
      <w:bookmarkStart w:id="39" w:name="_Toc242065302"/>
      <w:bookmarkStart w:id="40" w:name="_Toc2607"/>
      <w:bookmarkStart w:id="41" w:name="_Toc15033762"/>
      <w:bookmarkStart w:id="42" w:name="_Toc102633915"/>
      <w:bookmarkStart w:id="43" w:name="_Toc102633989"/>
      <w:bookmarkStart w:id="44" w:name="_Toc4961"/>
      <w:bookmarkStart w:id="45" w:name="_Toc102634415"/>
      <w:r>
        <w:rPr>
          <w:rFonts w:hint="eastAsia"/>
          <w:color w:val="auto"/>
          <w:highlight w:val="none"/>
        </w:rPr>
        <w:t xml:space="preserve">第一节 </w:t>
      </w:r>
      <w:bookmarkEnd w:id="35"/>
      <w:bookmarkEnd w:id="36"/>
      <w:r>
        <w:rPr>
          <w:rFonts w:hint="eastAsia"/>
          <w:color w:val="auto"/>
          <w:highlight w:val="none"/>
        </w:rPr>
        <w:t>存在的问题及整改建议</w:t>
      </w:r>
      <w:bookmarkEnd w:id="37"/>
      <w:bookmarkEnd w:id="38"/>
      <w:bookmarkEnd w:id="39"/>
      <w:bookmarkEnd w:id="40"/>
      <w:bookmarkEnd w:id="41"/>
      <w:bookmarkEnd w:id="42"/>
      <w:bookmarkEnd w:id="43"/>
      <w:bookmarkEnd w:id="44"/>
      <w:bookmarkEnd w:id="45"/>
    </w:p>
    <w:p w14:paraId="3ED4B592">
      <w:pPr>
        <w:keepNext w:val="0"/>
        <w:keepLines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eastAsia="宋体"/>
          <w:color w:val="auto"/>
          <w:kern w:val="0"/>
          <w:sz w:val="28"/>
          <w:szCs w:val="20"/>
          <w:highlight w:val="none"/>
          <w:lang w:val="en-US" w:eastAsia="zh-CN"/>
        </w:rPr>
      </w:pPr>
      <w:bookmarkStart w:id="46" w:name="_Toc49590281"/>
      <w:bookmarkStart w:id="47"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46"/>
      <w:bookmarkEnd w:id="47"/>
      <w:r>
        <w:rPr>
          <w:rFonts w:hint="eastAsia" w:ascii="宋体"/>
          <w:color w:val="auto"/>
          <w:kern w:val="0"/>
          <w:sz w:val="28"/>
          <w:szCs w:val="20"/>
          <w:highlight w:val="none"/>
        </w:rPr>
        <w:t>该加油站</w:t>
      </w:r>
      <w:r>
        <w:rPr>
          <w:rFonts w:hint="eastAsia" w:ascii="宋体"/>
          <w:color w:val="auto"/>
          <w:kern w:val="0"/>
          <w:sz w:val="28"/>
          <w:szCs w:val="20"/>
          <w:highlight w:val="none"/>
          <w:lang w:val="en-US" w:eastAsia="zh-CN"/>
        </w:rPr>
        <w:t>除自控系统暂未运行外，</w:t>
      </w:r>
      <w:r>
        <w:rPr>
          <w:rFonts w:hint="eastAsia" w:ascii="宋体"/>
          <w:color w:val="auto"/>
          <w:kern w:val="0"/>
          <w:sz w:val="28"/>
          <w:szCs w:val="20"/>
          <w:highlight w:val="none"/>
        </w:rPr>
        <w:t>在安全管理、站址选择及总平面布置、加油工艺及设施、其它设施等方面符合有关法律、标准规范的要求。</w:t>
      </w:r>
    </w:p>
    <w:p w14:paraId="014679A2">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4636F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7B4FC4B">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453F84D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30D7146A">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0F3B4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BF1765">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highlight w:val="none"/>
                <w:u w:color="000000"/>
              </w:rPr>
            </w:pPr>
            <w:r>
              <w:rPr>
                <w:rFonts w:hint="eastAsia" w:ascii="宋体" w:hAnsi="宋体"/>
                <w:bCs/>
                <w:color w:val="auto"/>
                <w:kern w:val="0"/>
                <w:position w:val="2"/>
                <w:highlight w:val="none"/>
                <w:u w:color="000000"/>
              </w:rPr>
              <w:t>1</w:t>
            </w:r>
          </w:p>
        </w:tc>
        <w:tc>
          <w:tcPr>
            <w:tcW w:w="3845" w:type="dxa"/>
            <w:vAlign w:val="center"/>
          </w:tcPr>
          <w:p w14:paraId="4EF14EC3">
            <w:pPr>
              <w:widowControl/>
              <w:tabs>
                <w:tab w:val="left" w:pos="6120"/>
              </w:tabs>
              <w:adjustRightInd w:val="0"/>
              <w:spacing w:before="31" w:beforeLines="10" w:after="31" w:afterLines="10" w:line="320" w:lineRule="exact"/>
              <w:jc w:val="center"/>
              <w:textAlignment w:val="baseline"/>
              <w:rPr>
                <w:rFonts w:hint="eastAsia" w:ascii="宋体" w:hAnsi="宋体" w:eastAsia="宋体" w:cs="宋体"/>
                <w:color w:val="auto"/>
                <w:kern w:val="0"/>
                <w:highlight w:val="none"/>
                <w:u w:color="000000"/>
              </w:rPr>
            </w:pPr>
            <w:r>
              <w:rPr>
                <w:rStyle w:val="11"/>
                <w:rFonts w:hint="eastAsia"/>
                <w:color w:val="auto"/>
                <w:highlight w:val="none"/>
                <w:u w:color="000000"/>
              </w:rPr>
              <w:t>信息系统未设不间断电源</w:t>
            </w:r>
          </w:p>
        </w:tc>
        <w:tc>
          <w:tcPr>
            <w:tcW w:w="4740" w:type="dxa"/>
            <w:shd w:val="clear" w:color="auto" w:fill="auto"/>
            <w:vAlign w:val="center"/>
          </w:tcPr>
          <w:p w14:paraId="1A677D36">
            <w:pPr>
              <w:widowControl/>
              <w:tabs>
                <w:tab w:val="left" w:pos="6120"/>
              </w:tabs>
              <w:adjustRightInd w:val="0"/>
              <w:spacing w:before="31" w:beforeLines="10" w:after="31" w:afterLines="10" w:line="320" w:lineRule="exact"/>
              <w:jc w:val="center"/>
              <w:textAlignment w:val="baseline"/>
              <w:rPr>
                <w:rFonts w:hint="eastAsia" w:ascii="宋体" w:hAnsi="宋体" w:eastAsia="宋体" w:cs="宋体"/>
                <w:color w:val="auto"/>
                <w:kern w:val="0"/>
                <w:highlight w:val="none"/>
                <w:u w:color="000000"/>
              </w:rPr>
            </w:pPr>
            <w:r>
              <w:rPr>
                <w:rStyle w:val="11"/>
                <w:rFonts w:hint="eastAsia"/>
                <w:color w:val="auto"/>
                <w:highlight w:val="none"/>
                <w:u w:color="000000"/>
              </w:rPr>
              <w:t>信息系统应设不间断电源</w:t>
            </w:r>
          </w:p>
        </w:tc>
      </w:tr>
      <w:tr w14:paraId="4B657E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CE7D3C1">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2</w:t>
            </w:r>
          </w:p>
        </w:tc>
        <w:tc>
          <w:tcPr>
            <w:tcW w:w="3845" w:type="dxa"/>
            <w:vAlign w:val="center"/>
          </w:tcPr>
          <w:p w14:paraId="178AEA5B">
            <w:pPr>
              <w:widowControl/>
              <w:tabs>
                <w:tab w:val="left" w:pos="6120"/>
              </w:tabs>
              <w:adjustRightInd w:val="0"/>
              <w:spacing w:before="31" w:beforeLines="10" w:after="31" w:afterLines="10" w:line="320" w:lineRule="exact"/>
              <w:jc w:val="center"/>
              <w:textAlignment w:val="baseline"/>
              <w:rPr>
                <w:rFonts w:hint="eastAsia" w:ascii="宋体" w:hAnsi="宋体" w:eastAsia="宋体" w:cs="宋体"/>
                <w:color w:val="auto"/>
                <w:spacing w:val="10"/>
                <w:highlight w:val="none"/>
              </w:rPr>
            </w:pPr>
            <w:r>
              <w:rPr>
                <w:rFonts w:hint="eastAsia" w:ascii="宋体" w:hAnsi="宋体"/>
                <w:color w:val="auto"/>
                <w:highlight w:val="none"/>
              </w:rPr>
              <w:t>站房墙面急停未设防护罩。</w:t>
            </w:r>
          </w:p>
        </w:tc>
        <w:tc>
          <w:tcPr>
            <w:tcW w:w="4740" w:type="dxa"/>
            <w:shd w:val="clear" w:color="auto" w:fill="auto"/>
            <w:vAlign w:val="center"/>
          </w:tcPr>
          <w:p w14:paraId="2FFF9130">
            <w:pPr>
              <w:widowControl/>
              <w:tabs>
                <w:tab w:val="left" w:pos="6120"/>
              </w:tabs>
              <w:adjustRightInd w:val="0"/>
              <w:spacing w:before="31" w:beforeLines="10" w:after="31" w:afterLines="10" w:line="320" w:lineRule="exact"/>
              <w:jc w:val="center"/>
              <w:textAlignment w:val="baseline"/>
              <w:rPr>
                <w:rFonts w:hint="eastAsia" w:ascii="宋体" w:hAnsi="宋体" w:eastAsia="宋体" w:cs="宋体"/>
                <w:color w:val="auto"/>
                <w:spacing w:val="10"/>
                <w:highlight w:val="none"/>
                <w:lang w:val="en-US" w:eastAsia="zh-CN"/>
              </w:rPr>
            </w:pPr>
            <w:r>
              <w:rPr>
                <w:rFonts w:hint="eastAsia" w:ascii="宋体" w:hAnsi="宋体"/>
                <w:color w:val="auto"/>
                <w:highlight w:val="none"/>
              </w:rPr>
              <w:t>急停应设防护罩。</w:t>
            </w:r>
          </w:p>
        </w:tc>
      </w:tr>
    </w:tbl>
    <w:p w14:paraId="4DD935D5">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20F309BE">
      <w:pPr>
        <w:widowControl/>
        <w:spacing w:line="360" w:lineRule="auto"/>
        <w:jc w:val="center"/>
        <w:textAlignment w:val="baseline"/>
        <w:rPr>
          <w:rFonts w:ascii="黑体" w:hAnsi="黑体" w:eastAsia="黑体" w:cs="黑体"/>
          <w:color w:val="auto"/>
          <w:kern w:val="0"/>
          <w:sz w:val="24"/>
          <w:szCs w:val="24"/>
          <w:highlight w:val="none"/>
          <w:u w:color="000000"/>
        </w:rPr>
      </w:pPr>
    </w:p>
    <w:p w14:paraId="45B31E4E">
      <w:pPr>
        <w:widowControl/>
        <w:spacing w:line="360" w:lineRule="auto"/>
        <w:jc w:val="center"/>
        <w:textAlignment w:val="baseline"/>
        <w:rPr>
          <w:rFonts w:ascii="黑体" w:hAnsi="黑体" w:eastAsia="黑体" w:cs="黑体"/>
          <w:color w:val="auto"/>
          <w:kern w:val="0"/>
          <w:sz w:val="24"/>
          <w:szCs w:val="24"/>
          <w:u w:color="000000"/>
        </w:rPr>
      </w:pPr>
    </w:p>
    <w:p w14:paraId="052AEFF2">
      <w:pPr>
        <w:pStyle w:val="13"/>
        <w:rPr>
          <w:rFonts w:ascii="黑体" w:hAnsi="黑体" w:eastAsia="黑体" w:cs="黑体"/>
          <w:color w:val="auto"/>
          <w:u w:color="000000"/>
        </w:rPr>
      </w:pPr>
    </w:p>
    <w:p w14:paraId="5B43CB4A">
      <w:pPr>
        <w:pStyle w:val="13"/>
        <w:rPr>
          <w:rFonts w:ascii="黑体" w:hAnsi="黑体" w:eastAsia="黑体" w:cs="黑体"/>
          <w:color w:val="auto"/>
          <w:u w:color="000000"/>
        </w:rPr>
      </w:pPr>
    </w:p>
    <w:p w14:paraId="52DAB9F2">
      <w:pPr>
        <w:pStyle w:val="13"/>
        <w:rPr>
          <w:rFonts w:ascii="黑体" w:hAnsi="黑体" w:eastAsia="黑体" w:cs="黑体"/>
          <w:color w:val="auto"/>
          <w:u w:color="000000"/>
        </w:rPr>
      </w:pPr>
    </w:p>
    <w:p w14:paraId="57AB597A">
      <w:pPr>
        <w:pStyle w:val="13"/>
        <w:rPr>
          <w:rFonts w:ascii="黑体" w:hAnsi="黑体" w:eastAsia="黑体" w:cs="黑体"/>
          <w:color w:val="auto"/>
          <w:u w:color="000000"/>
        </w:rPr>
      </w:pPr>
    </w:p>
    <w:p w14:paraId="0A9A7043">
      <w:pPr>
        <w:pStyle w:val="13"/>
        <w:rPr>
          <w:rFonts w:ascii="黑体" w:hAnsi="黑体" w:eastAsia="黑体" w:cs="黑体"/>
          <w:color w:val="auto"/>
          <w:u w:color="000000"/>
        </w:rPr>
      </w:pPr>
    </w:p>
    <w:p w14:paraId="61D17D19">
      <w:pPr>
        <w:widowControl/>
        <w:spacing w:line="360" w:lineRule="auto"/>
        <w:jc w:val="center"/>
        <w:textAlignment w:val="baseline"/>
        <w:rPr>
          <w:rFonts w:ascii="黑体" w:hAnsi="黑体" w:eastAsia="黑体" w:cs="黑体"/>
          <w:color w:val="auto"/>
          <w:kern w:val="0"/>
          <w:sz w:val="24"/>
          <w:szCs w:val="24"/>
          <w:u w:color="000000"/>
        </w:rPr>
      </w:pPr>
    </w:p>
    <w:p w14:paraId="02AE211A">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r>
        <w:rPr>
          <w:rFonts w:hint="default" w:ascii="宋体"/>
          <w:color w:val="auto"/>
          <w:kern w:val="0"/>
          <w:sz w:val="28"/>
          <w:szCs w:val="20"/>
          <w:lang w:val="en-US" w:eastAsia="zh-CN"/>
        </w:rPr>
        <w:drawing>
          <wp:inline distT="0" distB="0" distL="114300" distR="114300">
            <wp:extent cx="5721985" cy="4291330"/>
            <wp:effectExtent l="0" t="0" r="8255" b="6350"/>
            <wp:docPr id="1" name="图片 1" descr="IMG_20251024_13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024_134533"/>
                    <pic:cNvPicPr>
                      <a:picLocks noChangeAspect="1"/>
                    </pic:cNvPicPr>
                  </pic:nvPicPr>
                  <pic:blipFill>
                    <a:blip r:embed="rId4"/>
                    <a:stretch>
                      <a:fillRect/>
                    </a:stretch>
                  </pic:blipFill>
                  <pic:spPr>
                    <a:xfrm>
                      <a:off x="0" y="0"/>
                      <a:ext cx="5721985" cy="429133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5758815" cy="4319270"/>
            <wp:effectExtent l="0" t="0" r="1905" b="8890"/>
            <wp:docPr id="2" name="图片 2" descr="IMG_20251022_11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022_113340"/>
                    <pic:cNvPicPr>
                      <a:picLocks noChangeAspect="1"/>
                    </pic:cNvPicPr>
                  </pic:nvPicPr>
                  <pic:blipFill>
                    <a:blip r:embed="rId5"/>
                    <a:stretch>
                      <a:fillRect/>
                    </a:stretch>
                  </pic:blipFill>
                  <pic:spPr>
                    <a:xfrm>
                      <a:off x="0" y="0"/>
                      <a:ext cx="5758815" cy="431927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85390" cy="4418965"/>
            <wp:effectExtent l="0" t="0" r="13970" b="635"/>
            <wp:docPr id="3" name="图片 3" descr="06c52670b7036c626c56a9dc18ca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c52670b7036c626c56a9dc18ca5af"/>
                    <pic:cNvPicPr>
                      <a:picLocks noChangeAspect="1"/>
                    </pic:cNvPicPr>
                  </pic:nvPicPr>
                  <pic:blipFill>
                    <a:blip r:embed="rId6"/>
                    <a:stretch>
                      <a:fillRect/>
                    </a:stretch>
                  </pic:blipFill>
                  <pic:spPr>
                    <a:xfrm>
                      <a:off x="0" y="0"/>
                      <a:ext cx="2485390" cy="441896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61260" cy="4376420"/>
            <wp:effectExtent l="0" t="0" r="7620" b="12700"/>
            <wp:docPr id="4" name="图片 4" descr="2d25eae27dc8cc633919ebcfed72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d25eae27dc8cc633919ebcfed7291f"/>
                    <pic:cNvPicPr>
                      <a:picLocks noChangeAspect="1"/>
                    </pic:cNvPicPr>
                  </pic:nvPicPr>
                  <pic:blipFill>
                    <a:blip r:embed="rId7"/>
                    <a:stretch>
                      <a:fillRect/>
                    </a:stretch>
                  </pic:blipFill>
                  <pic:spPr>
                    <a:xfrm>
                      <a:off x="0" y="0"/>
                      <a:ext cx="2461260" cy="4376420"/>
                    </a:xfrm>
                    <a:prstGeom prst="rect">
                      <a:avLst/>
                    </a:prstGeom>
                  </pic:spPr>
                </pic:pic>
              </a:graphicData>
            </a:graphic>
          </wp:inline>
        </w:drawing>
      </w:r>
    </w:p>
    <w:p w14:paraId="02441456">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2518410" cy="4265930"/>
            <wp:effectExtent l="0" t="0" r="11430" b="1270"/>
            <wp:docPr id="5" name="图片 5" descr="0a6dcbaca942ddbe1fb8a5c5b950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a6dcbaca942ddbe1fb8a5c5b9506b6"/>
                    <pic:cNvPicPr>
                      <a:picLocks noChangeAspect="1"/>
                    </pic:cNvPicPr>
                  </pic:nvPicPr>
                  <pic:blipFill>
                    <a:blip r:embed="rId8"/>
                    <a:stretch>
                      <a:fillRect/>
                    </a:stretch>
                  </pic:blipFill>
                  <pic:spPr>
                    <a:xfrm>
                      <a:off x="0" y="0"/>
                      <a:ext cx="2518410" cy="426593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66340" cy="4275455"/>
            <wp:effectExtent l="0" t="0" r="2540" b="6985"/>
            <wp:docPr id="6" name="图片 6" descr="6b65903828f94b2433c8d0788a36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b65903828f94b2433c8d0788a36a8a"/>
                    <pic:cNvPicPr>
                      <a:picLocks noChangeAspect="1"/>
                    </pic:cNvPicPr>
                  </pic:nvPicPr>
                  <pic:blipFill>
                    <a:blip r:embed="rId9"/>
                    <a:stretch>
                      <a:fillRect/>
                    </a:stretch>
                  </pic:blipFill>
                  <pic:spPr>
                    <a:xfrm>
                      <a:off x="0" y="0"/>
                      <a:ext cx="2466340" cy="4275455"/>
                    </a:xfrm>
                    <a:prstGeom prst="rect">
                      <a:avLst/>
                    </a:prstGeom>
                  </pic:spPr>
                </pic:pic>
              </a:graphicData>
            </a:graphic>
          </wp:inline>
        </w:drawing>
      </w:r>
    </w:p>
    <w:p w14:paraId="1F03F9C4">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2480310" cy="4410075"/>
            <wp:effectExtent l="0" t="0" r="3810" b="9525"/>
            <wp:docPr id="7" name="图片 7" descr="c08c026f3d44bef2cb334629962b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8c026f3d44bef2cb334629962ba86"/>
                    <pic:cNvPicPr>
                      <a:picLocks noChangeAspect="1"/>
                    </pic:cNvPicPr>
                  </pic:nvPicPr>
                  <pic:blipFill>
                    <a:blip r:embed="rId10"/>
                    <a:stretch>
                      <a:fillRect/>
                    </a:stretch>
                  </pic:blipFill>
                  <pic:spPr>
                    <a:xfrm>
                      <a:off x="0" y="0"/>
                      <a:ext cx="2480310" cy="44100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76500" cy="4402455"/>
            <wp:effectExtent l="0" t="0" r="7620" b="1905"/>
            <wp:docPr id="8" name="图片 8" descr="b9f35e42dba03fc27ebde131b1f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9f35e42dba03fc27ebde131b1f8318"/>
                    <pic:cNvPicPr>
                      <a:picLocks noChangeAspect="1"/>
                    </pic:cNvPicPr>
                  </pic:nvPicPr>
                  <pic:blipFill>
                    <a:blip r:embed="rId11"/>
                    <a:stretch>
                      <a:fillRect/>
                    </a:stretch>
                  </pic:blipFill>
                  <pic:spPr>
                    <a:xfrm>
                      <a:off x="0" y="0"/>
                      <a:ext cx="2476500" cy="4402455"/>
                    </a:xfrm>
                    <a:prstGeom prst="rect">
                      <a:avLst/>
                    </a:prstGeom>
                  </pic:spPr>
                </pic:pic>
              </a:graphicData>
            </a:graphic>
          </wp:inline>
        </w:drawing>
      </w:r>
      <w:bookmarkStart w:id="48" w:name="_GoBack"/>
      <w:bookmarkEnd w:id="48"/>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6483FAB"/>
    <w:rsid w:val="07A11E1A"/>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5B398D"/>
    <w:rsid w:val="1FF73CD4"/>
    <w:rsid w:val="22CB7136"/>
    <w:rsid w:val="26CA2142"/>
    <w:rsid w:val="284F788D"/>
    <w:rsid w:val="2A9D36CA"/>
    <w:rsid w:val="2CBC252D"/>
    <w:rsid w:val="2E5E68CC"/>
    <w:rsid w:val="2EC41433"/>
    <w:rsid w:val="2F917EEC"/>
    <w:rsid w:val="31297B3A"/>
    <w:rsid w:val="355F439E"/>
    <w:rsid w:val="35CC29B8"/>
    <w:rsid w:val="361E3E5D"/>
    <w:rsid w:val="377931ED"/>
    <w:rsid w:val="37A6654A"/>
    <w:rsid w:val="386A7D3B"/>
    <w:rsid w:val="38B36882"/>
    <w:rsid w:val="3BB85D78"/>
    <w:rsid w:val="3C176B62"/>
    <w:rsid w:val="3FC91EF4"/>
    <w:rsid w:val="420C1409"/>
    <w:rsid w:val="43CB4C37"/>
    <w:rsid w:val="4706325F"/>
    <w:rsid w:val="47290367"/>
    <w:rsid w:val="48FE4AE5"/>
    <w:rsid w:val="4ECC7680"/>
    <w:rsid w:val="4F5D6EDB"/>
    <w:rsid w:val="537F016A"/>
    <w:rsid w:val="559519EA"/>
    <w:rsid w:val="563D798B"/>
    <w:rsid w:val="567C6788"/>
    <w:rsid w:val="579A241E"/>
    <w:rsid w:val="58840D76"/>
    <w:rsid w:val="5C8B1D2D"/>
    <w:rsid w:val="5D511379"/>
    <w:rsid w:val="60FB542C"/>
    <w:rsid w:val="636808F8"/>
    <w:rsid w:val="64FD4259"/>
    <w:rsid w:val="69194288"/>
    <w:rsid w:val="6A640607"/>
    <w:rsid w:val="6AD40467"/>
    <w:rsid w:val="6B3179BA"/>
    <w:rsid w:val="6BF95CAB"/>
    <w:rsid w:val="6C4D48B3"/>
    <w:rsid w:val="6D0669CA"/>
    <w:rsid w:val="6FDF53A7"/>
    <w:rsid w:val="717A11AE"/>
    <w:rsid w:val="72FD2CFB"/>
    <w:rsid w:val="74AE7C8C"/>
    <w:rsid w:val="76511CAD"/>
    <w:rsid w:val="769C7074"/>
    <w:rsid w:val="7772596D"/>
    <w:rsid w:val="788E5851"/>
    <w:rsid w:val="7AB02F22"/>
    <w:rsid w:val="7B7179AA"/>
    <w:rsid w:val="7C9C2DAE"/>
    <w:rsid w:val="7D433490"/>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3242</Words>
  <Characters>3541</Characters>
  <Lines>0</Lines>
  <Paragraphs>0</Paragraphs>
  <TotalTime>0</TotalTime>
  <ScaleCrop>false</ScaleCrop>
  <LinksUpToDate>false</LinksUpToDate>
  <CharactersWithSpaces>3557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2025-11-18T07:42:51Z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